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方案要求</w:t>
      </w:r>
    </w:p>
    <w:p>
      <w:pPr>
        <w:ind w:firstLine="2249" w:firstLineChars="700"/>
        <w:rPr>
          <w:rFonts w:hint="eastAsia"/>
          <w:b/>
          <w:bCs/>
          <w:sz w:val="32"/>
          <w:szCs w:val="32"/>
        </w:rPr>
      </w:pPr>
    </w:p>
    <w:p>
      <w:pPr>
        <w:rPr>
          <w:rFonts w:hint="eastAsia" w:ascii="仿宋" w:hAnsi="仿宋" w:eastAsia="仿宋" w:cs="仿宋"/>
          <w:b w:val="0"/>
          <w:bCs w:val="0"/>
          <w:sz w:val="32"/>
          <w:szCs w:val="32"/>
          <w:lang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项目（服务）名称</w:t>
      </w:r>
      <w:r>
        <w:rPr>
          <w:rFonts w:hint="eastAsia" w:ascii="仿宋" w:hAnsi="仿宋" w:eastAsia="仿宋" w:cs="仿宋"/>
          <w:b/>
          <w:bCs/>
          <w:sz w:val="32"/>
          <w:szCs w:val="32"/>
        </w:rPr>
        <w:t>：</w:t>
      </w:r>
      <w:r>
        <w:rPr>
          <w:rFonts w:hint="eastAsia" w:ascii="仿宋" w:hAnsi="仿宋" w:eastAsia="仿宋" w:cs="仿宋"/>
          <w:b w:val="0"/>
          <w:bCs w:val="0"/>
          <w:sz w:val="32"/>
          <w:szCs w:val="32"/>
        </w:rPr>
        <w:t>完善事故案例墙及厂区标识标记刷漆</w:t>
      </w:r>
      <w:r>
        <w:rPr>
          <w:rFonts w:hint="eastAsia" w:ascii="仿宋" w:hAnsi="仿宋" w:eastAsia="仿宋" w:cs="仿宋"/>
          <w:b w:val="0"/>
          <w:bCs w:val="0"/>
          <w:sz w:val="32"/>
          <w:szCs w:val="32"/>
          <w:lang w:eastAsia="zh-CN"/>
        </w:rPr>
        <w:t>。</w:t>
      </w:r>
    </w:p>
    <w:p>
      <w:pPr>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二、工期要求：</w:t>
      </w:r>
      <w:r>
        <w:rPr>
          <w:rFonts w:hint="eastAsia" w:ascii="仿宋" w:hAnsi="仿宋" w:eastAsia="仿宋" w:cs="仿宋"/>
          <w:b w:val="0"/>
          <w:bCs w:val="0"/>
          <w:sz w:val="32"/>
          <w:szCs w:val="32"/>
          <w:lang w:val="en-US" w:eastAsia="zh-CN"/>
        </w:rPr>
        <w:t>合同签订之日起30日内完工。</w:t>
      </w:r>
    </w:p>
    <w:p>
      <w:pPr>
        <w:numPr>
          <w:ilvl w:val="0"/>
          <w:numId w:val="0"/>
        </w:numPr>
        <w:spacing w:before="0" w:after="0" w:line="240" w:lineRule="auto"/>
        <w:ind w:leftChars="0" w:right="0" w:rightChars="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三、针对此外委施工供应商需要提供的资质：</w:t>
      </w:r>
      <w:r>
        <w:rPr>
          <w:rFonts w:hint="eastAsia" w:ascii="仿宋" w:hAnsi="仿宋" w:eastAsia="仿宋" w:cs="仿宋"/>
          <w:b w:val="0"/>
          <w:bCs w:val="0"/>
          <w:sz w:val="32"/>
          <w:szCs w:val="32"/>
          <w:lang w:val="en-US" w:eastAsia="zh-CN"/>
        </w:rPr>
        <w:t>营业执照中应包含广告装饰工程等相关范围。</w:t>
      </w:r>
    </w:p>
    <w:p>
      <w:pPr>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四、是否需勘踏现场：</w:t>
      </w:r>
      <w:bookmarkStart w:id="0" w:name="_GoBack"/>
      <w:r>
        <w:rPr>
          <w:rFonts w:hint="eastAsia" w:ascii="仿宋" w:hAnsi="仿宋" w:eastAsia="仿宋" w:cs="仿宋"/>
          <w:b/>
          <w:bCs/>
          <w:sz w:val="32"/>
          <w:szCs w:val="32"/>
          <w:u w:val="single"/>
          <w:lang w:val="en-US" w:eastAsia="zh-CN"/>
        </w:rPr>
        <w:t xml:space="preserve"> </w:t>
      </w:r>
      <w:r>
        <w:rPr>
          <w:rFonts w:hint="eastAsia" w:ascii="仿宋" w:hAnsi="仿宋" w:eastAsia="仿宋" w:cs="仿宋"/>
          <w:b w:val="0"/>
          <w:bCs w:val="0"/>
          <w:sz w:val="32"/>
          <w:szCs w:val="32"/>
          <w:u w:val="single"/>
          <w:lang w:val="en-US" w:eastAsia="zh-CN"/>
        </w:rPr>
        <w:t>是</w:t>
      </w:r>
      <w:r>
        <w:rPr>
          <w:rFonts w:hint="eastAsia" w:ascii="仿宋" w:hAnsi="仿宋" w:eastAsia="仿宋" w:cs="仿宋"/>
          <w:b/>
          <w:bCs/>
          <w:sz w:val="32"/>
          <w:szCs w:val="32"/>
          <w:u w:val="single"/>
          <w:lang w:val="en-US" w:eastAsia="zh-CN"/>
        </w:rPr>
        <w:t xml:space="preserve"> </w:t>
      </w:r>
      <w:bookmarkEnd w:id="0"/>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（未在规定时间勘踏的，视为了解现场施工工况及技术要求，现场勘踏联系人：贾磊 ，电话13722350860）</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六、施工内容：</w:t>
      </w:r>
    </w:p>
    <w:tbl>
      <w:tblPr>
        <w:tblStyle w:val="2"/>
        <w:tblpPr w:leftFromText="180" w:rightFromText="180" w:vertAnchor="text" w:horzAnchor="page" w:tblpX="934" w:tblpY="208"/>
        <w:tblOverlap w:val="never"/>
        <w:tblW w:w="10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1960"/>
        <w:gridCol w:w="1520"/>
        <w:gridCol w:w="1820"/>
        <w:gridCol w:w="1080"/>
        <w:gridCol w:w="1080"/>
        <w:gridCol w:w="1195"/>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施工内容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总价上限（元）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施工具体位置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ind w:left="0" w:leftChars="0" w:right="0" w:rightChars="0" w:firstLine="0" w:firstLineChars="0"/>
              <w:jc w:val="center"/>
              <w:rPr>
                <w:rFonts w:hint="eastAsia" w:ascii="方正仿宋_GB2312" w:hAnsi="方正仿宋_GB2312" w:eastAsia="方正仿宋_GB2312" w:cs="方正仿宋_GB2312"/>
                <w:i w:val="0"/>
                <w:iCs w:val="0"/>
                <w:color w:val="FF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首先需要使用40乘40加厚镀锌方钢焊接主框架，再使用彩钢铁板打底，使用加厚3M布喷绘事故案例画面安装到彩钢板上。整体安装到墙上框架四周用不锈钢边包边，未覆的墙体盖面滚涂油漆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方钢40乘40，镀锌管加铁皮架3M布不锈钢包边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520</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ascii="宋体" w:hAnsi="宋体" w:eastAsia="宋体" w:cs="宋体"/>
                <w:color w:val="000000"/>
                <w:spacing w:val="0"/>
                <w:position w:val="0"/>
                <w:sz w:val="24"/>
                <w:shd w:val="clear" w:fill="auto"/>
              </w:rPr>
              <w:t>69984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厂内</w:t>
            </w:r>
          </w:p>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首先使用户外漆黄色打底，然后使用黑色漆斜纹覆盖，描绘出鲜明警示线。</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户外漆黄黑警示线</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112</w:t>
            </w:r>
          </w:p>
        </w:tc>
        <w:tc>
          <w:tcPr>
            <w:tcW w:w="119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厂内</w:t>
            </w:r>
          </w:p>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首先使用户外涂料灰色满铺打底，然后使用白色户外涂料勾画线条墙砖状。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户外涂料灰色打底白色勾线</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48</w:t>
            </w:r>
          </w:p>
        </w:tc>
        <w:tc>
          <w:tcPr>
            <w:tcW w:w="119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厂内</w:t>
            </w:r>
          </w:p>
          <w:p>
            <w:pPr>
              <w:spacing w:before="0" w:after="0" w:line="240" w:lineRule="auto"/>
              <w:ind w:left="0" w:leftChars="0" w:right="0" w:rightChars="0" w:firstLine="0" w:firstLineChars="0"/>
              <w:jc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1"/>
                <w:szCs w:val="21"/>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结算方式:</w:t>
            </w:r>
            <w:r>
              <w:rPr>
                <w:rStyle w:val="5"/>
                <w:rFonts w:hint="eastAsia" w:ascii="方正仿宋_GB2312" w:hAnsi="方正仿宋_GB2312" w:eastAsia="方正仿宋_GB2312" w:cs="方正仿宋_GB2312"/>
                <w:sz w:val="24"/>
                <w:szCs w:val="24"/>
                <w:lang w:val="en-US" w:eastAsia="zh-CN" w:bidi="ar"/>
              </w:rPr>
              <w:t>验收合格后开具全额发票入账后按我公司资金计划付款</w:t>
            </w:r>
            <w:r>
              <w:rPr>
                <w:rStyle w:val="6"/>
                <w:rFonts w:hint="eastAsia" w:ascii="方正仿宋_GB2312" w:hAnsi="方正仿宋_GB2312" w:eastAsia="方正仿宋_GB2312" w:cs="方正仿宋_GB2312"/>
                <w:sz w:val="24"/>
                <w:szCs w:val="24"/>
                <w:lang w:val="en-US" w:eastAsia="zh-CN" w:bidi="ar"/>
              </w:rPr>
              <w:t>。付款方式：</w:t>
            </w:r>
            <w:r>
              <w:rPr>
                <w:rStyle w:val="5"/>
                <w:rFonts w:hint="eastAsia" w:ascii="方正仿宋_GB2312" w:hAnsi="方正仿宋_GB2312" w:eastAsia="方正仿宋_GB2312" w:cs="方正仿宋_GB2312"/>
                <w:sz w:val="24"/>
                <w:szCs w:val="24"/>
                <w:lang w:val="en-US" w:eastAsia="zh-CN" w:bidi="ar"/>
              </w:rPr>
              <w:t>电汇</w:t>
            </w:r>
            <w:r>
              <w:rPr>
                <w:rStyle w:val="6"/>
                <w:rFonts w:hint="eastAsia" w:ascii="方正仿宋_GB2312" w:hAnsi="方正仿宋_GB2312" w:eastAsia="方正仿宋_GB2312" w:cs="方正仿宋_GB2312"/>
                <w:sz w:val="24"/>
                <w:szCs w:val="24"/>
                <w:lang w:val="en-US" w:eastAsia="zh-CN" w:bidi="ar"/>
              </w:rPr>
              <w:t>。承包方式：包工包料，含施工中所有产生的费用。质保期：无</w:t>
            </w:r>
          </w:p>
        </w:tc>
      </w:tr>
    </w:tbl>
    <w:p>
      <w:pPr>
        <w:rPr>
          <w:rFonts w:hint="eastAsia" w:ascii="方正仿宋_GB2312" w:hAnsi="方正仿宋_GB2312" w:eastAsia="方正仿宋_GB2312" w:cs="方正仿宋_GB2312"/>
          <w:b/>
          <w:bCs/>
          <w:sz w:val="21"/>
          <w:szCs w:val="21"/>
        </w:rPr>
      </w:pPr>
    </w:p>
    <w:p>
      <w:pPr>
        <w:numPr>
          <w:ilvl w:val="0"/>
          <w:numId w:val="1"/>
        </w:numPr>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技术要求、规范、说明</w:t>
      </w:r>
      <w:r>
        <w:rPr>
          <w:rFonts w:hint="eastAsia" w:ascii="方正仿宋_GB2312" w:hAnsi="方正仿宋_GB2312" w:eastAsia="方正仿宋_GB2312" w:cs="方正仿宋_GB2312"/>
          <w:b/>
          <w:bCs/>
          <w:sz w:val="32"/>
          <w:szCs w:val="32"/>
          <w:lang w:eastAsia="zh-CN"/>
        </w:rPr>
        <w:t>：</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符合甲方使用要求,符合安全/环保部要求。</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、签订合同需提供的资料</w:t>
      </w:r>
    </w:p>
    <w:tbl>
      <w:tblPr>
        <w:tblStyle w:val="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80"/>
        <w:gridCol w:w="602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序号</w:t>
            </w:r>
          </w:p>
        </w:tc>
        <w:tc>
          <w:tcPr>
            <w:tcW w:w="1380"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审查内容</w:t>
            </w:r>
          </w:p>
        </w:tc>
        <w:tc>
          <w:tcPr>
            <w:tcW w:w="6023"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相关要求</w:t>
            </w:r>
          </w:p>
        </w:tc>
        <w:tc>
          <w:tcPr>
            <w:tcW w:w="1243" w:type="dxa"/>
            <w:vAlign w:val="center"/>
          </w:tcPr>
          <w:p>
            <w:pPr>
              <w:widowControl/>
              <w:jc w:val="center"/>
              <w:rPr>
                <w:rFonts w:hint="eastAsia" w:ascii="方正仿宋_GB2312" w:hAnsi="方正仿宋_GB2312" w:eastAsia="方正仿宋_GB2312" w:cs="方正仿宋_GB2312"/>
                <w:b/>
                <w:bCs/>
                <w:color w:val="000000"/>
                <w:kern w:val="0"/>
                <w:sz w:val="21"/>
                <w:szCs w:val="21"/>
                <w:lang w:val="en-US" w:eastAsia="zh-CN"/>
              </w:rPr>
            </w:pPr>
            <w:r>
              <w:rPr>
                <w:rFonts w:hint="eastAsia" w:ascii="方正仿宋_GB2312" w:hAnsi="方正仿宋_GB2312" w:eastAsia="方正仿宋_GB2312" w:cs="方正仿宋_GB2312"/>
                <w:b/>
                <w:bCs/>
                <w:color w:val="000000"/>
                <w:kern w:val="0"/>
                <w:sz w:val="21"/>
                <w:szCs w:val="21"/>
                <w:lang w:val="en-US" w:eastAsia="zh-CN"/>
              </w:rPr>
              <w:t>备注</w:t>
            </w:r>
            <w:r>
              <w:rPr>
                <w:rFonts w:hint="eastAsia" w:ascii="方正仿宋_GB2312" w:hAnsi="方正仿宋_GB2312" w:eastAsia="方正仿宋_GB2312" w:cs="方正仿宋_GB2312"/>
                <w:b/>
                <w:bCs/>
                <w:color w:val="000000"/>
                <w:kern w:val="0"/>
                <w:sz w:val="21"/>
                <w:szCs w:val="21"/>
                <w:lang w:val="en-US" w:eastAsia="zh-CN"/>
              </w:rPr>
              <w:br w:type="textWrapping"/>
            </w:r>
            <w:r>
              <w:rPr>
                <w:rFonts w:hint="eastAsia" w:ascii="方正仿宋_GB2312" w:hAnsi="方正仿宋_GB2312" w:eastAsia="方正仿宋_GB2312" w:cs="方正仿宋_GB2312"/>
                <w:b/>
                <w:bCs/>
                <w:color w:val="FF0000"/>
                <w:kern w:val="0"/>
                <w:sz w:val="21"/>
                <w:szCs w:val="21"/>
                <w:lang w:val="en-US" w:eastAsia="zh-CN"/>
              </w:rPr>
              <w:t>（请注明是否需要提供资料）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营业执照</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提供原件及复印件，复印件加盖公章。</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2</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资质证书</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提供原件及复印件，复印件公司公章。资质等级需与承包项目相符，且在专业平台如全国建筑市场监管公共服务平台可查。</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3</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安全生产许可证</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提供原件及复印件，复印件加盖公章（涉及矿山企业、建筑施工企业和危险化学品、烟花爆竹、民用爆炸物品生产企业提供）。</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4</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法定代表人身份证</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合同或安全协议签订人为法定代表人时，需提供身份证复印件。</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5</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法定代表人授权委托书及身份证</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合同或安全协议签订人不是法人代表本人时，须提供授权委托书（由法定代表人签字或签章，有身份证照片并加盖公司公章。）及委托代理人身份证。</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6</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施工业绩</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施工业绩需与承揽项目一致或类似，证明具有承揽同类项目施工能力，且业绩良好。</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7</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安全施工保证金</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按照项目进行缴纳，每个项目均需缴纳安全保证金，金额按照合同标的2%-10%（最低不少于2000元，最高不多于20万元）；如外包单位没有缴纳安全责任险或意外险，需缴纳不低于150万元的安全施工保证金，中标后收取。</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8</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安全承诺</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企业三年无一般及以上安全生产责任事故及提供材料证实性承诺，提供国家企业信用信息公示系统查询结果，并均加盖公章。</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9</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三项管理制度及生产安全事故应急救援预案</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提供安全生产责任制、安全管理制度和岗位安全操作规程目录，提供涉及本项目的生产安全事故应急救援预案，复印加盖单位公章。</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10</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项目负责人、拟进场专（兼）职安全管理人员的证书及特种作业人员操作证</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1、项目负责人、安全管理人员培训合格证明必须真实有效，且在有效期内，加盖单位公章。提供的安全管理人员必须在本次作业人员名单中，并负责现场安全。</w:t>
            </w:r>
          </w:p>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2、特种作业人员操作证应提供国家应急管理部网站查询结果纸质版并加盖公司公章。</w:t>
            </w:r>
          </w:p>
        </w:tc>
        <w:tc>
          <w:tcPr>
            <w:tcW w:w="124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11</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拟进场作业人员清单及身份证件</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12</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全体项目人员的安全教育培训考核记录</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提供每名进场作业人员考试试卷，必须本人答题，不得出现代答代签、替考问题，得分、判分有效，不得随意涂改；加盖公司公章。</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13</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涉及职业禁忌症作业人员的健康体检证明</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对电工、焊工等特种作业人员要提供由县级以上医院开具的体检报告原件及复印件。</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85"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14</w:t>
            </w:r>
          </w:p>
        </w:tc>
        <w:tc>
          <w:tcPr>
            <w:tcW w:w="1380"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涉及职业健康危害岗位人员的职业健康岗前体检证明</w:t>
            </w:r>
          </w:p>
        </w:tc>
        <w:tc>
          <w:tcPr>
            <w:tcW w:w="602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21"/>
                <w:shd w:val="clear" w:fill="auto"/>
              </w:rPr>
              <w:t>作业人员职业健康体检项目必须包含噪声、粉尘、高温项目（如作业项目确实不包含上述三项，经确认可减少），其他项目可根据实际情况进行添加。</w:t>
            </w:r>
          </w:p>
        </w:tc>
        <w:tc>
          <w:tcPr>
            <w:tcW w:w="1243" w:type="dxa"/>
            <w:vAlign w:val="center"/>
          </w:tcPr>
          <w:p>
            <w:pPr>
              <w:widowControl w:val="0"/>
              <w:spacing w:before="0" w:after="0" w:line="2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85"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15</w:t>
            </w:r>
          </w:p>
        </w:tc>
        <w:tc>
          <w:tcPr>
            <w:tcW w:w="1380"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拟进场作业人员缴纳工伤保险或人身意外伤害险证明</w:t>
            </w:r>
          </w:p>
        </w:tc>
        <w:tc>
          <w:tcPr>
            <w:tcW w:w="6023" w:type="dxa"/>
            <w:vAlign w:val="center"/>
          </w:tcPr>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1、提供的保险证明需由社保局或保险公司提供，并有社保局或保险公司印章。</w:t>
            </w:r>
          </w:p>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2、人身意外伤害险保额不应低于工伤保险一次性工亡补助金的额度。</w:t>
            </w:r>
          </w:p>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3、保险的范围要包括作业项目。</w:t>
            </w:r>
          </w:p>
        </w:tc>
        <w:tc>
          <w:tcPr>
            <w:tcW w:w="124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5"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16</w:t>
            </w:r>
          </w:p>
        </w:tc>
        <w:tc>
          <w:tcPr>
            <w:tcW w:w="1380"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拟进厂设备登记表</w:t>
            </w:r>
          </w:p>
        </w:tc>
        <w:tc>
          <w:tcPr>
            <w:tcW w:w="6023" w:type="dxa"/>
            <w:vAlign w:val="center"/>
          </w:tcPr>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1、需登记设备设施包含电焊机、手持电动工具、吊车、叉车及其他车辆、吊篮、起重工具（手拉葫芦、吊索具、千斤顶等）等，保证进场的设备设施安全可靠（需提供登记设备设施实际照片）。</w:t>
            </w:r>
          </w:p>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2、特种设备使用登记证、检测报告与实际设备设施相符，复印加盖单位公章。</w:t>
            </w:r>
          </w:p>
        </w:tc>
        <w:tc>
          <w:tcPr>
            <w:tcW w:w="124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485"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17</w:t>
            </w:r>
          </w:p>
        </w:tc>
        <w:tc>
          <w:tcPr>
            <w:tcW w:w="1380"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安全施工（作业）方案</w:t>
            </w:r>
          </w:p>
        </w:tc>
        <w:tc>
          <w:tcPr>
            <w:tcW w:w="6023" w:type="dxa"/>
            <w:vAlign w:val="center"/>
          </w:tcPr>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1、施工方案：安全管理网络、施工方式、作业流程、技术方案措施等；</w:t>
            </w:r>
          </w:p>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Cs/>
                <w:sz w:val="21"/>
                <w:szCs w:val="21"/>
              </w:rPr>
              <w:t>4、应急处置措施：即发生事故后的应急处置措施，如何抢救伤者、如何逃离、如何扑灭初起火灾、如何进行事故报告等。</w:t>
            </w:r>
          </w:p>
        </w:tc>
        <w:tc>
          <w:tcPr>
            <w:tcW w:w="1243" w:type="dxa"/>
            <w:vAlign w:val="center"/>
          </w:tcPr>
          <w:p>
            <w:pPr>
              <w:widowControl w:val="0"/>
              <w:spacing w:before="0" w:after="0" w:line="340" w:lineRule="auto"/>
              <w:ind w:left="0" w:leftChars="0" w:right="0" w:rightChars="0" w:firstLine="0" w:firstLineChars="0"/>
              <w:jc w:val="center"/>
              <w:rPr>
                <w:rFonts w:hint="eastAsia" w:ascii="仿宋" w:hAnsi="仿宋" w:eastAsia="仿宋" w:cs="仿宋"/>
                <w:bCs/>
                <w:sz w:val="21"/>
                <w:szCs w:val="21"/>
              </w:rPr>
            </w:pPr>
            <w:r>
              <w:rPr>
                <w:rFonts w:hint="eastAsia" w:ascii="仿宋" w:hAnsi="仿宋" w:eastAsia="仿宋" w:cs="仿宋"/>
                <w:color w:val="auto"/>
                <w:spacing w:val="0"/>
                <w:position w:val="0"/>
                <w:sz w:val="21"/>
                <w:shd w:val="clear" w:fill="auto"/>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485" w:type="dxa"/>
            <w:vAlign w:val="center"/>
          </w:tcPr>
          <w:p>
            <w:pPr>
              <w:widowControl/>
              <w:jc w:val="center"/>
              <w:rPr>
                <w:rFonts w:hint="eastAsia" w:ascii="方正仿宋_GB2312" w:hAnsi="方正仿宋_GB2312" w:eastAsia="方正仿宋_GB2312" w:cs="方正仿宋_GB2312"/>
                <w:b/>
                <w:bCs/>
                <w:color w:val="000000"/>
                <w:kern w:val="0"/>
                <w:sz w:val="21"/>
                <w:szCs w:val="21"/>
              </w:rPr>
            </w:pPr>
            <w:r>
              <w:rPr>
                <w:rFonts w:hint="eastAsia" w:ascii="方正仿宋_GB2312" w:hAnsi="方正仿宋_GB2312" w:eastAsia="方正仿宋_GB2312" w:cs="方正仿宋_GB2312"/>
                <w:b/>
                <w:bCs/>
                <w:color w:val="000000"/>
                <w:kern w:val="0"/>
                <w:sz w:val="21"/>
                <w:szCs w:val="21"/>
              </w:rPr>
              <w:t>18</w:t>
            </w:r>
          </w:p>
        </w:tc>
        <w:tc>
          <w:tcPr>
            <w:tcW w:w="1380" w:type="dxa"/>
            <w:vAlign w:val="center"/>
          </w:tcPr>
          <w:p>
            <w:pPr>
              <w:widowControl/>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视具体情况需要审查的其他有关材料</w:t>
            </w:r>
          </w:p>
        </w:tc>
        <w:tc>
          <w:tcPr>
            <w:tcW w:w="6023" w:type="dxa"/>
          </w:tcPr>
          <w:p>
            <w:pPr>
              <w:widowControl/>
              <w:spacing w:line="340" w:lineRule="exact"/>
              <w:jc w:val="left"/>
              <w:rPr>
                <w:rFonts w:hint="eastAsia" w:ascii="方正仿宋_GB2312" w:hAnsi="方正仿宋_GB2312" w:eastAsia="方正仿宋_GB2312" w:cs="方正仿宋_GB2312"/>
                <w:bCs/>
                <w:sz w:val="21"/>
                <w:szCs w:val="21"/>
              </w:rPr>
            </w:pPr>
          </w:p>
        </w:tc>
        <w:tc>
          <w:tcPr>
            <w:tcW w:w="1243" w:type="dxa"/>
          </w:tcPr>
          <w:p>
            <w:pPr>
              <w:widowControl/>
              <w:spacing w:line="340" w:lineRule="exact"/>
              <w:jc w:val="left"/>
              <w:rPr>
                <w:rFonts w:hint="eastAsia" w:ascii="方正仿宋_GB2312" w:hAnsi="方正仿宋_GB2312" w:eastAsia="方正仿宋_GB2312" w:cs="方正仿宋_GB2312"/>
                <w:bCs/>
                <w:sz w:val="21"/>
                <w:szCs w:val="21"/>
              </w:rPr>
            </w:pPr>
          </w:p>
        </w:tc>
      </w:tr>
    </w:tbl>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6AE57"/>
    <w:multiLevelType w:val="singleLevel"/>
    <w:tmpl w:val="8026AE5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mQ0OTRhNWQ5YmRmZjcwNzZhMDlhZTkzMzliZTEifQ=="/>
  </w:docVars>
  <w:rsids>
    <w:rsidRoot w:val="00000000"/>
    <w:rsid w:val="03FD1252"/>
    <w:rsid w:val="056A2CD6"/>
    <w:rsid w:val="0AAC1766"/>
    <w:rsid w:val="19A10C8B"/>
    <w:rsid w:val="20642D3C"/>
    <w:rsid w:val="22B97967"/>
    <w:rsid w:val="2CDA6E57"/>
    <w:rsid w:val="2EF53AD4"/>
    <w:rsid w:val="320C46A7"/>
    <w:rsid w:val="32A47CEB"/>
    <w:rsid w:val="38312021"/>
    <w:rsid w:val="3A667F7C"/>
    <w:rsid w:val="46001285"/>
    <w:rsid w:val="468A4BA0"/>
    <w:rsid w:val="47B24801"/>
    <w:rsid w:val="49C33AF4"/>
    <w:rsid w:val="4D267823"/>
    <w:rsid w:val="52862B12"/>
    <w:rsid w:val="53DF24DA"/>
    <w:rsid w:val="55A21A11"/>
    <w:rsid w:val="56905D0D"/>
    <w:rsid w:val="59EE791A"/>
    <w:rsid w:val="5AC1121E"/>
    <w:rsid w:val="5B1E61E9"/>
    <w:rsid w:val="5CAB1AF3"/>
    <w:rsid w:val="612754C0"/>
    <w:rsid w:val="64265F03"/>
    <w:rsid w:val="676C2341"/>
    <w:rsid w:val="6EF55F86"/>
    <w:rsid w:val="73076EFF"/>
    <w:rsid w:val="736727D1"/>
    <w:rsid w:val="73C117A4"/>
    <w:rsid w:val="746F681E"/>
    <w:rsid w:val="77764653"/>
    <w:rsid w:val="77C8358B"/>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51"/>
    <w:basedOn w:val="4"/>
    <w:qFormat/>
    <w:uiPriority w:val="0"/>
    <w:rPr>
      <w:rFonts w:hint="eastAsia" w:ascii="等线" w:hAnsi="等线" w:eastAsia="等线" w:cs="等线"/>
      <w:color w:val="000000"/>
      <w:sz w:val="22"/>
      <w:szCs w:val="22"/>
      <w:u w:val="single"/>
    </w:rPr>
  </w:style>
  <w:style w:type="character" w:customStyle="1" w:styleId="6">
    <w:name w:val="font01"/>
    <w:basedOn w:val="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2227</Characters>
  <Lines>0</Lines>
  <Paragraphs>0</Paragraphs>
  <TotalTime>6</TotalTime>
  <ScaleCrop>false</ScaleCrop>
  <LinksUpToDate>false</LinksUpToDate>
  <CharactersWithSpaces>2230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2022-08-27T09:06:00Z</dcterms:created>
  <dc:creator>94572</dc:creator>
  <cp:lastModifiedBy>易晓刚</cp:lastModifiedBy>
  <dcterms:modified xsi:type="dcterms:W3CDTF">2022-09-26T09:40:56Z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8854DA5CB71440EB9F6C447D40807A50</vt:lpwstr>
  </property>
</Properties>
</file>