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8" w:firstLineChars="700"/>
        <w:rPr>
          <w:b/>
          <w:bCs/>
          <w:sz w:val="28"/>
          <w:szCs w:val="28"/>
        </w:rPr>
      </w:pPr>
      <w:r>
        <w:rPr>
          <w:rFonts w:hint="eastAsia"/>
          <w:b/>
          <w:bCs/>
          <w:sz w:val="28"/>
          <w:szCs w:val="28"/>
        </w:rPr>
        <w:t>外委维修申请单流程施工方案要求</w:t>
      </w:r>
    </w:p>
    <w:p>
      <w:pPr>
        <w:ind w:firstLine="1968" w:firstLineChars="700"/>
        <w:rPr>
          <w:b/>
          <w:bCs/>
          <w:sz w:val="28"/>
          <w:szCs w:val="28"/>
        </w:rPr>
      </w:pPr>
    </w:p>
    <w:p>
      <w:pPr>
        <w:widowControl/>
        <w:numPr>
          <w:ilvl w:val="0"/>
          <w:numId w:val="1"/>
        </w:numPr>
        <w:jc w:val="left"/>
        <w:textAlignment w:val="center"/>
        <w:rPr>
          <w:rFonts w:hint="eastAsia"/>
          <w:b/>
          <w:bCs/>
          <w:sz w:val="32"/>
          <w:szCs w:val="40"/>
        </w:rPr>
      </w:pPr>
      <w:r>
        <w:rPr>
          <w:rFonts w:hint="eastAsia"/>
          <w:b/>
          <w:bCs/>
          <w:sz w:val="28"/>
          <w:szCs w:val="28"/>
        </w:rPr>
        <w:t>维修、施工、服务名称</w:t>
      </w:r>
      <w:r>
        <w:rPr>
          <w:rFonts w:hint="eastAsia"/>
          <w:b/>
          <w:bCs/>
          <w:sz w:val="32"/>
          <w:szCs w:val="40"/>
        </w:rPr>
        <w:t>：</w:t>
      </w:r>
    </w:p>
    <w:p>
      <w:pPr>
        <w:spacing w:line="360" w:lineRule="auto"/>
        <w:ind w:firstLine="480" w:firstLineChars="200"/>
        <w:jc w:val="center"/>
        <w:rPr>
          <w:rFonts w:hint="eastAsia" w:ascii="Times New Roman" w:hAnsi="宋体" w:eastAsia="宋体" w:cs="Times New Roman"/>
          <w:b/>
          <w:bCs/>
          <w:sz w:val="48"/>
          <w:szCs w:val="48"/>
          <w:lang w:val="en-US" w:eastAsia="zh-CN"/>
        </w:rPr>
      </w:pPr>
      <w:r>
        <w:rPr>
          <w:rFonts w:hint="eastAsia" w:ascii="宋体" w:hAnsi="宋体" w:eastAsia="宋体" w:cs="宋体"/>
          <w:color w:val="FF0000"/>
          <w:sz w:val="24"/>
          <w:szCs w:val="24"/>
          <w:lang w:val="en-US" w:eastAsia="zh-CN"/>
        </w:rPr>
        <w:t>熟料仓下彩钢长廊基础地面硬化</w:t>
      </w:r>
    </w:p>
    <w:p>
      <w:pPr>
        <w:widowControl/>
        <w:jc w:val="left"/>
        <w:textAlignment w:val="center"/>
        <w:rPr>
          <w:rFonts w:hint="eastAsia"/>
          <w:b/>
          <w:bCs/>
          <w:sz w:val="32"/>
          <w:szCs w:val="40"/>
        </w:rPr>
      </w:pPr>
      <w:r>
        <w:rPr>
          <w:rFonts w:hint="eastAsia"/>
          <w:b/>
          <w:bCs/>
          <w:sz w:val="28"/>
          <w:szCs w:val="28"/>
        </w:rPr>
        <w:t>二、工期要求</w:t>
      </w:r>
      <w:r>
        <w:rPr>
          <w:rFonts w:hint="eastAsia"/>
          <w:b/>
          <w:bCs/>
          <w:sz w:val="32"/>
          <w:szCs w:val="40"/>
        </w:rPr>
        <w:t>：</w:t>
      </w:r>
    </w:p>
    <w:p>
      <w:pPr>
        <w:widowControl/>
        <w:ind w:firstLine="480" w:firstLineChars="200"/>
        <w:jc w:val="left"/>
        <w:textAlignment w:val="center"/>
        <w:rPr>
          <w:rFonts w:hint="eastAsia" w:eastAsiaTheme="minorEastAsia"/>
          <w:color w:val="auto"/>
          <w:sz w:val="32"/>
          <w:szCs w:val="40"/>
          <w:lang w:eastAsia="zh-CN"/>
        </w:rPr>
      </w:pPr>
      <w:r>
        <w:rPr>
          <w:rFonts w:hint="eastAsia" w:ascii="宋体" w:hAnsi="宋体" w:eastAsia="宋体" w:cs="宋体"/>
          <w:color w:val="FF0000"/>
          <w:sz w:val="24"/>
          <w:szCs w:val="24"/>
          <w:lang w:val="en-US" w:eastAsia="zh-CN"/>
        </w:rPr>
        <w:t>熟料仓下彩钢长廊基础地面硬化</w:t>
      </w:r>
      <w:r>
        <w:rPr>
          <w:rFonts w:hint="eastAsia" w:ascii="宋体" w:hAnsi="宋体" w:cs="宋体"/>
          <w:color w:val="auto"/>
          <w:kern w:val="0"/>
          <w:sz w:val="24"/>
        </w:rPr>
        <w:t>合同审批签订后</w:t>
      </w:r>
      <w:r>
        <w:rPr>
          <w:rFonts w:hint="eastAsia" w:ascii="宋体" w:hAnsi="宋体" w:cs="宋体"/>
          <w:color w:val="auto"/>
          <w:kern w:val="0"/>
          <w:sz w:val="24"/>
          <w:lang w:val="en-US" w:eastAsia="zh-CN"/>
        </w:rPr>
        <w:t>30</w:t>
      </w:r>
      <w:r>
        <w:rPr>
          <w:rFonts w:hint="eastAsia" w:ascii="宋体" w:hAnsi="宋体" w:cs="宋体"/>
          <w:color w:val="auto"/>
          <w:kern w:val="0"/>
          <w:sz w:val="24"/>
        </w:rPr>
        <w:t>天内完工</w:t>
      </w:r>
      <w:r>
        <w:rPr>
          <w:rFonts w:hint="eastAsia" w:ascii="宋体" w:hAnsi="宋体" w:cs="宋体"/>
          <w:color w:val="auto"/>
          <w:kern w:val="0"/>
          <w:sz w:val="24"/>
          <w:lang w:eastAsia="zh-CN"/>
        </w:rPr>
        <w:t>。</w:t>
      </w:r>
    </w:p>
    <w:p>
      <w:pPr>
        <w:widowControl/>
        <w:jc w:val="left"/>
        <w:textAlignment w:val="center"/>
        <w:rPr>
          <w:rFonts w:hint="eastAsia"/>
          <w:b/>
          <w:bCs/>
          <w:sz w:val="28"/>
          <w:szCs w:val="28"/>
        </w:rPr>
      </w:pPr>
      <w:r>
        <w:rPr>
          <w:rFonts w:hint="eastAsia"/>
          <w:b/>
          <w:bCs/>
          <w:sz w:val="28"/>
          <w:szCs w:val="28"/>
        </w:rPr>
        <w:t>三、针对此外委施工供应商需要提供的资质：</w:t>
      </w:r>
    </w:p>
    <w:p>
      <w:pPr>
        <w:widowControl/>
        <w:ind w:firstLine="480" w:firstLineChars="200"/>
        <w:jc w:val="left"/>
        <w:textAlignment w:val="center"/>
        <w:rPr>
          <w:rFonts w:hint="default" w:eastAsiaTheme="minorEastAsia"/>
          <w:sz w:val="28"/>
          <w:szCs w:val="36"/>
          <w:lang w:val="en-US" w:eastAsia="zh-CN"/>
        </w:rPr>
      </w:pPr>
      <w:r>
        <w:rPr>
          <w:rFonts w:hint="eastAsia" w:ascii="宋体" w:hAnsi="宋体" w:cs="宋体"/>
          <w:color w:val="000000"/>
          <w:kern w:val="0"/>
          <w:sz w:val="24"/>
        </w:rPr>
        <w:t>施工相关方</w:t>
      </w:r>
      <w:r>
        <w:rPr>
          <w:rFonts w:hint="eastAsia" w:ascii="宋体" w:hAnsi="宋体" w:cs="宋体"/>
          <w:color w:val="000000"/>
          <w:kern w:val="0"/>
          <w:sz w:val="24"/>
          <w:lang w:val="en-US" w:eastAsia="zh-CN"/>
        </w:rPr>
        <w:t>需提供混凝土建筑类，安全生产许可证资质</w:t>
      </w:r>
    </w:p>
    <w:p>
      <w:pPr>
        <w:widowControl/>
        <w:numPr>
          <w:ilvl w:val="0"/>
          <w:numId w:val="2"/>
        </w:numPr>
        <w:jc w:val="left"/>
        <w:textAlignment w:val="center"/>
        <w:rPr>
          <w:rFonts w:hint="eastAsia"/>
          <w:b/>
          <w:bCs/>
          <w:sz w:val="28"/>
          <w:szCs w:val="28"/>
        </w:rPr>
      </w:pPr>
      <w:r>
        <w:rPr>
          <w:rFonts w:hint="eastAsia"/>
          <w:b/>
          <w:bCs/>
          <w:sz w:val="28"/>
          <w:szCs w:val="28"/>
        </w:rPr>
        <w:t>承包方式：</w:t>
      </w:r>
    </w:p>
    <w:p>
      <w:pPr>
        <w:widowControl/>
        <w:numPr>
          <w:ilvl w:val="0"/>
          <w:numId w:val="0"/>
        </w:numPr>
        <w:ind w:firstLine="480" w:firstLineChars="200"/>
        <w:jc w:val="left"/>
        <w:textAlignment w:val="center"/>
        <w:rPr>
          <w:sz w:val="28"/>
          <w:szCs w:val="36"/>
        </w:rPr>
      </w:pPr>
      <w:r>
        <w:rPr>
          <w:rFonts w:hint="eastAsia" w:ascii="宋体" w:hAnsi="宋体" w:cs="宋体"/>
          <w:color w:val="000000"/>
          <w:kern w:val="0"/>
          <w:sz w:val="24"/>
        </w:rPr>
        <w:t>乙方包工包料 （包括吊装运输车辆，铆焊件</w:t>
      </w:r>
      <w:r>
        <w:rPr>
          <w:rFonts w:hint="eastAsia" w:ascii="宋体" w:hAnsi="宋体" w:cs="宋体"/>
          <w:color w:val="000000"/>
          <w:kern w:val="0"/>
          <w:sz w:val="24"/>
          <w:lang w:val="en-US" w:eastAsia="zh-CN"/>
        </w:rPr>
        <w:t>基础预埋件</w:t>
      </w:r>
      <w:r>
        <w:rPr>
          <w:rFonts w:hint="eastAsia" w:ascii="宋体" w:hAnsi="宋体" w:cs="宋体"/>
          <w:color w:val="000000"/>
          <w:kern w:val="0"/>
          <w:sz w:val="24"/>
        </w:rPr>
        <w:t>制作材料，五金配件，焊接材料、</w:t>
      </w:r>
      <w:r>
        <w:rPr>
          <w:rFonts w:hint="eastAsia" w:ascii="宋体" w:hAnsi="宋体" w:cs="宋体"/>
          <w:color w:val="000000"/>
          <w:kern w:val="0"/>
          <w:sz w:val="24"/>
          <w:lang w:val="en-US" w:eastAsia="zh-CN"/>
        </w:rPr>
        <w:t>预拌混凝土</w:t>
      </w:r>
      <w:r>
        <w:rPr>
          <w:rFonts w:hint="eastAsia" w:ascii="宋体" w:hAnsi="宋体" w:cs="宋体"/>
          <w:color w:val="000000"/>
          <w:kern w:val="0"/>
          <w:sz w:val="24"/>
        </w:rPr>
        <w:t>、</w:t>
      </w:r>
      <w:r>
        <w:rPr>
          <w:rFonts w:hint="eastAsia" w:ascii="宋体" w:hAnsi="宋体" w:cs="宋体"/>
          <w:color w:val="000000"/>
          <w:kern w:val="0"/>
          <w:sz w:val="24"/>
          <w:lang w:val="en-US" w:eastAsia="zh-CN"/>
        </w:rPr>
        <w:t>基础地面硬化钢筋网所有材料</w:t>
      </w:r>
      <w:r>
        <w:rPr>
          <w:rFonts w:hint="eastAsia" w:ascii="宋体" w:hAnsi="宋体" w:cs="宋体"/>
          <w:color w:val="000000"/>
          <w:kern w:val="0"/>
          <w:sz w:val="24"/>
        </w:rPr>
        <w:t xml:space="preserve">等）   </w:t>
      </w:r>
    </w:p>
    <w:p>
      <w:pPr>
        <w:rPr>
          <w:b/>
          <w:bCs/>
          <w:sz w:val="28"/>
          <w:szCs w:val="28"/>
        </w:rPr>
      </w:pPr>
      <w:r>
        <w:rPr>
          <w:rFonts w:hint="eastAsia"/>
          <w:b/>
          <w:bCs/>
          <w:sz w:val="28"/>
          <w:szCs w:val="28"/>
        </w:rPr>
        <w:t>五、是否需勘踏现场。</w:t>
      </w:r>
    </w:p>
    <w:p>
      <w:pPr>
        <w:widowControl/>
        <w:numPr>
          <w:ilvl w:val="0"/>
          <w:numId w:val="0"/>
        </w:numPr>
        <w:ind w:firstLine="480" w:firstLineChars="200"/>
        <w:jc w:val="left"/>
        <w:textAlignment w:val="center"/>
        <w:rPr>
          <w:rFonts w:hint="eastAsia" w:ascii="宋体" w:hAnsi="宋体" w:cs="宋体"/>
          <w:color w:val="000000"/>
          <w:kern w:val="0"/>
          <w:sz w:val="24"/>
        </w:rPr>
      </w:pPr>
      <w:r>
        <w:rPr>
          <w:rFonts w:hint="eastAsia" w:ascii="宋体" w:hAnsi="宋体" w:cs="宋体"/>
          <w:color w:val="000000"/>
          <w:kern w:val="0"/>
          <w:sz w:val="24"/>
        </w:rPr>
        <w:t xml:space="preserve"> 需要到现场勘踏</w:t>
      </w:r>
    </w:p>
    <w:p>
      <w:pPr>
        <w:rPr>
          <w:b/>
          <w:bCs/>
          <w:sz w:val="28"/>
          <w:szCs w:val="28"/>
        </w:rPr>
      </w:pPr>
      <w:r>
        <w:rPr>
          <w:rFonts w:hint="eastAsia"/>
          <w:b/>
          <w:bCs/>
          <w:sz w:val="28"/>
          <w:szCs w:val="28"/>
        </w:rPr>
        <w:t>六、施工内容：</w:t>
      </w:r>
      <w:permStart w:id="0" w:edGrp="everyone"/>
      <w:permEnd w:id="0"/>
    </w:p>
    <w:tbl>
      <w:tblPr>
        <w:tblStyle w:val="3"/>
        <w:tblpPr w:leftFromText="180" w:rightFromText="180" w:vertAnchor="text" w:horzAnchor="page" w:tblpX="1155" w:tblpY="839"/>
        <w:tblOverlap w:val="never"/>
        <w:tblW w:w="10422" w:type="dxa"/>
        <w:tblInd w:w="0" w:type="dxa"/>
        <w:tblLayout w:type="fixed"/>
        <w:tblCellMar>
          <w:top w:w="0" w:type="dxa"/>
          <w:left w:w="108" w:type="dxa"/>
          <w:bottom w:w="0" w:type="dxa"/>
          <w:right w:w="108" w:type="dxa"/>
        </w:tblCellMar>
      </w:tblPr>
      <w:tblGrid>
        <w:gridCol w:w="747"/>
        <w:gridCol w:w="2471"/>
        <w:gridCol w:w="2123"/>
        <w:gridCol w:w="1403"/>
        <w:gridCol w:w="480"/>
        <w:gridCol w:w="468"/>
        <w:gridCol w:w="1021"/>
        <w:gridCol w:w="748"/>
        <w:gridCol w:w="961"/>
      </w:tblGrid>
      <w:tr>
        <w:tblPrEx>
          <w:tblCellMar>
            <w:top w:w="0" w:type="dxa"/>
            <w:left w:w="108" w:type="dxa"/>
            <w:bottom w:w="0" w:type="dxa"/>
            <w:right w:w="108" w:type="dxa"/>
          </w:tblCellMar>
        </w:tblPrEx>
        <w:trPr>
          <w:trHeight w:val="1438"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分项内容</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技术要求、规范、说明</w:t>
            </w: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方案内容</w:t>
            </w:r>
          </w:p>
        </w:tc>
        <w:tc>
          <w:tcPr>
            <w:tcW w:w="14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地点</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数量</w:t>
            </w:r>
          </w:p>
        </w:tc>
        <w:tc>
          <w:tcPr>
            <w:tcW w:w="4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单位</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单价上限</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质保期</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质量、验收标准</w:t>
            </w:r>
          </w:p>
        </w:tc>
      </w:tr>
      <w:tr>
        <w:tblPrEx>
          <w:tblCellMar>
            <w:top w:w="0" w:type="dxa"/>
            <w:left w:w="108" w:type="dxa"/>
            <w:bottom w:w="0" w:type="dxa"/>
            <w:right w:w="108" w:type="dxa"/>
          </w:tblCellMar>
        </w:tblPrEx>
        <w:trPr>
          <w:trHeight w:val="2649" w:hRule="atLeast"/>
        </w:trPr>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1</w:t>
            </w:r>
          </w:p>
        </w:tc>
        <w:tc>
          <w:tcPr>
            <w:tcW w:w="2471"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按照国家预拌混凝土GB/T14902-2012标准规范实施做到安全施工，施工完毕要求人走场净</w:t>
            </w:r>
          </w:p>
        </w:tc>
        <w:tc>
          <w:tcPr>
            <w:tcW w:w="2123"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1、熟料仓下北边混凝土地面200平米开裂变形，厚20厘米200平米原有混凝土地面，拆除40方，由于地点限制作业机械到不了现场，需要人工二次挖土125方，回填土125方夯实，拆除40方旧混凝土</w:t>
            </w:r>
            <w:permStart w:id="1" w:edGrp="everyone"/>
            <w:permEnd w:id="1"/>
            <w:r>
              <w:rPr>
                <w:rFonts w:hint="eastAsia" w:ascii="宋体" w:hAnsi="宋体" w:eastAsia="宋体" w:cs="宋体"/>
                <w:b w:val="0"/>
                <w:bCs w:val="0"/>
                <w:color w:val="000000"/>
                <w:kern w:val="0"/>
                <w:szCs w:val="21"/>
                <w:lang w:val="en-US" w:eastAsia="zh-CN" w:bidi="ar"/>
              </w:rPr>
              <w:t xml:space="preserve">外运 </w:t>
            </w:r>
          </w:p>
          <w:p>
            <w:pPr>
              <w:widowControl/>
              <w:jc w:val="left"/>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2、</w:t>
            </w:r>
            <w:r>
              <w:rPr>
                <w:rFonts w:hint="eastAsia"/>
                <w:sz w:val="32"/>
                <w:szCs w:val="40"/>
                <w:lang w:val="en-US" w:eastAsia="zh-CN"/>
              </w:rPr>
              <w:t xml:space="preserve"> </w:t>
            </w:r>
            <w:r>
              <w:rPr>
                <w:rFonts w:hint="eastAsia" w:ascii="宋体" w:hAnsi="宋体" w:eastAsia="宋体" w:cs="宋体"/>
                <w:b w:val="0"/>
                <w:bCs w:val="0"/>
                <w:color w:val="000000"/>
                <w:kern w:val="0"/>
                <w:szCs w:val="21"/>
                <w:lang w:val="en-US" w:eastAsia="zh-CN" w:bidi="ar"/>
              </w:rPr>
              <w:t>每个皮带长廊基础长廊墙体长20米高1米*3个长廊墙体混凝土修复60平米，</w:t>
            </w:r>
            <w:bookmarkStart w:id="0" w:name="_GoBack"/>
            <w:bookmarkEnd w:id="0"/>
            <w:r>
              <w:rPr>
                <w:rFonts w:hint="eastAsia" w:ascii="宋体" w:hAnsi="宋体" w:eastAsia="宋体" w:cs="宋体"/>
                <w:b w:val="0"/>
                <w:bCs w:val="0"/>
                <w:color w:val="000000"/>
                <w:kern w:val="0"/>
                <w:szCs w:val="21"/>
                <w:lang w:val="en-US" w:eastAsia="zh-CN" w:bidi="ar"/>
              </w:rPr>
              <w:t xml:space="preserve">20厘米厚，主钢筋φ14mm螺纹钢套φ8mm螺纹钢，墙板网格150mm*150mm作为混凝土骨架，混凝土墙体上方支撑长廊立柱预埋件400*400*20八块。地面钢筋网格400mm*400mm作为200平米×20厘米厚地面硬化混凝土骨架，地面硬化前预埋700*700*20预埋件浇筑风机底座。 墙体修复、地面硬化全部使用钢筋φ14mm，螺纹钢套φ8mm各0.5吨，用c30混凝土浇筑。                          </w:t>
            </w:r>
          </w:p>
          <w:p>
            <w:pPr>
              <w:widowControl/>
              <w:jc w:val="both"/>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3、修复变形彩钢25平米，修复2米*1米铁门三套，每套门矫正，修复门轴，门栓，彩钢颜色参考旧彩钢，彩钢厚度不能低于0.6mm以下</w:t>
            </w:r>
          </w:p>
        </w:tc>
        <w:tc>
          <w:tcPr>
            <w:tcW w:w="1403"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水泥磨熟料仓北1道2道3道彩钢长廊之间空地</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1</w:t>
            </w:r>
          </w:p>
        </w:tc>
        <w:tc>
          <w:tcPr>
            <w:tcW w:w="468"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项</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91287.50元</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default"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1年</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按照建筑地基基础工程施工质量验收标准GB 50204-2018按甲方要求实施验收</w:t>
            </w:r>
          </w:p>
        </w:tc>
      </w:tr>
    </w:tbl>
    <w:p>
      <w:pPr>
        <w:widowControl/>
        <w:jc w:val="both"/>
        <w:rPr>
          <w:rFonts w:hint="eastAsia" w:ascii="宋体" w:hAnsi="宋体" w:eastAsia="宋体" w:cs="宋体"/>
          <w:b w:val="0"/>
          <w:bCs w:val="0"/>
          <w:color w:val="000000"/>
          <w:kern w:val="0"/>
          <w:szCs w:val="21"/>
          <w:lang w:val="en-US" w:eastAsia="zh-CN" w:bidi="ar"/>
        </w:rPr>
      </w:pPr>
    </w:p>
    <w:p>
      <w:pPr>
        <w:widowControl/>
        <w:jc w:val="both"/>
        <w:rPr>
          <w:rFonts w:ascii="宋体" w:hAnsi="宋体" w:cs="宋体"/>
          <w:b/>
          <w:bCs/>
          <w:sz w:val="28"/>
          <w:szCs w:val="28"/>
        </w:rPr>
      </w:pPr>
      <w:r>
        <w:rPr>
          <w:rFonts w:hint="eastAsia" w:ascii="宋体" w:hAnsi="宋体" w:eastAsia="宋体" w:cs="宋体"/>
          <w:b/>
          <w:bCs/>
          <w:color w:val="000000"/>
          <w:kern w:val="0"/>
          <w:szCs w:val="21"/>
          <w:lang w:val="en-US" w:eastAsia="zh-CN" w:bidi="ar"/>
        </w:rPr>
        <w:t>施工安全措施</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1 进入现场要按规定穿戴好劳动保护用品，工作时注意头上脚下和他人，树立“预防为主、安全第一”的思想</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2 高空作业，必须系好安全带。</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3 拆除和吊装前必须检查吊耳卡具合格后方可吊装，吊件下方严禁站人。</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4 遇到恶劣天气前认真检查施工现场临时设施，临时线路，机电设备等要采取有效防护措施，必要时停工。</w:t>
      </w:r>
    </w:p>
    <w:p>
      <w:pPr>
        <w:widowControl/>
        <w:ind w:firstLine="480" w:firstLineChars="200"/>
        <w:jc w:val="left"/>
        <w:textAlignment w:val="center"/>
        <w:rPr>
          <w:rFonts w:ascii="宋体" w:hAnsi="宋体" w:cs="宋体"/>
          <w:color w:val="000000"/>
          <w:kern w:val="0"/>
          <w:sz w:val="24"/>
        </w:rPr>
      </w:pPr>
      <w:r>
        <w:rPr>
          <w:rFonts w:hint="eastAsia" w:ascii="宋体" w:hAnsi="宋体" w:cs="宋体"/>
          <w:color w:val="000000"/>
          <w:kern w:val="0"/>
          <w:sz w:val="24"/>
        </w:rPr>
        <w:t>5 机电设备必须由专业人员操作。</w:t>
      </w:r>
    </w:p>
    <w:p>
      <w:pPr>
        <w:widowControl/>
        <w:ind w:firstLine="480" w:firstLineChars="200"/>
        <w:jc w:val="left"/>
        <w:textAlignment w:val="center"/>
        <w:rPr>
          <w:rFonts w:hint="eastAsia"/>
          <w:b/>
          <w:bCs/>
          <w:sz w:val="28"/>
          <w:szCs w:val="28"/>
        </w:rPr>
      </w:pPr>
      <w:r>
        <w:rPr>
          <w:rFonts w:hint="eastAsia" w:ascii="宋体" w:hAnsi="宋体" w:cs="宋体"/>
          <w:color w:val="000000"/>
          <w:kern w:val="0"/>
          <w:sz w:val="24"/>
        </w:rPr>
        <w:t>6 所有参加施工人员必须熟悉本施工方案，并严格执行。</w:t>
      </w:r>
    </w:p>
    <w:p>
      <w:pPr>
        <w:rPr>
          <w:b/>
          <w:bCs/>
          <w:sz w:val="28"/>
          <w:szCs w:val="28"/>
        </w:rPr>
      </w:pPr>
      <w:r>
        <w:rPr>
          <w:rFonts w:hint="eastAsia"/>
          <w:b/>
          <w:bCs/>
          <w:sz w:val="28"/>
          <w:szCs w:val="28"/>
        </w:rPr>
        <w:t>七、付款方式</w:t>
      </w:r>
    </w:p>
    <w:p>
      <w:pPr>
        <w:numPr>
          <w:ilvl w:val="0"/>
          <w:numId w:val="0"/>
        </w:numPr>
        <w:spacing w:line="400" w:lineRule="exact"/>
        <w:ind w:firstLine="480" w:firstLineChars="200"/>
        <w:rPr>
          <w:rFonts w:hint="eastAsia" w:ascii="宋体" w:hAnsi="宋体" w:eastAsiaTheme="minorEastAsia"/>
          <w:sz w:val="24"/>
          <w:lang w:val="en-US" w:eastAsia="zh-CN"/>
        </w:rPr>
      </w:pPr>
      <w:r>
        <w:rPr>
          <w:rFonts w:hint="eastAsia" w:ascii="宋体" w:hAnsi="宋体"/>
          <w:sz w:val="24"/>
        </w:rPr>
        <w:t>甲乙双方完工验收合格并开具增值税专用发票</w:t>
      </w:r>
      <w:r>
        <w:rPr>
          <w:rFonts w:hint="eastAsia" w:ascii="宋体" w:hAnsi="宋体"/>
          <w:sz w:val="24"/>
          <w:lang w:eastAsia="zh-CN"/>
        </w:rPr>
        <w:t>，</w:t>
      </w:r>
      <w:r>
        <w:rPr>
          <w:rFonts w:hint="eastAsia" w:ascii="宋体" w:hAnsi="宋体"/>
          <w:sz w:val="24"/>
        </w:rPr>
        <w:t>并</w:t>
      </w:r>
      <w:r>
        <w:rPr>
          <w:rFonts w:hint="eastAsia" w:ascii="宋体" w:hAnsi="宋体"/>
          <w:sz w:val="24"/>
          <w:lang w:val="en-US" w:eastAsia="zh-CN"/>
        </w:rPr>
        <w:t>甲方</w:t>
      </w:r>
      <w:r>
        <w:rPr>
          <w:rFonts w:hint="eastAsia" w:ascii="宋体" w:hAnsi="宋体"/>
          <w:sz w:val="24"/>
        </w:rPr>
        <w:t>财务</w:t>
      </w:r>
      <w:r>
        <w:rPr>
          <w:rFonts w:hint="eastAsia" w:ascii="宋体" w:hAnsi="宋体"/>
          <w:sz w:val="24"/>
          <w:lang w:val="en-US" w:eastAsia="zh-CN"/>
        </w:rPr>
        <w:t>资金</w:t>
      </w:r>
      <w:r>
        <w:rPr>
          <w:rFonts w:hint="eastAsia" w:ascii="宋体" w:hAnsi="宋体"/>
          <w:sz w:val="24"/>
        </w:rPr>
        <w:t>录入后</w:t>
      </w:r>
      <w:r>
        <w:rPr>
          <w:rFonts w:hint="eastAsia" w:ascii="宋体" w:hAnsi="宋体"/>
          <w:sz w:val="24"/>
          <w:lang w:val="en-US" w:eastAsia="zh-CN"/>
        </w:rPr>
        <w:t>审批通过</w:t>
      </w:r>
      <w:r>
        <w:rPr>
          <w:rFonts w:hint="eastAsia" w:ascii="宋体" w:hAnsi="宋体"/>
          <w:sz w:val="24"/>
        </w:rPr>
        <w:t>付</w:t>
      </w:r>
      <w:r>
        <w:rPr>
          <w:rFonts w:hint="eastAsia" w:ascii="宋体" w:hAnsi="宋体"/>
          <w:sz w:val="24"/>
          <w:lang w:val="en-US" w:eastAsia="zh-CN"/>
        </w:rPr>
        <w:t>款</w:t>
      </w:r>
    </w:p>
    <w:p>
      <w:pPr>
        <w:rPr>
          <w:rFonts w:hint="eastAsia"/>
          <w:b/>
          <w:bCs/>
          <w:sz w:val="28"/>
          <w:szCs w:val="28"/>
        </w:rPr>
      </w:pPr>
      <w:r>
        <w:rPr>
          <w:rFonts w:hint="eastAsia"/>
          <w:b/>
          <w:bCs/>
          <w:sz w:val="28"/>
          <w:szCs w:val="28"/>
        </w:rPr>
        <w:t>八、签订合同需提供的资料</w:t>
      </w:r>
    </w:p>
    <w:tbl>
      <w:tblPr>
        <w:tblStyle w:val="4"/>
        <w:tblW w:w="7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325"/>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序号</w:t>
            </w:r>
          </w:p>
        </w:tc>
        <w:tc>
          <w:tcPr>
            <w:tcW w:w="1325" w:type="dxa"/>
            <w:vAlign w:val="center"/>
          </w:tcPr>
          <w:p>
            <w:pPr>
              <w:widowControl/>
              <w:jc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审查内容</w:t>
            </w:r>
          </w:p>
        </w:tc>
        <w:tc>
          <w:tcPr>
            <w:tcW w:w="5059" w:type="dxa"/>
            <w:vAlign w:val="center"/>
          </w:tcPr>
          <w:p>
            <w:pPr>
              <w:widowControl/>
              <w:jc w:val="center"/>
              <w:rPr>
                <w:rFonts w:hint="eastAsia" w:ascii="仿宋" w:hAnsi="仿宋" w:eastAsia="仿宋" w:cs="仿宋"/>
                <w:b/>
                <w:bCs/>
                <w:color w:val="000000"/>
                <w:kern w:val="0"/>
                <w:szCs w:val="21"/>
                <w:lang w:eastAsia="zh-CN" w:bidi="ar"/>
              </w:rPr>
            </w:pPr>
            <w:r>
              <w:rPr>
                <w:rFonts w:hint="eastAsia" w:ascii="仿宋" w:hAnsi="仿宋" w:eastAsia="仿宋" w:cs="仿宋"/>
                <w:b/>
                <w:bCs/>
                <w:color w:val="000000"/>
                <w:kern w:val="0"/>
                <w:szCs w:val="21"/>
                <w:lang w:bidi="ar"/>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营业执照</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资质证书</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提供原件及复印件，复印件公司公章。资质等级需与承包项目相符，且在专业平台如全国建筑市场监管公共服务平台可查。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3</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安全生产许可证</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提供原件及复印件，复印件加盖公章（涉及矿山企业、建筑施工企业和危险化学品、烟花爆竹、民用爆炸物品生产企业提供）。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4</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法定代表人身份证</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5</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法定代表人授权委托书及身份证</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6</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施工业绩</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7</w:t>
            </w:r>
          </w:p>
        </w:tc>
        <w:tc>
          <w:tcPr>
            <w:tcW w:w="1325" w:type="dxa"/>
            <w:vAlign w:val="center"/>
          </w:tcPr>
          <w:p>
            <w:pPr>
              <w:widowControl/>
              <w:jc w:val="center"/>
              <w:rPr>
                <w:rFonts w:ascii="宋体" w:hAnsi="宋体" w:eastAsia="宋体" w:cs="宋体"/>
                <w:bCs/>
                <w:szCs w:val="21"/>
                <w:lang w:bidi="ar"/>
              </w:rPr>
            </w:pPr>
            <w:r>
              <w:rPr>
                <w:rFonts w:hint="eastAsia" w:ascii="宋体" w:hAnsi="宋体" w:eastAsia="宋体" w:cs="宋体"/>
                <w:bCs/>
                <w:szCs w:val="21"/>
                <w:lang w:bidi="ar"/>
              </w:rPr>
              <w:t>安全施工保证金</w:t>
            </w:r>
          </w:p>
        </w:tc>
        <w:tc>
          <w:tcPr>
            <w:tcW w:w="5059" w:type="dxa"/>
          </w:tcPr>
          <w:p>
            <w:pPr>
              <w:widowControl/>
              <w:rPr>
                <w:rFonts w:ascii="宋体" w:hAnsi="宋体" w:eastAsia="宋体" w:cs="宋体"/>
                <w:bCs/>
                <w:szCs w:val="21"/>
                <w:lang w:bidi="ar"/>
              </w:rPr>
            </w:pPr>
            <w:r>
              <w:rPr>
                <w:rFonts w:hint="eastAsia" w:ascii="宋体" w:hAnsi="宋体" w:eastAsia="宋体" w:cs="宋体"/>
                <w:bCs/>
                <w:szCs w:val="21"/>
                <w:lang w:bidi="ar"/>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8</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安全承诺</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9</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三项管理制度及生产安全事故应急救援预案</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10</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项目负责人、拟进场专（兼）职安全管理人员的证书及特种作业人员操作证</w:t>
            </w:r>
          </w:p>
        </w:tc>
        <w:tc>
          <w:tcPr>
            <w:tcW w:w="5059"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1、项目负责人、安全管理人员培训合格证明必须真实有效，且在有效期内，加盖单位公章。提供的安全管理人员必须在本次作业人员名单中，并负责现场安全。</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11</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拟进场作业人员清单及身份证件</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12</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全体项目人员的安全教育培训考核记录</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13</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涉及职业禁忌症作业人员的健康体检证明</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14</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涉及职业健康危害岗位人员的职业健康岗前体检证明</w:t>
            </w:r>
          </w:p>
        </w:tc>
        <w:tc>
          <w:tcPr>
            <w:tcW w:w="5059" w:type="dxa"/>
          </w:tcPr>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15</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拟进场作业人员缴纳工伤保险或人身意外伤害险证明</w:t>
            </w:r>
          </w:p>
        </w:tc>
        <w:tc>
          <w:tcPr>
            <w:tcW w:w="5059"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1、提供的保险证明需由社保局或保险公司提供，并有社保局或保险公司印章。</w:t>
            </w:r>
          </w:p>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2、人身意外伤害险保额不应低于工伤保险一次性工亡补助金的额度。</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16</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拟进厂设备登记表</w:t>
            </w:r>
          </w:p>
        </w:tc>
        <w:tc>
          <w:tcPr>
            <w:tcW w:w="5059"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1、需登记设备设施包含电焊机、手持电动工具、吊车、叉车及其他车辆、吊篮、起重工具（手拉葫芦、吊索具、千斤顶等）等，保证进场的设备设施安全可靠（需提供登记设备设施实际照片）。</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17</w:t>
            </w:r>
          </w:p>
        </w:tc>
        <w:tc>
          <w:tcPr>
            <w:tcW w:w="1325"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Cs/>
                <w:szCs w:val="21"/>
                <w:lang w:bidi="ar"/>
              </w:rPr>
              <w:t>安全施工（作业）方案</w:t>
            </w:r>
          </w:p>
        </w:tc>
        <w:tc>
          <w:tcPr>
            <w:tcW w:w="5059" w:type="dxa"/>
          </w:tcPr>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 xml:space="preserve">1、施工方案：安全管理网络、施工方式、作业流程、技术方案措施等； </w:t>
            </w:r>
          </w:p>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宋体" w:hAnsi="宋体" w:eastAsia="宋体" w:cs="宋体"/>
                <w:bCs/>
                <w:szCs w:val="21"/>
                <w:lang w:bidi="ar"/>
              </w:rPr>
            </w:pPr>
            <w:r>
              <w:rPr>
                <w:rFonts w:hint="eastAsia" w:ascii="宋体" w:hAnsi="宋体" w:eastAsia="宋体" w:cs="宋体"/>
                <w:bCs/>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ascii="宋体" w:hAnsi="宋体" w:eastAsia="宋体" w:cs="宋体"/>
                <w:b/>
                <w:bCs/>
                <w:color w:val="000000"/>
                <w:kern w:val="0"/>
                <w:szCs w:val="21"/>
                <w:lang w:bidi="ar"/>
              </w:rPr>
            </w:pPr>
            <w:r>
              <w:rPr>
                <w:rFonts w:hint="eastAsia" w:ascii="宋体" w:hAnsi="宋体" w:eastAsia="宋体" w:cs="宋体"/>
                <w:bCs/>
                <w:szCs w:val="21"/>
                <w:lang w:bidi="ar"/>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92" w:type="dxa"/>
            <w:vAlign w:val="center"/>
          </w:tcPr>
          <w:p>
            <w:pPr>
              <w:widowControl/>
              <w:jc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r>
              <w:rPr>
                <w:rFonts w:ascii="宋体" w:hAnsi="宋体" w:eastAsia="宋体" w:cs="宋体"/>
                <w:b/>
                <w:bCs/>
                <w:color w:val="000000"/>
                <w:kern w:val="0"/>
                <w:szCs w:val="21"/>
                <w:lang w:bidi="ar"/>
              </w:rPr>
              <w:t>8</w:t>
            </w:r>
          </w:p>
        </w:tc>
        <w:tc>
          <w:tcPr>
            <w:tcW w:w="1325" w:type="dxa"/>
            <w:vAlign w:val="center"/>
          </w:tcPr>
          <w:p>
            <w:pPr>
              <w:widowControl/>
              <w:jc w:val="center"/>
              <w:rPr>
                <w:rFonts w:ascii="宋体" w:hAnsi="宋体" w:eastAsia="宋体" w:cs="宋体"/>
                <w:bCs/>
                <w:szCs w:val="21"/>
                <w:lang w:bidi="ar"/>
              </w:rPr>
            </w:pPr>
            <w:r>
              <w:rPr>
                <w:rFonts w:hint="eastAsia" w:ascii="宋体" w:hAnsi="宋体" w:eastAsia="宋体" w:cs="仿宋_GB2312"/>
                <w:bCs/>
                <w:szCs w:val="21"/>
                <w:lang w:bidi="ar"/>
              </w:rPr>
              <w:t>视具体情况需要审查的其他有关材料</w:t>
            </w:r>
          </w:p>
        </w:tc>
        <w:tc>
          <w:tcPr>
            <w:tcW w:w="5059" w:type="dxa"/>
          </w:tcPr>
          <w:p>
            <w:pPr>
              <w:widowControl/>
              <w:spacing w:line="340" w:lineRule="exact"/>
              <w:jc w:val="left"/>
              <w:rPr>
                <w:rFonts w:ascii="宋体" w:hAnsi="宋体" w:eastAsia="宋体" w:cs="宋体"/>
                <w:bCs/>
                <w:szCs w:val="21"/>
                <w:lang w:bidi="ar"/>
              </w:rPr>
            </w:pPr>
          </w:p>
        </w:tc>
      </w:tr>
    </w:tbl>
    <w:p>
      <w:pPr>
        <w:rPr>
          <w:b/>
          <w:bCs/>
          <w:sz w:val="28"/>
          <w:szCs w:val="28"/>
        </w:rPr>
      </w:pPr>
    </w:p>
    <w:p>
      <w:pPr>
        <w:rPr>
          <w:b/>
          <w:bCs/>
          <w:sz w:val="28"/>
          <w:szCs w:val="28"/>
        </w:rPr>
      </w:pPr>
      <w:permStart w:id="2" w:edGrp="everyone"/>
      <w:perm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A1282"/>
    <w:multiLevelType w:val="singleLevel"/>
    <w:tmpl w:val="BFAA1282"/>
    <w:lvl w:ilvl="0" w:tentative="0">
      <w:start w:val="1"/>
      <w:numFmt w:val="chineseCounting"/>
      <w:suff w:val="nothing"/>
      <w:lvlText w:val="%1、"/>
      <w:lvlJc w:val="left"/>
      <w:rPr>
        <w:rFonts w:hint="eastAsia"/>
      </w:rPr>
    </w:lvl>
  </w:abstractNum>
  <w:abstractNum w:abstractNumId="1">
    <w:nsid w:val="6E70E81E"/>
    <w:multiLevelType w:val="singleLevel"/>
    <w:tmpl w:val="6E70E81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DYwNzAyNGFkNDRkMzI2NThiNWE3ZDk1NTc0NjQifQ=="/>
  </w:docVars>
  <w:rsids>
    <w:rsidRoot w:val="1DF92EA0"/>
    <w:rsid w:val="02F277F0"/>
    <w:rsid w:val="046B3792"/>
    <w:rsid w:val="0E252C04"/>
    <w:rsid w:val="1198193E"/>
    <w:rsid w:val="184C5231"/>
    <w:rsid w:val="1AE82C33"/>
    <w:rsid w:val="1DF92EA0"/>
    <w:rsid w:val="1F0C571A"/>
    <w:rsid w:val="1F8B15A8"/>
    <w:rsid w:val="24172B97"/>
    <w:rsid w:val="2BE45A54"/>
    <w:rsid w:val="31B51AE1"/>
    <w:rsid w:val="3282722F"/>
    <w:rsid w:val="33A577E5"/>
    <w:rsid w:val="373C6C97"/>
    <w:rsid w:val="3B36794F"/>
    <w:rsid w:val="3C877CDF"/>
    <w:rsid w:val="3FA07A8C"/>
    <w:rsid w:val="3FDD483D"/>
    <w:rsid w:val="42B06238"/>
    <w:rsid w:val="4588524B"/>
    <w:rsid w:val="46511AE0"/>
    <w:rsid w:val="46827EEC"/>
    <w:rsid w:val="46FA3F26"/>
    <w:rsid w:val="48A50234"/>
    <w:rsid w:val="4A1C2405"/>
    <w:rsid w:val="4EFD2805"/>
    <w:rsid w:val="4F586E9A"/>
    <w:rsid w:val="62615F06"/>
    <w:rsid w:val="65D34934"/>
    <w:rsid w:val="67DA6B07"/>
    <w:rsid w:val="68A71EB2"/>
    <w:rsid w:val="6F5D198B"/>
    <w:rsid w:val="6FEF77F3"/>
    <w:rsid w:val="70027824"/>
    <w:rsid w:val="70766A21"/>
    <w:rsid w:val="72406E13"/>
    <w:rsid w:val="741E36FD"/>
    <w:rsid w:val="770B73A5"/>
    <w:rsid w:val="7CDD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2487</Words>
  <Characters>2636</Characters>
  <Lines>0</Lines>
  <Paragraphs>0</Paragraphs>
  <TotalTime>6</TotalTime>
  <ScaleCrop>false</ScaleCrop>
  <LinksUpToDate>false</LinksUpToDate>
  <CharactersWithSpaces>2677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2022-07-28T07:29:00Z</dcterms:created>
  <dc:creator>薛永红</dc:creator>
  <cp:lastModifiedBy>薛永红</cp:lastModifiedBy>
  <cp:lastPrinted>2022-07-28T08:22:00Z</cp:lastPrinted>
  <dcterms:modified xsi:type="dcterms:W3CDTF">2022-08-22T05:45:56Z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9A764302A0224265AE085AA9375C7DCF</vt:lpwstr>
  </property>
</Properties>
</file>