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color w:val="000000" w:themeColor="text1"/>
          <w:sz w:val="44"/>
          <w:szCs w:val="44"/>
          <w:highlight w:val="none"/>
          <w:lang w:val="zh-CN"/>
          <w14:textFill>
            <w14:solidFill>
              <w14:schemeClr w14:val="tx1"/>
            </w14:solidFill>
          </w14:textFill>
        </w:rPr>
      </w:pPr>
    </w:p>
    <w:p>
      <w:pPr>
        <w:pStyle w:val="21"/>
        <w:spacing w:after="0" w:line="360" w:lineRule="auto"/>
        <w:rPr>
          <w:rFonts w:ascii="宋体" w:hAnsi="宋体" w:cs="宋体"/>
          <w:color w:val="000000" w:themeColor="text1"/>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1767" w:firstLineChars="400"/>
        <w:jc w:val="both"/>
        <w:textAlignment w:val="auto"/>
        <w:rPr>
          <w:rFonts w:hint="eastAsia" w:ascii="宋体" w:hAnsi="宋体" w:eastAsia="宋体" w:cs="宋体"/>
          <w:b/>
          <w:sz w:val="44"/>
          <w:szCs w:val="44"/>
          <w:highlight w:val="none"/>
        </w:rPr>
      </w:pPr>
      <w:r>
        <w:rPr>
          <w:rFonts w:hint="eastAsia" w:ascii="宋体" w:hAnsi="宋体" w:eastAsia="宋体" w:cs="宋体"/>
          <w:b/>
          <w:sz w:val="44"/>
          <w:szCs w:val="44"/>
          <w:highlight w:val="none"/>
        </w:rPr>
        <w:t>冀东海天水泥闻喜有限责任公司</w:t>
      </w:r>
    </w:p>
    <w:p>
      <w:pPr>
        <w:keepNext w:val="0"/>
        <w:keepLines w:val="0"/>
        <w:pageBreakBefore w:val="0"/>
        <w:widowControl w:val="0"/>
        <w:kinsoku/>
        <w:wordWrap/>
        <w:overflowPunct/>
        <w:topLinePunct w:val="0"/>
        <w:autoSpaceDE/>
        <w:autoSpaceDN/>
        <w:bidi w:val="0"/>
        <w:adjustRightInd/>
        <w:snapToGrid/>
        <w:spacing w:line="600" w:lineRule="exact"/>
        <w:ind w:firstLine="442" w:firstLineChars="100"/>
        <w:jc w:val="both"/>
        <w:textAlignment w:val="auto"/>
        <w:rPr>
          <w:rFonts w:hint="eastAsia" w:ascii="宋体" w:hAnsi="宋体" w:eastAsia="宋体" w:cs="宋体"/>
          <w:b/>
          <w:bCs/>
          <w:sz w:val="44"/>
          <w:szCs w:val="44"/>
          <w:highlight w:val="none"/>
        </w:rPr>
      </w:pPr>
      <w:r>
        <w:rPr>
          <w:rFonts w:hint="eastAsia" w:ascii="宋体" w:hAnsi="宋体" w:cs="宋体"/>
          <w:b/>
          <w:sz w:val="44"/>
          <w:szCs w:val="44"/>
          <w:highlight w:val="none"/>
          <w:lang w:eastAsia="zh-CN"/>
        </w:rPr>
        <w:t>水泥回转窑筒体余热回收发电技术研发</w:t>
      </w:r>
      <w:r>
        <w:rPr>
          <w:rFonts w:hint="eastAsia" w:ascii="宋体" w:hAnsi="宋体" w:eastAsia="宋体" w:cs="宋体"/>
          <w:b/>
          <w:sz w:val="44"/>
          <w:szCs w:val="44"/>
          <w:highlight w:val="none"/>
        </w:rPr>
        <w:t>项目</w:t>
      </w:r>
      <w:r>
        <w:rPr>
          <w:rFonts w:hint="eastAsia" w:ascii="宋体" w:hAnsi="宋体" w:eastAsia="宋体" w:cs="宋体"/>
          <w:b/>
          <w:bCs/>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767" w:firstLineChars="400"/>
        <w:jc w:val="both"/>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招 标 文 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 xml:space="preserve">         </w:t>
      </w: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pStyle w:val="2"/>
        <w:rPr>
          <w:rFonts w:hint="eastAsia" w:ascii="宋体" w:hAnsi="宋体" w:eastAsia="宋体" w:cs="宋体"/>
          <w:sz w:val="32"/>
          <w:highlight w:val="none"/>
        </w:rPr>
      </w:pPr>
    </w:p>
    <w:p>
      <w:pPr>
        <w:pStyle w:val="2"/>
        <w:rPr>
          <w:rFonts w:hint="eastAsia" w:ascii="宋体" w:hAnsi="宋体" w:eastAsia="宋体" w:cs="宋体"/>
          <w:sz w:val="32"/>
          <w:highlight w:val="none"/>
        </w:rPr>
      </w:pPr>
    </w:p>
    <w:p>
      <w:pPr>
        <w:pStyle w:val="2"/>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32"/>
          <w:szCs w:val="32"/>
          <w:highlight w:val="none"/>
        </w:rPr>
      </w:pPr>
      <w:r>
        <w:rPr>
          <w:rFonts w:hint="eastAsia" w:ascii="宋体" w:hAnsi="宋体" w:eastAsia="宋体" w:cs="宋体"/>
          <w:sz w:val="32"/>
          <w:highlight w:val="none"/>
        </w:rPr>
        <w:t>招标单位：</w:t>
      </w:r>
      <w:r>
        <w:rPr>
          <w:rFonts w:hint="eastAsia" w:ascii="宋体" w:hAnsi="宋体" w:eastAsia="宋体" w:cs="宋体"/>
          <w:sz w:val="32"/>
          <w:szCs w:val="32"/>
          <w:highlight w:val="none"/>
        </w:rPr>
        <w:t>冀东海天水泥闻喜有限责任公司</w:t>
      </w:r>
    </w:p>
    <w:p>
      <w:pPr>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cs="宋体"/>
          <w:sz w:val="32"/>
          <w:szCs w:val="32"/>
          <w:highlight w:val="none"/>
          <w:lang w:val="en-US" w:eastAsia="zh-CN"/>
        </w:rPr>
        <w:t xml:space="preserve"> </w:t>
      </w:r>
    </w:p>
    <w:p>
      <w:pPr>
        <w:pStyle w:val="2"/>
        <w:tabs>
          <w:tab w:val="left" w:pos="2387"/>
        </w:tabs>
        <w:rPr>
          <w:rFonts w:hint="eastAsia"/>
          <w:highlight w:val="none"/>
          <w:lang w:val="zh-CN"/>
        </w:rPr>
      </w:pPr>
      <w:r>
        <w:rPr>
          <w:rFonts w:hint="eastAsia"/>
          <w:highlight w:val="none"/>
          <w:lang w:val="zh-CN"/>
        </w:rPr>
        <w:tab/>
      </w:r>
    </w:p>
    <w:p>
      <w:pPr>
        <w:pStyle w:val="2"/>
        <w:tabs>
          <w:tab w:val="left" w:pos="2387"/>
        </w:tabs>
        <w:rPr>
          <w:rFonts w:hint="eastAsia"/>
          <w:highlight w:val="none"/>
          <w:lang w:val="zh-CN"/>
        </w:rPr>
      </w:pPr>
    </w:p>
    <w:p>
      <w:pPr>
        <w:pStyle w:val="2"/>
        <w:tabs>
          <w:tab w:val="left" w:pos="2387"/>
        </w:tabs>
        <w:rPr>
          <w:rFonts w:hint="eastAsia"/>
          <w:highlight w:val="none"/>
          <w:lang w:val="zh-CN"/>
        </w:rPr>
      </w:pPr>
    </w:p>
    <w:p>
      <w:pPr>
        <w:pStyle w:val="3"/>
        <w:spacing w:before="0" w:after="0" w:line="360" w:lineRule="auto"/>
        <w:ind w:firstLine="2650" w:firstLineChars="600"/>
        <w:jc w:val="both"/>
        <w:rPr>
          <w:rFonts w:hint="eastAsia" w:ascii="宋体" w:hAnsi="宋体" w:cs="宋体"/>
          <w:color w:val="000000" w:themeColor="text1"/>
          <w:highlight w:val="none"/>
          <w:lang w:val="zh-CN"/>
          <w14:textFill>
            <w14:solidFill>
              <w14:schemeClr w14:val="tx1"/>
            </w14:solidFill>
          </w14:textFill>
        </w:rPr>
      </w:pPr>
    </w:p>
    <w:p>
      <w:pPr>
        <w:rPr>
          <w:rFonts w:hint="eastAsia" w:ascii="宋体" w:hAnsi="宋体" w:cs="宋体"/>
          <w:color w:val="000000" w:themeColor="text1"/>
          <w:highlight w:val="none"/>
          <w:lang w:val="zh-CN"/>
          <w14:textFill>
            <w14:solidFill>
              <w14:schemeClr w14:val="tx1"/>
            </w14:solidFill>
          </w14:textFill>
        </w:rPr>
      </w:pPr>
    </w:p>
    <w:p>
      <w:pPr>
        <w:pStyle w:val="2"/>
        <w:rPr>
          <w:rFonts w:hint="eastAsia"/>
          <w:lang w:val="zh-CN"/>
        </w:rPr>
      </w:pPr>
    </w:p>
    <w:p>
      <w:pPr>
        <w:pStyle w:val="3"/>
        <w:spacing w:before="0" w:after="0" w:line="360" w:lineRule="auto"/>
        <w:ind w:firstLine="2650" w:firstLineChars="600"/>
        <w:jc w:val="both"/>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第一章</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招标公告</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eastAsia="宋体" w:cs="宋体"/>
          <w:sz w:val="24"/>
          <w:szCs w:val="24"/>
          <w:highlight w:val="none"/>
        </w:rPr>
        <w:t>冀东海天水泥闻喜有限责任公司</w:t>
      </w:r>
      <w:r>
        <w:rPr>
          <w:rFonts w:hint="eastAsia" w:ascii="宋体" w:hAnsi="宋体" w:cs="宋体"/>
          <w:bCs/>
          <w:color w:val="000000" w:themeColor="text1"/>
          <w:highlight w:val="none"/>
          <w14:textFill>
            <w14:solidFill>
              <w14:schemeClr w14:val="tx1"/>
            </w14:solidFill>
          </w14:textFill>
        </w:rPr>
        <w:t>对</w:t>
      </w:r>
      <w:r>
        <w:rPr>
          <w:rFonts w:hint="eastAsia" w:ascii="宋体" w:hAnsi="宋体" w:cs="宋体"/>
          <w:bCs/>
          <w:color w:val="000000" w:themeColor="text1"/>
          <w:highlight w:val="none"/>
          <w:lang w:val="en-US" w:eastAsia="zh-CN"/>
          <w14:textFill>
            <w14:solidFill>
              <w14:schemeClr w14:val="tx1"/>
            </w14:solidFill>
          </w14:textFill>
        </w:rPr>
        <w:t>本公司</w:t>
      </w:r>
      <w:r>
        <w:rPr>
          <w:rFonts w:hint="eastAsia" w:ascii="宋体" w:hAnsi="宋体" w:cs="宋体"/>
          <w:bCs/>
          <w:color w:val="000000" w:themeColor="text1"/>
          <w:sz w:val="24"/>
          <w:highlight w:val="none"/>
          <w:u w:val="none"/>
          <w:lang w:eastAsia="zh-CN"/>
          <w14:textFill>
            <w14:solidFill>
              <w14:schemeClr w14:val="tx1"/>
            </w14:solidFill>
          </w14:textFill>
        </w:rPr>
        <w:t>水泥回转窑筒体余热回收发电技术研发</w:t>
      </w:r>
      <w:r>
        <w:rPr>
          <w:rFonts w:hint="eastAsia" w:ascii="宋体" w:hAnsi="宋体" w:cs="宋体"/>
          <w:bCs/>
          <w:color w:val="000000" w:themeColor="text1"/>
          <w:sz w:val="24"/>
          <w:highlight w:val="none"/>
          <w:u w:val="none"/>
          <w14:textFill>
            <w14:solidFill>
              <w14:schemeClr w14:val="tx1"/>
            </w14:solidFill>
          </w14:textFill>
        </w:rPr>
        <w:t>项</w:t>
      </w:r>
      <w:r>
        <w:rPr>
          <w:rFonts w:hint="eastAsia" w:ascii="宋体" w:hAnsi="宋体" w:cs="宋体"/>
          <w:bCs/>
          <w:color w:val="000000" w:themeColor="text1"/>
          <w:highlight w:val="none"/>
          <w:u w:val="none"/>
          <w14:textFill>
            <w14:solidFill>
              <w14:schemeClr w14:val="tx1"/>
            </w14:solidFill>
          </w14:textFill>
        </w:rPr>
        <w:t>目</w:t>
      </w:r>
      <w:r>
        <w:rPr>
          <w:rFonts w:hint="eastAsia" w:ascii="宋体" w:hAnsi="宋体" w:cs="宋体"/>
          <w:bCs/>
          <w:color w:val="000000" w:themeColor="text1"/>
          <w:highlight w:val="none"/>
          <w14:textFill>
            <w14:solidFill>
              <w14:schemeClr w14:val="tx1"/>
            </w14:solidFill>
          </w14:textFill>
        </w:rPr>
        <w:t>进行招标。现欢迎符合要求的单位前来参与投标。</w:t>
      </w:r>
    </w:p>
    <w:p>
      <w:pPr>
        <w:pStyle w:val="21"/>
        <w:spacing w:after="0"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一、项目基本情况</w:t>
      </w:r>
    </w:p>
    <w:p>
      <w:pPr>
        <w:pStyle w:val="21"/>
        <w:spacing w:after="0" w:line="360" w:lineRule="auto"/>
        <w:ind w:firstLine="480" w:firstLineChars="200"/>
        <w:rPr>
          <w:rFonts w:hint="eastAsia" w:ascii="宋体" w:hAnsi="宋体" w:eastAsia="宋体" w:cs="宋体"/>
          <w:bCs/>
          <w:color w:val="000000" w:themeColor="text1"/>
          <w:highlight w:val="none"/>
          <w:u w:val="singl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bCs/>
          <w:color w:val="000000" w:themeColor="text1"/>
          <w:highlight w:val="none"/>
          <w:u w:val="single"/>
          <w:lang w:eastAsia="zh-CN"/>
          <w14:textFill>
            <w14:solidFill>
              <w14:schemeClr w14:val="tx1"/>
            </w14:solidFill>
          </w14:textFill>
        </w:rPr>
        <w:t>水泥回转窑筒体余热回收发电技术研发</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.本招标项目</w:t>
      </w:r>
      <w:r>
        <w:rPr>
          <w:rFonts w:hint="eastAsia" w:ascii="宋体" w:hAnsi="宋体" w:cs="宋体"/>
          <w:color w:val="000000" w:themeColor="text1"/>
          <w:highlight w:val="none"/>
          <w:lang w:val="en-US" w:eastAsia="zh-CN"/>
          <w14:textFill>
            <w14:solidFill>
              <w14:schemeClr w14:val="tx1"/>
            </w14:solidFill>
          </w14:textFill>
        </w:rPr>
        <w:t>范围为</w:t>
      </w:r>
      <w:r>
        <w:rPr>
          <w:rFonts w:hint="eastAsia" w:ascii="宋体" w:hAnsi="宋体" w:cs="宋体"/>
          <w:b w:val="0"/>
          <w:bCs/>
          <w:color w:val="000000" w:themeColor="text1"/>
          <w:highlight w:val="none"/>
          <w:u w:val="single"/>
          <w:lang w:eastAsia="zh-CN"/>
          <w14:textFill>
            <w14:solidFill>
              <w14:schemeClr w14:val="tx1"/>
            </w14:solidFill>
          </w14:textFill>
        </w:rPr>
        <w:t>水泥回转窑筒体余热回收发电技术研发</w:t>
      </w:r>
      <w:r>
        <w:rPr>
          <w:rFonts w:hint="eastAsia" w:ascii="宋体" w:hAnsi="宋体" w:cs="宋体"/>
          <w:bCs/>
          <w:color w:val="000000" w:themeColor="text1"/>
          <w:highlight w:val="none"/>
          <w:u w:val="none"/>
          <w14:textFill>
            <w14:solidFill>
              <w14:schemeClr w14:val="tx1"/>
            </w14:solidFill>
          </w14:textFill>
        </w:rPr>
        <w:t>项目</w:t>
      </w:r>
      <w:r>
        <w:rPr>
          <w:rFonts w:hint="eastAsia" w:ascii="宋体" w:hAnsi="宋体" w:cs="宋体"/>
          <w:bCs/>
          <w:color w:val="000000" w:themeColor="text1"/>
          <w:highlight w:val="none"/>
          <w:u w:val="none"/>
          <w:lang w:val="en-US" w:eastAsia="zh-CN"/>
          <w14:textFill>
            <w14:solidFill>
              <w14:schemeClr w14:val="tx1"/>
            </w14:solidFill>
          </w14:textFill>
        </w:rPr>
        <w:t>整体研发内容</w:t>
      </w:r>
      <w:r>
        <w:rPr>
          <w:rFonts w:hint="eastAsia" w:ascii="宋体" w:hAnsi="宋体" w:cs="宋体"/>
          <w:color w:val="000000" w:themeColor="text1"/>
          <w:highlight w:val="none"/>
          <w14:textFill>
            <w14:solidFill>
              <w14:schemeClr w14:val="tx1"/>
            </w14:solidFill>
          </w14:textFill>
        </w:rPr>
        <w:t>。</w:t>
      </w:r>
    </w:p>
    <w:p>
      <w:pPr>
        <w:pStyle w:val="21"/>
        <w:spacing w:after="0"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技术</w:t>
      </w:r>
      <w:r>
        <w:rPr>
          <w:rFonts w:hint="eastAsia" w:ascii="宋体" w:hAnsi="宋体" w:cs="宋体"/>
          <w:color w:val="000000" w:themeColor="text1"/>
          <w:highlight w:val="none"/>
          <w14:textFill>
            <w14:solidFill>
              <w14:schemeClr w14:val="tx1"/>
            </w14:solidFill>
          </w14:textFill>
        </w:rPr>
        <w:t>需求：具体内容详见招标文件“</w:t>
      </w:r>
      <w:r>
        <w:rPr>
          <w:rFonts w:hint="eastAsia" w:ascii="宋体" w:hAnsi="宋体" w:cs="宋体"/>
          <w:color w:val="000000" w:themeColor="text1"/>
          <w:sz w:val="24"/>
          <w:highlight w:val="none"/>
          <w14:textFill>
            <w14:solidFill>
              <w14:schemeClr w14:val="tx1"/>
            </w14:solidFill>
          </w14:textFill>
        </w:rPr>
        <w:t>第四章：项目</w:t>
      </w:r>
      <w:r>
        <w:rPr>
          <w:rFonts w:hint="eastAsia" w:ascii="宋体" w:hAnsi="宋体" w:cs="宋体"/>
          <w:color w:val="000000" w:themeColor="text1"/>
          <w:sz w:val="24"/>
          <w:highlight w:val="none"/>
          <w:lang w:val="en-US" w:eastAsia="zh-CN"/>
          <w14:textFill>
            <w14:solidFill>
              <w14:schemeClr w14:val="tx1"/>
            </w14:solidFill>
          </w14:textFill>
        </w:rPr>
        <w:t>概述</w:t>
      </w:r>
      <w:r>
        <w:rPr>
          <w:rFonts w:hint="eastAsia" w:ascii="宋体" w:hAnsi="宋体" w:cs="宋体"/>
          <w:color w:val="000000" w:themeColor="text1"/>
          <w:sz w:val="24"/>
          <w:highlight w:val="none"/>
          <w14:textFill>
            <w14:solidFill>
              <w14:schemeClr w14:val="tx1"/>
            </w14:solidFill>
          </w14:textFill>
        </w:rPr>
        <w:t>及技术需求</w:t>
      </w:r>
      <w:r>
        <w:rPr>
          <w:rFonts w:hint="eastAsia" w:ascii="宋体" w:hAnsi="宋体" w:cs="宋体"/>
          <w:color w:val="000000" w:themeColor="text1"/>
          <w:highlight w:val="none"/>
          <w14:textFill>
            <w14:solidFill>
              <w14:schemeClr w14:val="tx1"/>
            </w14:solidFill>
          </w14:textFill>
        </w:rPr>
        <w:t>”。</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合同期限</w:t>
      </w:r>
      <w:r>
        <w:rPr>
          <w:rFonts w:hint="eastAsia" w:ascii="宋体" w:hAnsi="宋体" w:cs="宋体"/>
          <w:color w:val="000000" w:themeColor="text1"/>
          <w:highlight w:val="none"/>
          <w14:textFill>
            <w14:solidFill>
              <w14:schemeClr w14:val="tx1"/>
            </w14:solidFill>
          </w14:textFill>
        </w:rPr>
        <w:t>：自</w:t>
      </w:r>
      <w:r>
        <w:rPr>
          <w:rFonts w:ascii="宋体" w:hAnsi="宋体" w:cs="宋体"/>
          <w:color w:val="000000" w:themeColor="text1"/>
          <w:highlight w:val="none"/>
          <w14:textFill>
            <w14:solidFill>
              <w14:schemeClr w14:val="tx1"/>
            </w14:solidFill>
          </w14:textFill>
        </w:rPr>
        <w:t>本项目合同签订之日起</w:t>
      </w:r>
      <w:r>
        <w:rPr>
          <w:rFonts w:hint="eastAsia" w:ascii="宋体" w:hAnsi="宋体" w:cs="宋体"/>
          <w:color w:val="000000" w:themeColor="text1"/>
          <w:highlight w:val="none"/>
          <w:lang w:val="en-US" w:eastAsia="zh-CN"/>
          <w14:textFill>
            <w14:solidFill>
              <w14:schemeClr w14:val="tx1"/>
            </w14:solidFill>
          </w14:textFill>
        </w:rPr>
        <w:t>1</w:t>
      </w:r>
      <w:r>
        <w:rPr>
          <w:rFonts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14:textFill>
            <w14:solidFill>
              <w14:schemeClr w14:val="tx1"/>
            </w14:solidFill>
          </w14:textFill>
        </w:rPr>
        <w:t>。</w:t>
      </w:r>
    </w:p>
    <w:p>
      <w:pPr>
        <w:pStyle w:val="21"/>
        <w:spacing w:after="0"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二、投标人的资格要求： </w:t>
      </w:r>
    </w:p>
    <w:p>
      <w:pPr>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投标人具有独立法人资格</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须</w:t>
      </w:r>
      <w:r>
        <w:rPr>
          <w:rFonts w:hint="eastAsia" w:ascii="宋体" w:hAnsi="宋体" w:eastAsia="宋体" w:cs="宋体"/>
          <w:color w:val="000000" w:themeColor="text1"/>
          <w:sz w:val="24"/>
          <w:szCs w:val="24"/>
          <w:highlight w:val="none"/>
          <w14:textFill>
            <w14:solidFill>
              <w14:schemeClr w14:val="tx1"/>
            </w14:solidFill>
          </w14:textFill>
        </w:rPr>
        <w:t>提供营业执照副本复印件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盖公章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rPr>
        <w:t>最新检审合格且营业执照经营范围满足本</w:t>
      </w:r>
      <w:r>
        <w:rPr>
          <w:rFonts w:hint="eastAsia" w:ascii="宋体" w:hAnsi="宋体" w:eastAsia="宋体" w:cs="宋体"/>
          <w:sz w:val="24"/>
          <w:szCs w:val="24"/>
          <w:highlight w:val="none"/>
          <w:lang w:val="en-US" w:eastAsia="zh-CN"/>
        </w:rPr>
        <w:t>技术研究</w:t>
      </w: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2、信誉要求：通过“信用中国”网站（www.creditchina.gov.cn）查询投标人是否为失信被执行人，限制失信被执行人参与此次投标（开标当日由招标人统一查询）。</w:t>
      </w:r>
    </w:p>
    <w:p>
      <w:pPr>
        <w:pStyle w:val="21"/>
        <w:keepNext w:val="0"/>
        <w:keepLines w:val="0"/>
        <w:pageBreakBefore w:val="0"/>
        <w:widowControl w:val="0"/>
        <w:kinsoku/>
        <w:wordWrap/>
        <w:overflowPunct/>
        <w:topLinePunct w:val="0"/>
        <w:bidi w:val="0"/>
        <w:snapToGrid/>
        <w:spacing w:after="0" w:line="360" w:lineRule="auto"/>
        <w:ind w:firstLine="240" w:firstLineChars="100"/>
        <w:textAlignment w:val="auto"/>
        <w:rPr>
          <w:rFonts w:ascii="宋体" w:hAnsi="宋体" w:cs="宋体"/>
          <w:sz w:val="24"/>
          <w:szCs w:val="24"/>
          <w:highlight w:val="none"/>
        </w:rPr>
      </w:pPr>
      <w:r>
        <w:rPr>
          <w:rFonts w:hint="eastAsia" w:ascii="仿宋_GB2312" w:hAnsi="宋体" w:eastAsia="仿宋_GB2312" w:cs="宋体"/>
          <w:sz w:val="24"/>
          <w:szCs w:val="24"/>
          <w:highlight w:val="none"/>
        </w:rPr>
        <w:t xml:space="preserve"> </w:t>
      </w:r>
      <w:r>
        <w:rPr>
          <w:rFonts w:ascii="宋体" w:hAnsi="宋体" w:cs="宋体"/>
          <w:sz w:val="24"/>
          <w:szCs w:val="24"/>
          <w:highlight w:val="none"/>
        </w:rPr>
        <w:t>3</w:t>
      </w:r>
      <w:r>
        <w:rPr>
          <w:rFonts w:hint="eastAsia" w:ascii="宋体" w:hAnsi="宋体" w:cs="宋体"/>
          <w:sz w:val="24"/>
          <w:szCs w:val="24"/>
          <w:highlight w:val="none"/>
        </w:rPr>
        <w:t>、业绩要求:</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近三年来</w:t>
      </w:r>
      <w:r>
        <w:rPr>
          <w:rFonts w:hint="eastAsia" w:ascii="宋体" w:hAnsi="宋体" w:cs="宋体"/>
          <w:color w:val="auto"/>
          <w:sz w:val="24"/>
          <w:szCs w:val="24"/>
          <w:highlight w:val="none"/>
        </w:rPr>
        <w:t>承担过</w:t>
      </w:r>
      <w:r>
        <w:rPr>
          <w:rFonts w:hint="eastAsia" w:ascii="宋体" w:hAnsi="宋体" w:cs="宋体"/>
          <w:color w:val="auto"/>
          <w:sz w:val="24"/>
          <w:szCs w:val="24"/>
          <w:highlight w:val="none"/>
          <w:lang w:val="en-US" w:eastAsia="zh-CN"/>
        </w:rPr>
        <w:t>的余热锅炉发电类项目业绩</w:t>
      </w:r>
      <w:r>
        <w:rPr>
          <w:rFonts w:hint="eastAsia" w:ascii="宋体" w:hAnsi="宋体" w:cs="宋体"/>
          <w:color w:val="auto"/>
          <w:sz w:val="24"/>
          <w:szCs w:val="24"/>
          <w:highlight w:val="none"/>
        </w:rPr>
        <w:t>。（提供项目合同复印件或中标通知书复印件并加盖公章）</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4、投标人应当满足以下条件（提供承诺书）：</w:t>
      </w:r>
    </w:p>
    <w:p>
      <w:pPr>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rPr>
        <w:t>（1）</w:t>
      </w:r>
      <w:r>
        <w:rPr>
          <w:rFonts w:hint="eastAsia" w:ascii="宋体" w:hAnsi="宋体" w:eastAsia="宋体" w:cs="宋体"/>
          <w:color w:val="auto"/>
          <w:kern w:val="0"/>
          <w:sz w:val="24"/>
          <w:szCs w:val="24"/>
          <w:highlight w:val="none"/>
          <w:lang w:val="en-US" w:eastAsia="zh-CN" w:bidi="ar-SA"/>
        </w:rPr>
        <w:t>投标人必须具有在其注册地市级以上的登记机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构（科技部全国技术合同管理与服务系统认定的登记机构）完成技术合同认定登记条件。</w:t>
      </w:r>
    </w:p>
    <w:p>
      <w:pPr>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 投标企业资质要求具有A级锅炉部件、B级锅炉制造资质，有锅炉安装资质。</w:t>
      </w:r>
    </w:p>
    <w:p>
      <w:pPr>
        <w:keepNext w:val="0"/>
        <w:keepLines w:val="0"/>
        <w:pageBreakBefore w:val="0"/>
        <w:widowControl w:val="0"/>
        <w:tabs>
          <w:tab w:val="left" w:pos="720"/>
        </w:tabs>
        <w:kinsoku/>
        <w:wordWrap/>
        <w:overflowPunct/>
        <w:topLinePunct w:val="0"/>
        <w:bidi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所提供的设备应符合现行特种设备的有关国家标准、行业标准及环保部门的规定。</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（3）具有独立</w:t>
      </w:r>
      <w:r>
        <w:rPr>
          <w:rFonts w:hint="eastAsia" w:ascii="宋体" w:hAnsi="宋体" w:cs="宋体"/>
          <w:color w:val="000000" w:themeColor="text1"/>
          <w:sz w:val="24"/>
          <w:szCs w:val="24"/>
          <w:highlight w:val="none"/>
          <w:lang w:val="en-US" w:eastAsia="zh-CN"/>
          <w14:textFill>
            <w14:solidFill>
              <w14:schemeClr w14:val="tx1"/>
            </w14:solidFill>
          </w14:textFill>
        </w:rPr>
        <w:t>法人资格</w:t>
      </w:r>
      <w:r>
        <w:rPr>
          <w:rFonts w:hint="eastAsia" w:ascii="宋体" w:hAnsi="宋体" w:cs="宋体"/>
          <w:color w:val="000000" w:themeColor="text1"/>
          <w:sz w:val="24"/>
          <w:szCs w:val="24"/>
          <w:highlight w:val="none"/>
          <w14:textFill>
            <w14:solidFill>
              <w14:schemeClr w14:val="tx1"/>
            </w14:solidFill>
          </w14:textFill>
        </w:rPr>
        <w:t>；未处于被责令停业、投标资格被取消或者财产被接管、冻结和破产状态；企业没有因骗取中标或者严重违约以及发生重大工程质量、安全生产事故等违法违规问题，被有关部门暂停投标资格并在暂停期内的；</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（4）企业无隐瞒不良记录或在任何阶段提供虚假资料有欺诈行为的，如有将取消中标资格并承担由此造成的招标人的损失；</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（5）符合法律、法规规定的其他条件。</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5、本次招标不接受联合体投标。</w:t>
      </w:r>
    </w:p>
    <w:p>
      <w:pPr>
        <w:pStyle w:val="21"/>
        <w:spacing w:after="0"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三、获取招标文件 </w:t>
      </w:r>
    </w:p>
    <w:p>
      <w:pPr>
        <w:pStyle w:val="21"/>
        <w:spacing w:after="0"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1.凡报名参加投标者，</w:t>
      </w:r>
      <w:r>
        <w:rPr>
          <w:rFonts w:hint="eastAsia" w:ascii="宋体" w:hAnsi="宋体" w:cs="宋体"/>
          <w:bCs/>
          <w:color w:val="000000" w:themeColor="text1"/>
          <w:highlight w:val="none"/>
          <w:lang w:val="en-US" w:eastAsia="zh-CN"/>
          <w14:textFill>
            <w14:solidFill>
              <w14:schemeClr w14:val="tx1"/>
            </w14:solidFill>
          </w14:textFill>
        </w:rPr>
        <w:t>详见金隅冀东阳光采购平台公告。</w:t>
      </w:r>
    </w:p>
    <w:p>
      <w:pPr>
        <w:pStyle w:val="21"/>
        <w:spacing w:after="0"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招标文件获取</w:t>
      </w:r>
      <w:r>
        <w:rPr>
          <w:rFonts w:hint="eastAsia" w:ascii="宋体" w:hAnsi="宋体" w:cs="宋体"/>
          <w:color w:val="000000" w:themeColor="text1"/>
          <w:highlight w:val="none"/>
          <w14:textFill>
            <w14:solidFill>
              <w14:schemeClr w14:val="tx1"/>
            </w14:solidFill>
          </w14:textFill>
        </w:rPr>
        <w:t>方式：</w:t>
      </w:r>
      <w:r>
        <w:rPr>
          <w:rFonts w:hint="eastAsia" w:ascii="宋体" w:hAnsi="宋体" w:cs="宋体"/>
          <w:color w:val="000000" w:themeColor="text1"/>
          <w:highlight w:val="none"/>
          <w:lang w:val="en-US" w:eastAsia="zh-CN"/>
          <w14:textFill>
            <w14:solidFill>
              <w14:schemeClr w14:val="tx1"/>
            </w14:solidFill>
          </w14:textFill>
        </w:rPr>
        <w:t>金隅冀东阳光采购平台</w:t>
      </w:r>
      <w:r>
        <w:rPr>
          <w:rFonts w:hint="eastAsia" w:ascii="宋体" w:hAnsi="宋体" w:cs="宋体"/>
          <w:color w:val="000000" w:themeColor="text1"/>
          <w:highlight w:val="none"/>
          <w:lang w:eastAsia="zh-CN"/>
          <w14:textFill>
            <w14:solidFill>
              <w14:schemeClr w14:val="tx1"/>
            </w14:solidFill>
          </w14:textFill>
        </w:rPr>
        <w:t>（http://cg.jdsn.com.cn/）</w:t>
      </w:r>
      <w:r>
        <w:rPr>
          <w:rFonts w:hint="eastAsia" w:ascii="宋体" w:hAnsi="宋体" w:cs="宋体"/>
          <w:color w:val="000000" w:themeColor="text1"/>
          <w:highlight w:val="none"/>
          <w:lang w:val="en-US" w:eastAsia="zh-CN"/>
          <w14:textFill>
            <w14:solidFill>
              <w14:schemeClr w14:val="tx1"/>
            </w14:solidFill>
          </w14:textFill>
        </w:rPr>
        <w:t>从平台下载。</w:t>
      </w:r>
    </w:p>
    <w:p>
      <w:pPr>
        <w:pStyle w:val="21"/>
        <w:spacing w:after="0"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四、投标文件递交：</w:t>
      </w:r>
    </w:p>
    <w:p>
      <w:pPr>
        <w:pStyle w:val="21"/>
        <w:spacing w:after="0"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1.投标文件递交截止时间：</w:t>
      </w:r>
      <w:r>
        <w:rPr>
          <w:rFonts w:hint="eastAsia" w:ascii="宋体" w:hAnsi="宋体" w:cs="宋体"/>
          <w:bCs/>
          <w:color w:val="000000" w:themeColor="text1"/>
          <w:highlight w:val="none"/>
          <w:lang w:val="en-US" w:eastAsia="zh-CN"/>
          <w14:textFill>
            <w14:solidFill>
              <w14:schemeClr w14:val="tx1"/>
            </w14:solidFill>
          </w14:textFill>
        </w:rPr>
        <w:t>详见金隅冀东阳光采购平台公告。</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2.投标文件递</w:t>
      </w:r>
      <w:r>
        <w:rPr>
          <w:rFonts w:hint="eastAsia" w:ascii="宋体" w:hAnsi="宋体" w:cs="宋体"/>
          <w:color w:val="000000" w:themeColor="text1"/>
          <w:highlight w:val="none"/>
          <w:lang w:val="en-US" w:eastAsia="zh-CN"/>
          <w14:textFill>
            <w14:solidFill>
              <w14:schemeClr w14:val="tx1"/>
            </w14:solidFill>
          </w14:textFill>
        </w:rPr>
        <w:t>交方式</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上传至金隅冀东阳光采购平台</w:t>
      </w:r>
      <w:r>
        <w:rPr>
          <w:rFonts w:hint="eastAsia" w:ascii="宋体" w:hAnsi="宋体" w:cs="宋体"/>
          <w:color w:val="000000" w:themeColor="text1"/>
          <w:highlight w:val="none"/>
          <w14:textFill>
            <w14:solidFill>
              <w14:schemeClr w14:val="tx1"/>
            </w14:solidFill>
          </w14:textFill>
        </w:rPr>
        <w:t>网</w:t>
      </w:r>
      <w:r>
        <w:rPr>
          <w:rFonts w:hint="eastAsia" w:ascii="宋体" w:hAnsi="宋体" w:cs="宋体"/>
          <w:color w:val="000000" w:themeColor="text1"/>
          <w:highlight w:val="none"/>
          <w:lang w:eastAsia="zh-CN"/>
          <w14:textFill>
            <w14:solidFill>
              <w14:schemeClr w14:val="tx1"/>
            </w14:solidFill>
          </w14:textFill>
        </w:rPr>
        <w:t>（http://cg.jdsn.com.cn/）</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3.逾期递</w:t>
      </w:r>
      <w:r>
        <w:rPr>
          <w:rFonts w:hint="eastAsia" w:ascii="宋体" w:hAnsi="宋体" w:cs="宋体"/>
          <w:color w:val="000000" w:themeColor="text1"/>
          <w:highlight w:val="none"/>
          <w:lang w:val="en-US" w:eastAsia="zh-CN"/>
          <w14:textFill>
            <w14:solidFill>
              <w14:schemeClr w14:val="tx1"/>
            </w14:solidFill>
          </w14:textFill>
        </w:rPr>
        <w:t>交</w:t>
      </w:r>
      <w:r>
        <w:rPr>
          <w:rFonts w:hint="eastAsia" w:ascii="宋体" w:hAnsi="宋体" w:cs="宋体"/>
          <w:color w:val="000000" w:themeColor="text1"/>
          <w:highlight w:val="none"/>
          <w14:textFill>
            <w14:solidFill>
              <w14:schemeClr w14:val="tx1"/>
            </w14:solidFill>
          </w14:textFill>
        </w:rPr>
        <w:t>的或者未递</w:t>
      </w:r>
      <w:r>
        <w:rPr>
          <w:rFonts w:hint="eastAsia" w:ascii="宋体" w:hAnsi="宋体" w:cs="宋体"/>
          <w:color w:val="000000" w:themeColor="text1"/>
          <w:highlight w:val="none"/>
          <w:lang w:val="en-US" w:eastAsia="zh-CN"/>
          <w14:textFill>
            <w14:solidFill>
              <w14:schemeClr w14:val="tx1"/>
            </w14:solidFill>
          </w14:textFill>
        </w:rPr>
        <w:t>交</w:t>
      </w:r>
      <w:r>
        <w:rPr>
          <w:rFonts w:hint="eastAsia" w:ascii="宋体" w:hAnsi="宋体" w:cs="宋体"/>
          <w:color w:val="000000" w:themeColor="text1"/>
          <w:highlight w:val="none"/>
          <w14:textFill>
            <w14:solidFill>
              <w14:schemeClr w14:val="tx1"/>
            </w14:solidFill>
          </w14:textFill>
        </w:rPr>
        <w:t>投标文件，招标人不予受理。</w:t>
      </w:r>
    </w:p>
    <w:p>
      <w:pPr>
        <w:pStyle w:val="21"/>
        <w:spacing w:after="0"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五、开标时间及地点：</w:t>
      </w:r>
      <w:r>
        <w:rPr>
          <w:rFonts w:hint="eastAsia" w:ascii="宋体" w:hAnsi="宋体" w:cs="宋体"/>
          <w:bCs/>
          <w:color w:val="000000" w:themeColor="text1"/>
          <w:highlight w:val="none"/>
          <w:lang w:val="en-US" w:eastAsia="zh-CN"/>
          <w14:textFill>
            <w14:solidFill>
              <w14:schemeClr w14:val="tx1"/>
            </w14:solidFill>
          </w14:textFill>
        </w:rPr>
        <w:t>详见金隅冀东阳光采购平台公告。</w:t>
      </w:r>
    </w:p>
    <w:p>
      <w:pPr>
        <w:pStyle w:val="21"/>
        <w:spacing w:after="0"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六、其他补充事宜</w:t>
      </w:r>
    </w:p>
    <w:p>
      <w:pPr>
        <w:pStyle w:val="21"/>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szCs w:val="24"/>
          <w:highlight w:val="none"/>
        </w:rPr>
      </w:pPr>
      <w:r>
        <w:rPr>
          <w:rFonts w:hint="eastAsia" w:ascii="宋体" w:hAnsi="宋体" w:cs="宋体"/>
          <w:color w:val="000000" w:themeColor="text1"/>
          <w:highlight w:val="none"/>
          <w14:textFill>
            <w14:solidFill>
              <w14:schemeClr w14:val="tx1"/>
            </w14:solidFill>
          </w14:textFill>
        </w:rPr>
        <w:t>（1）</w:t>
      </w:r>
      <w:r>
        <w:rPr>
          <w:rFonts w:hint="eastAsia" w:ascii="宋体" w:hAnsi="宋体" w:eastAsia="宋体" w:cs="宋体"/>
          <w:sz w:val="24"/>
          <w:szCs w:val="24"/>
          <w:highlight w:val="none"/>
        </w:rPr>
        <w:t>所报价格为项目</w:t>
      </w:r>
      <w:r>
        <w:rPr>
          <w:rFonts w:hint="eastAsia" w:ascii="宋体" w:hAnsi="宋体" w:cs="宋体"/>
          <w:sz w:val="24"/>
          <w:szCs w:val="24"/>
          <w:highlight w:val="none"/>
          <w:lang w:val="en-US" w:eastAsia="zh-CN"/>
        </w:rPr>
        <w:t>整体</w:t>
      </w:r>
      <w:r>
        <w:rPr>
          <w:rFonts w:hint="eastAsia" w:ascii="宋体" w:hAnsi="宋体" w:eastAsia="宋体" w:cs="宋体"/>
          <w:sz w:val="24"/>
          <w:szCs w:val="24"/>
          <w:highlight w:val="none"/>
        </w:rPr>
        <w:t>研发</w:t>
      </w:r>
      <w:r>
        <w:rPr>
          <w:rFonts w:hint="eastAsia" w:ascii="宋体" w:hAnsi="宋体" w:eastAsia="宋体" w:cs="宋体"/>
          <w:sz w:val="24"/>
          <w:szCs w:val="24"/>
          <w:highlight w:val="none"/>
          <w:lang w:val="en-US" w:eastAsia="zh-CN"/>
        </w:rPr>
        <w:t>总费用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总费用</w:t>
      </w:r>
      <w:r>
        <w:rPr>
          <w:rFonts w:hint="eastAsia" w:ascii="宋体" w:hAnsi="宋体" w:eastAsia="宋体" w:cs="宋体"/>
          <w:sz w:val="24"/>
          <w:szCs w:val="24"/>
          <w:highlight w:val="none"/>
        </w:rPr>
        <w:t>包</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但不限于研发</w:t>
      </w:r>
      <w:r>
        <w:rPr>
          <w:rFonts w:hint="eastAsia" w:ascii="宋体" w:hAnsi="宋体" w:eastAsia="宋体" w:cs="宋体"/>
          <w:sz w:val="24"/>
          <w:szCs w:val="24"/>
          <w:highlight w:val="none"/>
          <w:lang w:val="en-US" w:eastAsia="zh-CN"/>
        </w:rPr>
        <w:t>人员费</w:t>
      </w:r>
      <w:r>
        <w:rPr>
          <w:rFonts w:hint="eastAsia" w:ascii="宋体" w:hAnsi="宋体" w:eastAsia="宋体" w:cs="宋体"/>
          <w:sz w:val="24"/>
          <w:szCs w:val="24"/>
          <w:highlight w:val="none"/>
        </w:rPr>
        <w:t>用、研发设备的研制生产、运杂费、保险费、管理费、利润、税金、安装调试费、培训、售后服务等所有一切费用。</w:t>
      </w:r>
    </w:p>
    <w:p>
      <w:pPr>
        <w:pStyle w:val="2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宋体" w:hAnsi="宋体" w:cs="宋体"/>
          <w:color w:val="000000" w:themeColor="text1"/>
          <w:highlight w:val="yello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（2）招标人不组织现场勘踏，投标人自行</w:t>
      </w:r>
      <w:r>
        <w:rPr>
          <w:rFonts w:hint="eastAsia" w:ascii="宋体" w:hAnsi="宋体" w:cs="宋体"/>
          <w:color w:val="000000" w:themeColor="text1"/>
          <w:highlight w:val="none"/>
          <w:lang w:val="en-US" w:eastAsia="zh-CN"/>
          <w14:textFill>
            <w14:solidFill>
              <w14:schemeClr w14:val="tx1"/>
            </w14:solidFill>
          </w14:textFill>
        </w:rPr>
        <w:t>勘踏现场</w:t>
      </w:r>
      <w:r>
        <w:rPr>
          <w:rFonts w:hint="eastAsia" w:ascii="宋体" w:hAnsi="宋体" w:cs="宋体"/>
          <w:color w:val="000000" w:themeColor="text1"/>
          <w:highlight w:val="yellow"/>
          <w:lang w:val="en-US" w:eastAsia="zh-CN"/>
          <w14:textFill>
            <w14:solidFill>
              <w14:schemeClr w14:val="tx1"/>
            </w14:solidFill>
          </w14:textFill>
        </w:rPr>
        <w:t>，未勘踏现场的视同为接收现场所有条件。</w:t>
      </w:r>
    </w:p>
    <w:p>
      <w:pPr>
        <w:pStyle w:val="21"/>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）本次招标公告</w:t>
      </w:r>
      <w:r>
        <w:rPr>
          <w:rFonts w:hint="eastAsia" w:ascii="宋体" w:hAnsi="宋体" w:cs="宋体"/>
          <w:color w:val="000000" w:themeColor="text1"/>
          <w:highlight w:val="none"/>
          <w:lang w:val="en-US" w:eastAsia="zh-CN"/>
          <w14:textFill>
            <w14:solidFill>
              <w14:schemeClr w14:val="tx1"/>
            </w14:solidFill>
          </w14:textFill>
        </w:rPr>
        <w:t>在金隅冀东阳光采购平台</w:t>
      </w:r>
      <w:r>
        <w:rPr>
          <w:rFonts w:hint="eastAsia" w:ascii="宋体" w:hAnsi="宋体" w:cs="宋体"/>
          <w:color w:val="000000" w:themeColor="text1"/>
          <w:highlight w:val="none"/>
          <w14:textFill>
            <w14:solidFill>
              <w14:schemeClr w14:val="tx1"/>
            </w14:solidFill>
          </w14:textFill>
        </w:rPr>
        <w:t>网上</w:t>
      </w:r>
      <w:r>
        <w:rPr>
          <w:rFonts w:hint="eastAsia" w:ascii="宋体" w:hAnsi="宋体" w:cs="宋体"/>
          <w:color w:val="000000" w:themeColor="text1"/>
          <w:highlight w:val="none"/>
          <w:lang w:eastAsia="zh-CN"/>
          <w14:textFill>
            <w14:solidFill>
              <w14:schemeClr w14:val="tx1"/>
            </w14:solidFill>
          </w14:textFill>
        </w:rPr>
        <w:t>（http://cg.jdsn.com.cn/）</w:t>
      </w:r>
      <w:r>
        <w:rPr>
          <w:rFonts w:hint="eastAsia" w:ascii="宋体" w:hAnsi="宋体" w:cs="宋体"/>
          <w:color w:val="000000" w:themeColor="text1"/>
          <w:highlight w:val="none"/>
          <w14:textFill>
            <w14:solidFill>
              <w14:schemeClr w14:val="tx1"/>
            </w14:solidFill>
          </w14:textFill>
        </w:rPr>
        <w:t>发布。</w:t>
      </w:r>
    </w:p>
    <w:p>
      <w:pPr>
        <w:pStyle w:val="21"/>
        <w:spacing w:after="0"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公告期限：</w:t>
      </w:r>
      <w:r>
        <w:rPr>
          <w:rFonts w:hint="eastAsia" w:ascii="宋体" w:hAnsi="宋体" w:cs="宋体"/>
          <w:bCs/>
          <w:color w:val="000000" w:themeColor="text1"/>
          <w:highlight w:val="none"/>
          <w:lang w:val="en-US" w:eastAsia="zh-CN"/>
          <w14:textFill>
            <w14:solidFill>
              <w14:schemeClr w14:val="tx1"/>
            </w14:solidFill>
          </w14:textFill>
        </w:rPr>
        <w:t>详见金隅冀东阳光采购平台公告。</w:t>
      </w:r>
    </w:p>
    <w:p>
      <w:pPr>
        <w:pStyle w:val="2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000000" w:themeColor="text1"/>
          <w:highlight w:val="none"/>
          <w14:textFill>
            <w14:solidFill>
              <w14:schemeClr w14:val="tx1"/>
            </w14:solidFill>
          </w14:textFill>
        </w:rPr>
      </w:pPr>
    </w:p>
    <w:p>
      <w:pPr>
        <w:pStyle w:val="21"/>
        <w:spacing w:after="0"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七、联系方式：</w:t>
      </w:r>
    </w:p>
    <w:p>
      <w:pPr>
        <w:pStyle w:val="21"/>
        <w:keepNext w:val="0"/>
        <w:keepLines w:val="0"/>
        <w:pageBreakBefore w:val="0"/>
        <w:widowControl w:val="0"/>
        <w:kinsoku/>
        <w:wordWrap/>
        <w:overflowPunct/>
        <w:topLinePunct w:val="0"/>
        <w:bidi w:val="0"/>
        <w:snapToGrid/>
        <w:spacing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2"/>
          <w:szCs w:val="22"/>
          <w:highlight w:val="none"/>
          <w14:textFill>
            <w14:solidFill>
              <w14:schemeClr w14:val="tx1"/>
            </w14:solidFill>
          </w14:textFill>
        </w:rPr>
        <w:t>招标人：</w:t>
      </w:r>
      <w:r>
        <w:rPr>
          <w:rFonts w:hint="eastAsia" w:ascii="宋体" w:hAnsi="宋体" w:eastAsia="宋体" w:cs="宋体"/>
          <w:sz w:val="24"/>
          <w:szCs w:val="24"/>
          <w:highlight w:val="none"/>
        </w:rPr>
        <w:t>冀东海天水泥闻喜有限责任公司</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地址：闻喜县侯村乡西阳村村西</w:t>
      </w:r>
    </w:p>
    <w:p>
      <w:pPr>
        <w:pStyle w:val="21"/>
        <w:keepNext w:val="0"/>
        <w:keepLines w:val="0"/>
        <w:pageBreakBefore w:val="0"/>
        <w:widowControl w:val="0"/>
        <w:kinsoku/>
        <w:wordWrap/>
        <w:overflowPunct/>
        <w:topLinePunct w:val="0"/>
        <w:bidi w:val="0"/>
        <w:snapToGrid/>
        <w:spacing w:after="0"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联系人：</w:t>
      </w:r>
      <w:r>
        <w:rPr>
          <w:rFonts w:hint="eastAsia" w:ascii="宋体" w:hAnsi="宋体" w:eastAsia="宋体" w:cs="宋体"/>
          <w:sz w:val="24"/>
          <w:szCs w:val="24"/>
          <w:highlight w:val="none"/>
          <w:u w:val="single"/>
        </w:rPr>
        <w:t>乔琳宏</w:t>
      </w:r>
    </w:p>
    <w:p>
      <w:pPr>
        <w:pStyle w:val="21"/>
        <w:keepNext w:val="0"/>
        <w:keepLines w:val="0"/>
        <w:pageBreakBefore w:val="0"/>
        <w:widowControl w:val="0"/>
        <w:kinsoku/>
        <w:wordWrap/>
        <w:overflowPunct/>
        <w:topLinePunct w:val="0"/>
        <w:bidi w:val="0"/>
        <w:snapToGrid/>
        <w:spacing w:after="0"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eastAsia="宋体" w:cs="宋体"/>
          <w:sz w:val="24"/>
          <w:szCs w:val="24"/>
          <w:highlight w:val="none"/>
          <w:u w:val="single"/>
        </w:rPr>
        <w:t>13466922302_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勘踏现场联系人：</w:t>
      </w:r>
      <w:r>
        <w:rPr>
          <w:rFonts w:hint="eastAsia" w:ascii="宋体" w:hAnsi="宋体" w:cs="宋体"/>
          <w:sz w:val="24"/>
          <w:szCs w:val="24"/>
          <w:highlight w:val="none"/>
          <w:u w:val="single"/>
          <w:lang w:val="en-US" w:eastAsia="zh-CN"/>
        </w:rPr>
        <w:t>王成</w:t>
      </w:r>
      <w:r>
        <w:rPr>
          <w:rFonts w:hint="eastAsia" w:ascii="宋体" w:hAnsi="宋体" w:eastAsia="宋体" w:cs="宋体"/>
          <w:sz w:val="24"/>
          <w:szCs w:val="24"/>
          <w:highlight w:val="none"/>
        </w:rPr>
        <w:t xml:space="preserve">      </w:t>
      </w:r>
    </w:p>
    <w:p>
      <w:pPr>
        <w:pStyle w:val="21"/>
        <w:keepNext w:val="0"/>
        <w:keepLines w:val="0"/>
        <w:pageBreakBefore w:val="0"/>
        <w:widowControl w:val="0"/>
        <w:kinsoku/>
        <w:wordWrap/>
        <w:overflowPunct/>
        <w:topLinePunct w:val="0"/>
        <w:bidi w:val="0"/>
        <w:snapToGrid/>
        <w:spacing w:after="0" w:line="360" w:lineRule="auto"/>
        <w:jc w:val="left"/>
        <w:textAlignment w:val="auto"/>
        <w:rPr>
          <w:rFonts w:hint="default" w:ascii="宋体" w:hAnsi="宋体" w:eastAsia="宋体" w:cs="宋体"/>
          <w:sz w:val="24"/>
          <w:szCs w:val="24"/>
          <w:highlight w:val="none"/>
          <w:u w:val="single"/>
          <w:lang w:val="en-US"/>
        </w:rPr>
      </w:pPr>
      <w:r>
        <w:rPr>
          <w:rFonts w:hint="eastAsia" w:ascii="宋体" w:hAnsi="宋体" w:eastAsia="宋体" w:cs="宋体"/>
          <w:sz w:val="24"/>
          <w:szCs w:val="24"/>
          <w:highlight w:val="none"/>
        </w:rPr>
        <w:t>联系电话：_</w:t>
      </w:r>
      <w:r>
        <w:rPr>
          <w:rFonts w:hint="eastAsia" w:ascii="宋体" w:hAnsi="宋体" w:eastAsia="宋体" w:cs="宋体"/>
          <w:sz w:val="24"/>
          <w:szCs w:val="24"/>
          <w:highlight w:val="none"/>
          <w:u w:val="single"/>
        </w:rPr>
        <w:t>1</w:t>
      </w:r>
      <w:r>
        <w:rPr>
          <w:rFonts w:hint="eastAsia" w:ascii="宋体" w:hAnsi="宋体" w:cs="宋体"/>
          <w:sz w:val="24"/>
          <w:szCs w:val="24"/>
          <w:highlight w:val="none"/>
          <w:u w:val="single"/>
          <w:lang w:val="en-US" w:eastAsia="zh-CN"/>
        </w:rPr>
        <w:t>8292796351</w:t>
      </w:r>
    </w:p>
    <w:p>
      <w:pPr>
        <w:pStyle w:val="21"/>
        <w:spacing w:after="0" w:line="360" w:lineRule="auto"/>
        <w:rPr>
          <w:rFonts w:ascii="宋体" w:hAnsi="宋体" w:cs="宋体"/>
          <w:bCs/>
          <w:color w:val="000000" w:themeColor="text1"/>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3"/>
        <w:spacing w:before="0" w:after="0"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第二章</w:t>
      </w:r>
      <w:r>
        <w:rPr>
          <w:rFonts w:hint="eastAsia" w:ascii="宋体" w:hAnsi="宋体" w:cs="宋体"/>
          <w:color w:val="000000" w:themeColor="text1"/>
          <w:highlight w:val="none"/>
          <w14:textFill>
            <w14:solidFill>
              <w14:schemeClr w14:val="tx1"/>
            </w14:solidFill>
          </w14:textFill>
        </w:rPr>
        <w:t xml:space="preserve"> 投标人须知</w:t>
      </w:r>
    </w:p>
    <w:p>
      <w:pPr>
        <w:pStyle w:val="21"/>
        <w:spacing w:after="0" w:line="360" w:lineRule="auto"/>
        <w:jc w:val="center"/>
        <w:rPr>
          <w:rFonts w:ascii="宋体" w:hAnsi="宋体" w:cs="宋体"/>
          <w:b/>
          <w:bCs/>
          <w:color w:val="000000" w:themeColor="text1"/>
          <w:kern w:val="2"/>
          <w:sz w:val="32"/>
          <w:szCs w:val="32"/>
          <w:highlight w:val="none"/>
          <w:lang w:val="zh-CN"/>
          <w14:textFill>
            <w14:solidFill>
              <w14:schemeClr w14:val="tx1"/>
            </w14:solidFill>
          </w14:textFill>
        </w:rPr>
      </w:pPr>
      <w:r>
        <w:rPr>
          <w:rFonts w:hint="eastAsia" w:ascii="宋体" w:hAnsi="宋体" w:cs="宋体"/>
          <w:b/>
          <w:bCs/>
          <w:color w:val="000000" w:themeColor="text1"/>
          <w:kern w:val="2"/>
          <w:sz w:val="32"/>
          <w:szCs w:val="32"/>
          <w:highlight w:val="none"/>
          <w:lang w:val="zh-CN"/>
          <w14:textFill>
            <w14:solidFill>
              <w14:schemeClr w14:val="tx1"/>
            </w14:solidFill>
          </w14:textFill>
        </w:rPr>
        <w:t>投标人须知前附表</w:t>
      </w:r>
    </w:p>
    <w:tbl>
      <w:tblPr>
        <w:tblStyle w:val="5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686"/>
        <w:gridCol w:w="1130"/>
        <w:gridCol w:w="2580"/>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  目</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3621" w:type="pct"/>
            <w:gridSpan w:val="2"/>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水泥回转窑筒体余热回收发电技术研发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招标人</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冀东海天水泥闻喜有限责任公司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招标文件获取方法</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招标方式</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金隅冀东阳光采购平台</w:t>
            </w:r>
            <w:r>
              <w:rPr>
                <w:rFonts w:hint="eastAsia" w:ascii="宋体" w:hAnsi="宋体" w:cs="宋体"/>
                <w:color w:val="000000" w:themeColor="text1"/>
                <w:sz w:val="24"/>
                <w:highlight w:val="none"/>
                <w:lang w:eastAsia="zh-CN"/>
                <w14:textFill>
                  <w14:solidFill>
                    <w14:schemeClr w14:val="tx1"/>
                  </w14:solidFill>
                </w14:textFill>
              </w:rPr>
              <w:t>网</w:t>
            </w:r>
            <w:r>
              <w:rPr>
                <w:rFonts w:hint="eastAsia" w:ascii="宋体" w:hAnsi="宋体" w:cs="宋体"/>
                <w:color w:val="000000" w:themeColor="text1"/>
                <w:sz w:val="24"/>
                <w:highlight w:val="none"/>
                <w:lang w:val="en-US" w:eastAsia="zh-CN"/>
                <w14:textFill>
                  <w14:solidFill>
                    <w14:schemeClr w14:val="tx1"/>
                  </w14:solidFill>
                </w14:textFill>
              </w:rPr>
              <w:t>上招标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合同期限</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自本项目合同签订之日起</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最高投标限价</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无最高投标限价</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有最高投标限价：</w:t>
            </w: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cs="宋体"/>
                <w:sz w:val="24"/>
                <w:highlight w:val="none"/>
                <w:lang w:val="en-US" w:eastAsia="zh-CN"/>
              </w:rPr>
              <w:t>最高投标限价为345万元</w:t>
            </w:r>
            <w:r>
              <w:rPr>
                <w:rFonts w:hint="eastAsia" w:ascii="宋体" w:hAnsi="宋体" w:cs="宋体"/>
                <w:sz w:val="24"/>
                <w:highlight w:val="none"/>
              </w:rPr>
              <w:t>。</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投标单价若超过最高投标限价，评标委员会将否决其投标。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w:t>
            </w:r>
          </w:p>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pStyle w:val="21"/>
              <w:numPr>
                <w:ilvl w:val="0"/>
                <w:numId w:val="1"/>
              </w:numPr>
              <w:spacing w:after="0" w:line="360" w:lineRule="auto"/>
              <w:rPr>
                <w:rFonts w:hint="eastAsia" w:ascii="宋体" w:hAnsi="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凡报名参加投标者，</w:t>
            </w:r>
            <w:r>
              <w:rPr>
                <w:rFonts w:hint="eastAsia" w:ascii="宋体" w:hAnsi="宋体" w:cs="宋体"/>
                <w:bCs/>
                <w:color w:val="000000" w:themeColor="text1"/>
                <w:highlight w:val="none"/>
                <w:lang w:val="en-US" w:eastAsia="zh-CN"/>
                <w14:textFill>
                  <w14:solidFill>
                    <w14:schemeClr w14:val="tx1"/>
                  </w14:solidFill>
                </w14:textFill>
              </w:rPr>
              <w:t>详见金隅冀东阳光采购平台公告。</w:t>
            </w:r>
          </w:p>
          <w:p>
            <w:pPr>
              <w:pStyle w:val="21"/>
              <w:numPr>
                <w:ilvl w:val="0"/>
                <w:numId w:val="1"/>
              </w:numPr>
              <w:spacing w:after="0" w:line="360" w:lineRule="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金隅冀东阳光采购平台</w:t>
            </w:r>
            <w:r>
              <w:rPr>
                <w:rFonts w:hint="eastAsia" w:ascii="宋体" w:hAnsi="宋体" w:cs="宋体"/>
                <w:color w:val="000000" w:themeColor="text1"/>
                <w:highlight w:val="none"/>
                <w14:textFill>
                  <w14:solidFill>
                    <w14:schemeClr w14:val="tx1"/>
                  </w14:solidFill>
                </w14:textFill>
              </w:rPr>
              <w:t>网</w:t>
            </w:r>
            <w:r>
              <w:rPr>
                <w:rFonts w:hint="eastAsia" w:ascii="宋体" w:hAnsi="宋体" w:cs="宋体"/>
                <w:color w:val="000000" w:themeColor="text1"/>
                <w:highlight w:val="none"/>
                <w:lang w:eastAsia="zh-CN"/>
                <w14:textFill>
                  <w14:solidFill>
                    <w14:schemeClr w14:val="tx1"/>
                  </w14:solidFill>
                </w14:textFill>
              </w:rPr>
              <w:t>（http://cg.jdsn.com.cn/）</w:t>
            </w:r>
            <w:r>
              <w:rPr>
                <w:rFonts w:hint="eastAsia" w:ascii="宋体" w:hAnsi="宋体" w:cs="宋体"/>
                <w:color w:val="000000" w:themeColor="text1"/>
                <w:highlight w:val="none"/>
                <w:lang w:val="en-US" w:eastAsia="zh-CN"/>
                <w14:textFill>
                  <w14:solidFill>
                    <w14:schemeClr w14:val="tx1"/>
                  </w14:solidFill>
                </w14:textFill>
              </w:rPr>
              <w:t>从平台下载。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pStyle w:val="21"/>
              <w:spacing w:after="0"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详见金隅冀东阳光采购平台公告。</w:t>
            </w:r>
          </w:p>
          <w:p>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950" w:type="pct"/>
            <w:gridSpan w:val="2"/>
            <w:tcBorders>
              <w:top w:val="single" w:color="auto" w:sz="4" w:space="0"/>
              <w:left w:val="single" w:color="auto" w:sz="4" w:space="0"/>
              <w:right w:val="single" w:color="auto" w:sz="4" w:space="0"/>
            </w:tcBorders>
            <w:vAlign w:val="bottom"/>
          </w:tcPr>
          <w:p>
            <w:pPr>
              <w:pStyle w:val="21"/>
              <w:spacing w:after="0"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联合体投标</w:t>
            </w:r>
          </w:p>
        </w:tc>
        <w:tc>
          <w:tcPr>
            <w:tcW w:w="3621" w:type="pct"/>
            <w:gridSpan w:val="2"/>
            <w:tcBorders>
              <w:top w:val="single" w:color="auto" w:sz="4" w:space="0"/>
              <w:left w:val="single" w:color="auto" w:sz="4" w:space="0"/>
              <w:right w:val="single" w:color="auto" w:sz="4" w:space="0"/>
            </w:tcBorders>
            <w:vAlign w:val="bottom"/>
          </w:tcPr>
          <w:p>
            <w:pPr>
              <w:pStyle w:val="21"/>
              <w:spacing w:after="0" w:line="360" w:lineRule="auto"/>
              <w:ind w:firstLine="480" w:firstLineChars="20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950" w:type="pct"/>
            <w:gridSpan w:val="2"/>
            <w:tcBorders>
              <w:top w:val="single" w:color="auto" w:sz="4" w:space="0"/>
              <w:left w:val="single" w:color="auto" w:sz="4" w:space="0"/>
              <w:right w:val="single" w:color="auto" w:sz="4" w:space="0"/>
            </w:tcBorders>
            <w:vAlign w:val="center"/>
          </w:tcPr>
          <w:p>
            <w:pPr>
              <w:pStyle w:val="21"/>
              <w:spacing w:after="0"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投标文件目录</w:t>
            </w:r>
          </w:p>
        </w:tc>
        <w:tc>
          <w:tcPr>
            <w:tcW w:w="3621" w:type="pct"/>
            <w:gridSpan w:val="2"/>
            <w:tcBorders>
              <w:top w:val="single" w:color="auto" w:sz="4" w:space="0"/>
              <w:left w:val="single" w:color="auto" w:sz="4" w:space="0"/>
              <w:right w:val="single" w:color="auto" w:sz="4" w:space="0"/>
            </w:tcBorders>
            <w:vAlign w:val="bottom"/>
          </w:tcPr>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投标申请及声明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法定代表人身份证明书或授权委托书</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投标承诺书</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营业执照复印件</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相关资质、业绩</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投标报价、分项报价表</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研发项目主要研发内容、技术指标、技术方案、创新点、安装调试方案、研发进度计划等</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技术及商务偏离表及说明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服务承诺</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highlight w:val="none"/>
                <w:lang w:val="en-US" w:eastAsia="zh-CN"/>
              </w:rPr>
            </w:pPr>
            <w:r>
              <w:rPr>
                <w:rFonts w:hint="eastAsia"/>
                <w:highlight w:val="none"/>
                <w:lang w:val="en-US" w:eastAsia="zh-CN"/>
              </w:rPr>
              <w:t>投标需要的其他证明文件及材料</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420" w:leftChars="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ighlight w:val="none"/>
                <w:lang w:val="en-US" w:eastAsia="zh-CN"/>
              </w:rPr>
              <w:t>投标人认为需要提供的其他材料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28"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p>
            <w:pPr>
              <w:jc w:val="center"/>
              <w:rPr>
                <w:rFonts w:ascii="宋体" w:hAnsi="宋体" w:cs="宋体"/>
                <w:color w:val="000000" w:themeColor="text1"/>
                <w:sz w:val="24"/>
                <w:highlight w:val="none"/>
                <w14:textFill>
                  <w14:solidFill>
                    <w14:schemeClr w14:val="tx1"/>
                  </w14:solidFill>
                </w14:textFill>
              </w:rPr>
            </w:pPr>
          </w:p>
        </w:tc>
        <w:tc>
          <w:tcPr>
            <w:tcW w:w="359"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联系事项</w:t>
            </w:r>
          </w:p>
        </w:tc>
        <w:tc>
          <w:tcPr>
            <w:tcW w:w="591"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招标单位</w:t>
            </w:r>
          </w:p>
        </w:tc>
        <w:tc>
          <w:tcPr>
            <w:tcW w:w="1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27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乔工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28" w:type="pct"/>
            <w:vMerge w:val="continue"/>
            <w:tcBorders>
              <w:left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359" w:type="pct"/>
            <w:vMerge w:val="continue"/>
            <w:tcBorders>
              <w:left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591" w:type="pct"/>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2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sz w:val="24"/>
                <w:szCs w:val="24"/>
                <w:highlight w:val="none"/>
                <w:u w:val="single"/>
              </w:rPr>
              <w:t>13466922302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pct"/>
            <w:vMerge w:val="continue"/>
            <w:tcBorders>
              <w:left w:val="single" w:color="auto" w:sz="4" w:space="0"/>
              <w:right w:val="single" w:color="auto" w:sz="4" w:space="0"/>
            </w:tcBorders>
            <w:vAlign w:val="center"/>
          </w:tcPr>
          <w:p>
            <w:pPr>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359" w:type="pct"/>
            <w:vMerge w:val="continue"/>
            <w:tcBorders>
              <w:left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591" w:type="pct"/>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勘探现场</w:t>
            </w:r>
          </w:p>
        </w:tc>
        <w:tc>
          <w:tcPr>
            <w:tcW w:w="1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联系人</w:t>
            </w:r>
          </w:p>
        </w:tc>
        <w:tc>
          <w:tcPr>
            <w:tcW w:w="227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8" w:type="pct"/>
            <w:vMerge w:val="continue"/>
            <w:tcBorders>
              <w:left w:val="single" w:color="auto" w:sz="4" w:space="0"/>
              <w:right w:val="single" w:color="auto" w:sz="4" w:space="0"/>
            </w:tcBorders>
            <w:vAlign w:val="center"/>
          </w:tcPr>
          <w:p>
            <w:pPr>
              <w:widowControl/>
              <w:jc w:val="center"/>
              <w:rPr>
                <w:rFonts w:ascii="宋体" w:hAnsi="宋体" w:cs="宋体"/>
                <w:color w:val="000000" w:themeColor="text1"/>
                <w:sz w:val="24"/>
                <w:highlight w:val="none"/>
                <w14:textFill>
                  <w14:solidFill>
                    <w14:schemeClr w14:val="tx1"/>
                  </w14:solidFill>
                </w14:textFill>
              </w:rPr>
            </w:pPr>
          </w:p>
        </w:tc>
        <w:tc>
          <w:tcPr>
            <w:tcW w:w="359" w:type="pct"/>
            <w:vMerge w:val="continue"/>
            <w:tcBorders>
              <w:left w:val="single" w:color="auto" w:sz="4" w:space="0"/>
              <w:right w:val="single" w:color="auto" w:sz="4" w:space="0"/>
            </w:tcBorders>
            <w:vAlign w:val="center"/>
          </w:tcPr>
          <w:p>
            <w:pPr>
              <w:widowControl/>
              <w:jc w:val="center"/>
              <w:rPr>
                <w:rFonts w:ascii="宋体" w:hAnsi="宋体" w:cs="宋体"/>
                <w:color w:val="000000" w:themeColor="text1"/>
                <w:sz w:val="24"/>
                <w:highlight w:val="none"/>
                <w14:textFill>
                  <w14:solidFill>
                    <w14:schemeClr w14:val="tx1"/>
                  </w14:solidFill>
                </w14:textFill>
              </w:rPr>
            </w:pPr>
          </w:p>
        </w:tc>
        <w:tc>
          <w:tcPr>
            <w:tcW w:w="591" w:type="pct"/>
            <w:vMerge w:val="continue"/>
            <w:tcBorders>
              <w:left w:val="single" w:color="auto" w:sz="4" w:space="0"/>
              <w:right w:val="single" w:color="auto" w:sz="4" w:space="0"/>
            </w:tcBorders>
            <w:vAlign w:val="center"/>
          </w:tcPr>
          <w:p>
            <w:pPr>
              <w:widowControl/>
              <w:jc w:val="center"/>
              <w:rPr>
                <w:rFonts w:ascii="宋体" w:hAnsi="宋体" w:cs="宋体"/>
                <w:color w:val="000000" w:themeColor="text1"/>
                <w:sz w:val="24"/>
                <w:highlight w:val="none"/>
                <w14:textFill>
                  <w14:solidFill>
                    <w14:schemeClr w14:val="tx1"/>
                  </w14:solidFill>
                </w14:textFill>
              </w:rPr>
            </w:pPr>
          </w:p>
        </w:tc>
        <w:tc>
          <w:tcPr>
            <w:tcW w:w="1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272"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napToGrid/>
              <w:spacing w:after="0" w:line="360" w:lineRule="auto"/>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z w:val="24"/>
                <w:szCs w:val="24"/>
                <w:highlight w:val="none"/>
                <w:u w:val="single"/>
                <w:lang w:val="en-US" w:eastAsia="zh-CN"/>
              </w:rPr>
              <w:t>18292796351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8" w:type="pct"/>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p>
            <w:pPr>
              <w:widowControl/>
              <w:jc w:val="center"/>
              <w:rPr>
                <w:rFonts w:hint="eastAsia" w:ascii="宋体" w:hAnsi="宋体" w:eastAsia="宋体" w:cs="宋体"/>
                <w:color w:val="000000" w:themeColor="text1"/>
                <w:sz w:val="24"/>
                <w:highlight w:val="none"/>
                <w:lang w:eastAsia="zh-CN"/>
                <w14:textFill>
                  <w14:solidFill>
                    <w14:schemeClr w14:val="tx1"/>
                  </w14:solidFill>
                </w14:textFill>
              </w:rPr>
            </w:pPr>
          </w:p>
        </w:tc>
        <w:tc>
          <w:tcPr>
            <w:tcW w:w="950" w:type="pct"/>
            <w:gridSpan w:val="2"/>
            <w:tcBorders>
              <w:left w:val="single" w:color="auto" w:sz="4" w:space="0"/>
              <w:right w:val="single" w:color="auto" w:sz="4" w:space="0"/>
            </w:tcBorders>
            <w:vAlign w:val="center"/>
          </w:tcPr>
          <w:p>
            <w:pPr>
              <w:widowControl/>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投标保证金的金额：</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0000.00元</w:t>
            </w:r>
          </w:p>
          <w:p>
            <w:pPr>
              <w:numPr>
                <w:ilvl w:val="0"/>
                <w:numId w:val="0"/>
              </w:num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（1）投标保证金的形式：电汇</w:t>
            </w:r>
          </w:p>
          <w:p>
            <w:pPr>
              <w:numPr>
                <w:ilvl w:val="0"/>
                <w:numId w:val="0"/>
              </w:num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收款单位：冀东海天水泥闻喜有限责任公司</w:t>
            </w:r>
          </w:p>
          <w:p>
            <w:pPr>
              <w:numPr>
                <w:ilvl w:val="0"/>
                <w:numId w:val="0"/>
              </w:num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开户银行：工商银行闻喜支行</w:t>
            </w:r>
          </w:p>
          <w:p>
            <w:pPr>
              <w:numPr>
                <w:ilvl w:val="0"/>
                <w:numId w:val="0"/>
              </w:num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    号：0511035419022132253</w:t>
            </w:r>
          </w:p>
          <w:p>
            <w:pPr>
              <w:numPr>
                <w:ilvl w:val="0"/>
                <w:numId w:val="0"/>
              </w:numPr>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乔</w:t>
            </w:r>
            <w:r>
              <w:rPr>
                <w:rFonts w:hint="eastAsia" w:ascii="宋体" w:hAnsi="宋体" w:cs="宋体"/>
                <w:color w:val="000000" w:themeColor="text1"/>
                <w:sz w:val="24"/>
                <w:highlight w:val="none"/>
                <w:u w:val="single"/>
                <w:lang w:val="en-US" w:eastAsia="zh-CN"/>
                <w14:textFill>
                  <w14:solidFill>
                    <w14:schemeClr w14:val="tx1"/>
                  </w14:solidFill>
                </w14:textFill>
              </w:rPr>
              <w:t>工</w:t>
            </w:r>
          </w:p>
          <w:p>
            <w:pPr>
              <w:numPr>
                <w:ilvl w:val="0"/>
                <w:numId w:val="0"/>
              </w:num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话：_</w:t>
            </w:r>
            <w:r>
              <w:rPr>
                <w:rFonts w:hint="eastAsia" w:ascii="宋体" w:hAnsi="宋体" w:cs="宋体"/>
                <w:color w:val="000000" w:themeColor="text1"/>
                <w:sz w:val="24"/>
                <w:highlight w:val="none"/>
                <w:u w:val="single"/>
                <w14:textFill>
                  <w14:solidFill>
                    <w14:schemeClr w14:val="tx1"/>
                  </w14:solidFill>
                </w14:textFill>
              </w:rPr>
              <w:t>13466922302</w:t>
            </w:r>
            <w:r>
              <w:rPr>
                <w:rFonts w:hint="eastAsia" w:ascii="宋体" w:hAnsi="宋体" w:cs="宋体"/>
                <w:color w:val="000000" w:themeColor="text1"/>
                <w:sz w:val="24"/>
                <w:highlight w:val="none"/>
                <w14:textFill>
                  <w14:solidFill>
                    <w14:schemeClr w14:val="tx1"/>
                  </w14:solidFill>
                </w14:textFill>
              </w:rPr>
              <w:t>_</w:t>
            </w:r>
          </w:p>
          <w:p>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验证：未缴纳投标保证金的不予报名</w:t>
            </w:r>
          </w:p>
          <w:p>
            <w:pPr>
              <w:numPr>
                <w:ilvl w:val="0"/>
                <w:numId w:val="0"/>
              </w:num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投标保证金形式：</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（1）投标人应以自己的名义向招标</w:t>
            </w:r>
            <w:r>
              <w:rPr>
                <w:rFonts w:hint="eastAsia" w:ascii="宋体" w:hAnsi="宋体" w:cs="宋体"/>
                <w:color w:val="000000" w:themeColor="text1"/>
                <w:sz w:val="24"/>
                <w:highlight w:val="none"/>
                <w:lang w:val="en-US" w:eastAsia="zh-CN"/>
                <w14:textFill>
                  <w14:solidFill>
                    <w14:schemeClr w14:val="tx1"/>
                  </w14:solidFill>
                </w14:textFill>
              </w:rPr>
              <w:t>单位</w:t>
            </w:r>
            <w:r>
              <w:rPr>
                <w:rFonts w:hint="eastAsia" w:ascii="宋体" w:hAnsi="宋体" w:cs="宋体"/>
                <w:color w:val="000000" w:themeColor="text1"/>
                <w:sz w:val="24"/>
                <w:highlight w:val="none"/>
                <w14:textFill>
                  <w14:solidFill>
                    <w14:schemeClr w14:val="tx1"/>
                  </w14:solidFill>
                </w14:textFill>
              </w:rPr>
              <w:t>提交投标保证金，不得委托第三方提交。</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投标人应充分考虑资金的在途时间，确保投标保证金在投标截止时间前到达指定账户</w:t>
            </w:r>
            <w:r>
              <w:rPr>
                <w:rFonts w:hint="eastAsia" w:ascii="宋体" w:hAnsi="宋体" w:cs="宋体"/>
                <w:color w:val="000000" w:themeColor="text1"/>
                <w:sz w:val="24"/>
                <w:highlight w:val="none"/>
                <w14:textFill>
                  <w14:solidFill>
                    <w14:schemeClr w14:val="tx1"/>
                  </w14:solidFill>
                </w14:textFill>
              </w:rPr>
              <w:t>。</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（3）投标保证金递交截止时间：投标截止时间前。</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（4）投标保证金请备注项目名称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8" w:type="pct"/>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950" w:type="pct"/>
            <w:gridSpan w:val="2"/>
            <w:tcBorders>
              <w:left w:val="single" w:color="auto" w:sz="4" w:space="0"/>
              <w:right w:val="single" w:color="auto" w:sz="4" w:space="0"/>
            </w:tcBorders>
            <w:vAlign w:val="center"/>
          </w:tcPr>
          <w:p>
            <w:pPr>
              <w:widowControl/>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中标候选人及中标人</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pStyle w:val="21"/>
              <w:spacing w:after="0"/>
              <w:jc w:val="left"/>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lang w:val="en-US" w:eastAsia="zh-CN"/>
                <w14:textFill>
                  <w14:solidFill>
                    <w14:schemeClr w14:val="tx1"/>
                  </w14:solidFill>
                </w14:textFill>
              </w:rPr>
              <w:t>项目</w:t>
            </w:r>
            <w:r>
              <w:rPr>
                <w:rFonts w:hint="eastAsia" w:ascii="宋体" w:hAnsi="宋体" w:cs="宋体"/>
                <w:color w:val="000000" w:themeColor="text1"/>
                <w:kern w:val="2"/>
                <w:highlight w:val="none"/>
                <w14:textFill>
                  <w14:solidFill>
                    <w14:schemeClr w14:val="tx1"/>
                  </w14:solidFill>
                </w14:textFill>
              </w:rPr>
              <w:t>候选人为3人，中标人为1人。</w:t>
            </w:r>
          </w:p>
          <w:p>
            <w:pPr>
              <w:pStyle w:val="21"/>
              <w:spacing w:after="0"/>
              <w:jc w:val="left"/>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备注：招标人确定排名第一的候选人为中标人。排名第一的候选人放弃中标、因不可抗力不能履行合同，或者被查实存在影响中标结果的违法行为等情形，不符合中标条件的，招标人可以按照评标委员会提出的候选人名单排序依次确定其他候选人为中选，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28" w:type="pct"/>
            <w:tcBorders>
              <w:left w:val="single" w:color="auto" w:sz="4" w:space="0"/>
              <w:right w:val="single" w:color="auto" w:sz="4" w:space="0"/>
            </w:tcBorders>
            <w:vAlign w:val="center"/>
          </w:tcPr>
          <w:p>
            <w:pPr>
              <w:widowControl/>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950" w:type="pct"/>
            <w:gridSpan w:val="2"/>
            <w:tcBorders>
              <w:left w:val="single" w:color="auto" w:sz="4" w:space="0"/>
              <w:right w:val="single" w:color="auto" w:sz="4" w:space="0"/>
            </w:tcBorders>
            <w:vAlign w:val="center"/>
          </w:tcPr>
          <w:p>
            <w:pPr>
              <w:widowControl/>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3621" w:type="pct"/>
            <w:gridSpan w:val="2"/>
            <w:tcBorders>
              <w:top w:val="single" w:color="auto" w:sz="4" w:space="0"/>
              <w:left w:val="single" w:color="auto" w:sz="4" w:space="0"/>
              <w:bottom w:val="single" w:color="auto" w:sz="4" w:space="0"/>
              <w:right w:val="single" w:color="auto" w:sz="4" w:space="0"/>
            </w:tcBorders>
            <w:vAlign w:val="center"/>
          </w:tcPr>
          <w:p>
            <w:pPr>
              <w:pStyle w:val="21"/>
              <w:spacing w:after="0"/>
              <w:jc w:val="left"/>
              <w:rPr>
                <w:rFonts w:hint="default" w:ascii="宋体" w:hAnsi="宋体" w:eastAsia="宋体" w:cs="宋体"/>
                <w:color w:val="000000" w:themeColor="text1"/>
                <w:kern w:val="2"/>
                <w:highlight w:val="yellow"/>
                <w:lang w:val="en-US" w:eastAsia="zh-CN"/>
                <w14:textFill>
                  <w14:solidFill>
                    <w14:schemeClr w14:val="tx1"/>
                  </w14:solidFill>
                </w14:textFill>
              </w:rPr>
            </w:pPr>
            <w:r>
              <w:rPr>
                <w:rFonts w:hint="eastAsia" w:ascii="宋体" w:hAnsi="宋体" w:cs="宋体"/>
                <w:color w:val="000000" w:themeColor="text1"/>
                <w:kern w:val="2"/>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招标人不组织现场踏勘，投标人自行勘察现场</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yellow"/>
                <w:lang w:val="en-US" w:eastAsia="zh-CN"/>
                <w14:textFill>
                  <w14:solidFill>
                    <w14:schemeClr w14:val="tx1"/>
                  </w14:solidFill>
                </w14:textFill>
              </w:rPr>
              <w:t>未勘踏现场的视同为接收现场所有条件。</w:t>
            </w:r>
          </w:p>
          <w:p>
            <w:pPr>
              <w:pStyle w:val="21"/>
              <w:spacing w:after="0"/>
              <w:jc w:val="left"/>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lang w:val="en-US" w:eastAsia="zh-CN"/>
                <w14:textFill>
                  <w14:solidFill>
                    <w14:schemeClr w14:val="tx1"/>
                  </w14:solidFill>
                </w14:textFill>
              </w:rPr>
              <w:t>2、</w:t>
            </w:r>
            <w:r>
              <w:rPr>
                <w:rFonts w:hint="eastAsia" w:ascii="宋体" w:hAnsi="宋体" w:cs="宋体"/>
                <w:color w:val="000000" w:themeColor="text1"/>
                <w:kern w:val="2"/>
                <w:highlight w:val="none"/>
                <w14:textFill>
                  <w14:solidFill>
                    <w14:schemeClr w14:val="tx1"/>
                  </w14:solidFill>
                </w14:textFill>
              </w:rPr>
              <w:t>本次招标公告在</w:t>
            </w:r>
            <w:r>
              <w:rPr>
                <w:rFonts w:hint="eastAsia" w:ascii="宋体" w:hAnsi="宋体" w:cs="宋体"/>
                <w:color w:val="000000" w:themeColor="text1"/>
                <w:highlight w:val="none"/>
                <w:lang w:val="en-US" w:eastAsia="zh-CN"/>
                <w14:textFill>
                  <w14:solidFill>
                    <w14:schemeClr w14:val="tx1"/>
                  </w14:solidFill>
                </w14:textFill>
              </w:rPr>
              <w:t>金隅冀东阳光采购平台</w:t>
            </w:r>
            <w:r>
              <w:rPr>
                <w:rFonts w:hint="eastAsia" w:ascii="宋体" w:hAnsi="宋体" w:cs="宋体"/>
                <w:color w:val="000000" w:themeColor="text1"/>
                <w:highlight w:val="none"/>
                <w:lang w:eastAsia="zh-CN"/>
                <w14:textFill>
                  <w14:solidFill>
                    <w14:schemeClr w14:val="tx1"/>
                  </w14:solidFill>
                </w14:textFill>
              </w:rPr>
              <w:t>（http://cg.jdsn.com.cn/）</w:t>
            </w:r>
            <w:r>
              <w:rPr>
                <w:rFonts w:hint="eastAsia" w:ascii="宋体" w:hAnsi="宋体" w:cs="宋体"/>
                <w:color w:val="000000" w:themeColor="text1"/>
                <w:kern w:val="2"/>
                <w:highlight w:val="none"/>
                <w14:textFill>
                  <w14:solidFill>
                    <w14:schemeClr w14:val="tx1"/>
                  </w14:solidFill>
                </w14:textFill>
              </w:rPr>
              <w:t>网上发布。</w:t>
            </w:r>
          </w:p>
          <w:p>
            <w:pPr>
              <w:jc w:val="left"/>
              <w:rPr>
                <w:rFonts w:ascii="宋体" w:hAnsi="宋体" w:cs="黑体"/>
                <w:sz w:val="24"/>
                <w:highlight w:val="none"/>
              </w:rPr>
            </w:pPr>
            <w:r>
              <w:rPr>
                <w:rFonts w:hint="eastAsia" w:ascii="宋体" w:hAnsi="宋体" w:cs="黑体"/>
                <w:sz w:val="24"/>
                <w:highlight w:val="none"/>
                <w:lang w:val="en-US" w:eastAsia="zh-CN"/>
              </w:rPr>
              <w:t>3、</w:t>
            </w:r>
            <w:r>
              <w:rPr>
                <w:rFonts w:hint="eastAsia" w:ascii="宋体" w:hAnsi="宋体" w:cs="黑体"/>
                <w:sz w:val="24"/>
                <w:highlight w:val="none"/>
              </w:rPr>
              <w:t>投标人须充分考虑项目实施过程中，因疫情防控常态化要求而可能增加的费用，招标人不因疫情原因而额外支付其他费用；</w:t>
            </w:r>
          </w:p>
          <w:p>
            <w:pPr>
              <w:pStyle w:val="21"/>
              <w:spacing w:after="0" w:line="360" w:lineRule="auto"/>
              <w:rPr>
                <w:rFonts w:ascii="宋体" w:hAnsi="宋体" w:eastAsia="宋体" w:cs="黑体"/>
                <w:kern w:val="0"/>
                <w:sz w:val="24"/>
                <w:szCs w:val="24"/>
                <w:highlight w:val="none"/>
                <w:lang w:val="en-US" w:eastAsia="zh-CN" w:bidi="ar-SA"/>
              </w:rPr>
            </w:pPr>
            <w:r>
              <w:rPr>
                <w:rFonts w:hint="eastAsia" w:ascii="宋体" w:hAnsi="宋体" w:cs="黑体"/>
                <w:highlight w:val="none"/>
                <w:lang w:val="en-US" w:eastAsia="zh-CN"/>
              </w:rPr>
              <w:t>4、</w:t>
            </w:r>
            <w:r>
              <w:rPr>
                <w:rFonts w:hint="eastAsia" w:ascii="宋体" w:hAnsi="宋体" w:cs="黑体"/>
                <w:highlight w:val="none"/>
              </w:rPr>
              <w:t>本项目为固定</w:t>
            </w:r>
            <w:r>
              <w:rPr>
                <w:rFonts w:hint="eastAsia" w:ascii="宋体" w:hAnsi="宋体" w:eastAsia="宋体" w:cs="宋体"/>
                <w:sz w:val="24"/>
                <w:szCs w:val="24"/>
                <w:highlight w:val="none"/>
              </w:rPr>
              <w:t>价格</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总费用</w:t>
            </w:r>
            <w:r>
              <w:rPr>
                <w:rFonts w:hint="eastAsia" w:ascii="宋体" w:hAnsi="宋体" w:eastAsia="宋体" w:cs="宋体"/>
                <w:sz w:val="24"/>
                <w:szCs w:val="24"/>
                <w:highlight w:val="none"/>
              </w:rPr>
              <w:t>包</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但不限于研发</w:t>
            </w:r>
            <w:r>
              <w:rPr>
                <w:rFonts w:hint="eastAsia" w:ascii="宋体" w:hAnsi="宋体" w:eastAsia="宋体" w:cs="宋体"/>
                <w:sz w:val="24"/>
                <w:szCs w:val="24"/>
                <w:highlight w:val="none"/>
                <w:lang w:val="en-US" w:eastAsia="zh-CN"/>
              </w:rPr>
              <w:t>人员费</w:t>
            </w:r>
            <w:r>
              <w:rPr>
                <w:rFonts w:hint="eastAsia" w:ascii="宋体" w:hAnsi="宋体" w:eastAsia="宋体" w:cs="宋体"/>
                <w:sz w:val="24"/>
                <w:szCs w:val="24"/>
                <w:highlight w:val="none"/>
              </w:rPr>
              <w:t>用、研发设备的研制生产、运杂费、保险费、管理费、利润、税金、安装调试费、培训、售后服务等所有一切费用</w:t>
            </w:r>
            <w:r>
              <w:rPr>
                <w:rFonts w:hint="eastAsia" w:ascii="宋体" w:hAnsi="宋体" w:cs="黑体"/>
                <w:highlight w:val="none"/>
              </w:rPr>
              <w:t>及</w:t>
            </w:r>
            <w:r>
              <w:rPr>
                <w:rFonts w:hint="eastAsia" w:ascii="宋体" w:hAnsi="宋体" w:cs="黑体"/>
                <w:highlight w:val="none"/>
                <w:lang w:val="en-US" w:eastAsia="zh-CN"/>
              </w:rPr>
              <w:t>其他</w:t>
            </w:r>
            <w:r>
              <w:rPr>
                <w:rFonts w:hint="eastAsia" w:ascii="宋体" w:hAnsi="宋体" w:cs="黑体"/>
                <w:highlight w:val="none"/>
              </w:rPr>
              <w:t>风险因素，合同履行期间中标单位不得因任何原因提出增加费用。</w:t>
            </w:r>
          </w:p>
        </w:tc>
      </w:tr>
    </w:tbl>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p>
    <w:p>
      <w:pPr>
        <w:pStyle w:val="21"/>
        <w:rPr>
          <w:highlight w:val="none"/>
        </w:rPr>
      </w:pPr>
      <w:r>
        <w:rPr>
          <w:highlight w:val="none"/>
        </w:rPr>
        <w:br w:type="page"/>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1.总则</w:t>
      </w:r>
    </w:p>
    <w:p>
      <w:pPr>
        <w:spacing w:line="360" w:lineRule="auto"/>
        <w:rPr>
          <w:rFonts w:ascii="宋体" w:hAnsi="宋体" w:cs="宋体"/>
          <w:b/>
          <w:bCs/>
          <w:color w:val="000000" w:themeColor="text1"/>
          <w:sz w:val="24"/>
          <w:highlight w:val="none"/>
          <w14:textFill>
            <w14:solidFill>
              <w14:schemeClr w14:val="tx1"/>
            </w14:solidFill>
          </w14:textFill>
        </w:rPr>
      </w:pPr>
      <w:bookmarkStart w:id="0" w:name="_Toc317694229"/>
      <w:r>
        <w:rPr>
          <w:rFonts w:hint="eastAsia" w:ascii="宋体" w:hAnsi="宋体" w:cs="宋体"/>
          <w:b/>
          <w:bCs/>
          <w:color w:val="000000" w:themeColor="text1"/>
          <w:sz w:val="24"/>
          <w:highlight w:val="none"/>
          <w14:textFill>
            <w14:solidFill>
              <w14:schemeClr w14:val="tx1"/>
            </w14:solidFill>
          </w14:textFill>
        </w:rPr>
        <w:t>1.1项目概况</w:t>
      </w:r>
      <w:bookmarkEnd w:id="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根据《中华人民共和国招标投标法》、《中华人民共和国招标投标法实施条例》有关法律、法规和规章的规定，本招标项目已具备招标条件，现对本项目进行招标。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本招标项目招标人：见投标人须知前附表。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本招标项目名称：见投标人须知前附表。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本招标项目招标</w:t>
      </w:r>
      <w:r>
        <w:rPr>
          <w:rFonts w:hint="eastAsia" w:ascii="宋体" w:hAnsi="宋体" w:cs="宋体"/>
          <w:color w:val="000000" w:themeColor="text1"/>
          <w:sz w:val="24"/>
          <w:highlight w:val="none"/>
          <w:lang w:val="en-US" w:eastAsia="zh-CN"/>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：见投标人须知前附表。</w:t>
      </w:r>
    </w:p>
    <w:p>
      <w:pPr>
        <w:spacing w:line="360" w:lineRule="auto"/>
        <w:rPr>
          <w:rFonts w:ascii="宋体" w:hAnsi="宋体" w:cs="宋体"/>
          <w:b/>
          <w:bCs/>
          <w:color w:val="000000" w:themeColor="text1"/>
          <w:sz w:val="24"/>
          <w:highlight w:val="none"/>
          <w14:textFill>
            <w14:solidFill>
              <w14:schemeClr w14:val="tx1"/>
            </w14:solidFill>
          </w14:textFill>
        </w:rPr>
      </w:pPr>
      <w:bookmarkStart w:id="1" w:name="_Toc317694231"/>
      <w:r>
        <w:rPr>
          <w:rFonts w:hint="eastAsia" w:ascii="宋体" w:hAnsi="宋体" w:cs="宋体"/>
          <w:b/>
          <w:bCs/>
          <w:color w:val="000000" w:themeColor="text1"/>
          <w:sz w:val="24"/>
          <w:highlight w:val="none"/>
          <w14:textFill>
            <w14:solidFill>
              <w14:schemeClr w14:val="tx1"/>
            </w14:solidFill>
          </w14:textFill>
        </w:rPr>
        <w:t>1.2</w:t>
      </w:r>
      <w:bookmarkEnd w:id="1"/>
      <w:bookmarkStart w:id="2" w:name="_Toc317694232"/>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投标人资格要求</w:t>
      </w:r>
      <w:bookmarkEnd w:id="2"/>
    </w:p>
    <w:p>
      <w:pPr>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b w:val="0"/>
          <w:bCs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val="0"/>
          <w:kern w:val="0"/>
          <w:sz w:val="24"/>
          <w:szCs w:val="24"/>
          <w:highlight w:val="none"/>
          <w:lang w:val="en-US" w:eastAsia="zh-CN" w:bidi="ar-SA"/>
        </w:rPr>
        <w:t>投标人具有独立法人资格，须提供营业执照副本复印件并盖公章，营业执照为最新检审合格且营业执照经营范围满足本技术研究项目内容，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b w:val="0"/>
          <w:bCs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val="0"/>
          <w:bCs w:val="0"/>
          <w:kern w:val="0"/>
          <w:sz w:val="24"/>
          <w:szCs w:val="24"/>
          <w:highlight w:val="none"/>
          <w:lang w:val="en-US" w:eastAsia="zh-CN" w:bidi="ar-SA"/>
        </w:rPr>
        <w:t>信誉要求：通过“信用中国”网站（www.creditchina.gov.cn）查询投标人是否为失信被执行人，限制失信被执行人参与此次投标（开标当日由招标人统一查询）。</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b w:val="0"/>
          <w:bCs w:val="0"/>
          <w:sz w:val="24"/>
          <w:szCs w:val="24"/>
          <w:highlight w:val="none"/>
        </w:rPr>
      </w:pPr>
      <w:r>
        <w:rPr>
          <w:rFonts w:hint="eastAsia" w:ascii="宋体" w:hAnsi="宋体"/>
          <w:b w:val="0"/>
          <w:bCs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cs="宋体"/>
          <w:b w:val="0"/>
          <w:bCs w:val="0"/>
          <w:sz w:val="24"/>
          <w:szCs w:val="24"/>
          <w:highlight w:val="none"/>
        </w:rPr>
        <w:t>业绩要求:</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color w:val="auto"/>
          <w:sz w:val="24"/>
          <w:szCs w:val="24"/>
          <w:highlight w:val="none"/>
        </w:rPr>
        <w:t>投标人</w:t>
      </w:r>
      <w:r>
        <w:rPr>
          <w:rFonts w:hint="eastAsia" w:ascii="宋体" w:hAnsi="宋体" w:cs="宋体"/>
          <w:b w:val="0"/>
          <w:bCs w:val="0"/>
          <w:color w:val="auto"/>
          <w:sz w:val="24"/>
          <w:szCs w:val="24"/>
          <w:highlight w:val="none"/>
          <w:lang w:val="en-US" w:eastAsia="zh-CN"/>
        </w:rPr>
        <w:t>近三年来</w:t>
      </w:r>
      <w:r>
        <w:rPr>
          <w:rFonts w:hint="eastAsia" w:ascii="宋体" w:hAnsi="宋体" w:cs="宋体"/>
          <w:b w:val="0"/>
          <w:bCs w:val="0"/>
          <w:color w:val="auto"/>
          <w:sz w:val="24"/>
          <w:szCs w:val="24"/>
          <w:highlight w:val="none"/>
        </w:rPr>
        <w:t>承担过</w:t>
      </w:r>
      <w:r>
        <w:rPr>
          <w:rFonts w:hint="eastAsia" w:ascii="宋体" w:hAnsi="宋体" w:cs="宋体"/>
          <w:b w:val="0"/>
          <w:bCs w:val="0"/>
          <w:color w:val="auto"/>
          <w:sz w:val="24"/>
          <w:szCs w:val="24"/>
          <w:highlight w:val="none"/>
          <w:lang w:val="en-US" w:eastAsia="zh-CN"/>
        </w:rPr>
        <w:t>的余热锅炉发电类项目业绩</w:t>
      </w:r>
      <w:r>
        <w:rPr>
          <w:rFonts w:hint="eastAsia" w:ascii="宋体" w:hAnsi="宋体" w:cs="宋体"/>
          <w:b w:val="0"/>
          <w:bCs w:val="0"/>
          <w:color w:val="auto"/>
          <w:sz w:val="24"/>
          <w:szCs w:val="24"/>
          <w:highlight w:val="none"/>
        </w:rPr>
        <w:t>。</w:t>
      </w:r>
      <w:r>
        <w:rPr>
          <w:rFonts w:hint="eastAsia" w:ascii="宋体" w:hAnsi="宋体" w:cs="宋体"/>
          <w:b w:val="0"/>
          <w:bCs w:val="0"/>
          <w:sz w:val="24"/>
          <w:szCs w:val="24"/>
          <w:highlight w:val="none"/>
        </w:rPr>
        <w:t>（提供项目合同复印件或中标通知书复印件并加盖公章）</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en-US" w:eastAsia="zh-CN"/>
          <w14:textFill>
            <w14:solidFill>
              <w14:schemeClr w14:val="tx1"/>
            </w14:solidFill>
          </w14:textFill>
        </w:rPr>
        <w:t>.2.4</w:t>
      </w:r>
      <w:r>
        <w:rPr>
          <w:rFonts w:hint="eastAsia" w:ascii="宋体" w:hAnsi="宋体" w:cs="宋体"/>
          <w:b w:val="0"/>
          <w:bCs w:val="0"/>
          <w:color w:val="000000" w:themeColor="text1"/>
          <w:sz w:val="24"/>
          <w:szCs w:val="24"/>
          <w:highlight w:val="none"/>
          <w14:textFill>
            <w14:solidFill>
              <w14:schemeClr w14:val="tx1"/>
            </w14:solidFill>
          </w14:textFill>
        </w:rPr>
        <w:t>投标人应当满足以下条件（提供承诺书）：</w:t>
      </w:r>
    </w:p>
    <w:p>
      <w:pPr>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投标人必须具有在其注册地市级以上的登记机构（科技部全国技术合同管理与服务系统认定的登记机构）完成技术合同认定登记条件。</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 xml:space="preserve">（2）具有独立订立合同的能力；未处于被责令停业、投标资格被取消或者财产被接管、冻结和破产状态；  </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（3）企业没有因骗取中标或者严重违约以及发生重大工程质量、安全生产事故等违法违规问题，被有关部门暂停投标资格并在暂停期内的；</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（4）企业无隐瞒不良记录或在任何阶段提供虚假资料有欺诈行为的，如有将取消中标资格并承担由此造成的招标人的损失；</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（5）符合法律、法规规定的其他条件。</w:t>
      </w:r>
    </w:p>
    <w:p>
      <w:pPr>
        <w:pStyle w:val="21"/>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en-US" w:eastAsia="zh-CN"/>
          <w14:textFill>
            <w14:solidFill>
              <w14:schemeClr w14:val="tx1"/>
            </w14:solidFill>
          </w14:textFill>
        </w:rPr>
        <w:t>.2.5</w:t>
      </w:r>
      <w:r>
        <w:rPr>
          <w:rFonts w:hint="eastAsia" w:ascii="宋体" w:hAnsi="宋体" w:cs="宋体"/>
          <w:b w:val="0"/>
          <w:bCs w:val="0"/>
          <w:color w:val="000000" w:themeColor="text1"/>
          <w:sz w:val="24"/>
          <w:szCs w:val="24"/>
          <w:highlight w:val="none"/>
          <w14:textFill>
            <w14:solidFill>
              <w14:schemeClr w14:val="tx1"/>
            </w14:solidFill>
          </w14:textFill>
        </w:rPr>
        <w:t>本次招标不接受联合体投标。</w:t>
      </w:r>
    </w:p>
    <w:p>
      <w:pPr>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1.2.6投标人须具有</w:t>
      </w:r>
      <w:r>
        <w:rPr>
          <w:rFonts w:hint="eastAsia" w:ascii="宋体" w:hAnsi="宋体" w:eastAsia="宋体" w:cs="宋体"/>
          <w:b w:val="0"/>
          <w:bCs w:val="0"/>
          <w:color w:val="auto"/>
          <w:kern w:val="0"/>
          <w:sz w:val="24"/>
          <w:szCs w:val="24"/>
          <w:highlight w:val="none"/>
          <w:lang w:val="en-US" w:eastAsia="zh-CN" w:bidi="ar-SA"/>
        </w:rPr>
        <w:t>A级锅炉部件、B级锅炉制造资质，有锅炉安装资质。</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1.3投标人资格要求（适用于未进行资格预审的）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 投标人应具备履行本项目的资质条件、能力和信誉。</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1.3.</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投标人不得存在下列情形之一：</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（1）投标人不具有独立法人资格的附属机构（单位）；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（2）被责令停业的；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（3）被暂停或取消投标资格的；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（4）财产被接管或冻结的；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（5）在最近三年内有骗取中标或严重违约或其他重大违法违规行为的。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b/>
          <w:bCs/>
          <w:color w:val="000000" w:themeColor="text1"/>
          <w:sz w:val="24"/>
          <w:highlight w:val="none"/>
          <w14:textFill>
            <w14:solidFill>
              <w14:schemeClr w14:val="tx1"/>
            </w14:solidFill>
          </w14:textFill>
        </w:rPr>
      </w:pPr>
      <w:bookmarkStart w:id="3" w:name="_Toc317694233"/>
      <w:r>
        <w:rPr>
          <w:rFonts w:hint="eastAsia" w:ascii="宋体" w:hAnsi="宋体" w:cs="宋体"/>
          <w:b/>
          <w:bCs/>
          <w:color w:val="000000" w:themeColor="text1"/>
          <w:sz w:val="24"/>
          <w:highlight w:val="none"/>
          <w14:textFill>
            <w14:solidFill>
              <w14:schemeClr w14:val="tx1"/>
            </w14:solidFill>
          </w14:textFill>
        </w:rPr>
        <w:t>1.4费用承担</w:t>
      </w:r>
      <w:bookmarkEnd w:id="3"/>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投标人准备和参加投标活动发生的一切费用自理。</w:t>
      </w:r>
    </w:p>
    <w:p>
      <w:pPr>
        <w:spacing w:line="360" w:lineRule="auto"/>
        <w:rPr>
          <w:rFonts w:ascii="宋体" w:hAnsi="宋体" w:cs="宋体"/>
          <w:b/>
          <w:bCs/>
          <w:color w:val="000000" w:themeColor="text1"/>
          <w:sz w:val="24"/>
          <w:highlight w:val="none"/>
          <w14:textFill>
            <w14:solidFill>
              <w14:schemeClr w14:val="tx1"/>
            </w14:solidFill>
          </w14:textFill>
        </w:rPr>
      </w:pPr>
      <w:bookmarkStart w:id="4" w:name="_Toc317694234"/>
      <w:r>
        <w:rPr>
          <w:rFonts w:hint="eastAsia" w:ascii="宋体" w:hAnsi="宋体" w:cs="宋体"/>
          <w:b/>
          <w:bCs/>
          <w:color w:val="000000" w:themeColor="text1"/>
          <w:sz w:val="24"/>
          <w:highlight w:val="none"/>
          <w14:textFill>
            <w14:solidFill>
              <w14:schemeClr w14:val="tx1"/>
            </w14:solidFill>
          </w14:textFill>
        </w:rPr>
        <w:t>1.5保密</w:t>
      </w:r>
      <w:bookmarkEnd w:id="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 参与招标投标活动的各方应对招标文件和投标文件中的商业和技术等秘密保密，违者应对由此造成的后果承担法律责任。</w:t>
      </w:r>
    </w:p>
    <w:p>
      <w:pPr>
        <w:spacing w:line="360" w:lineRule="auto"/>
        <w:rPr>
          <w:rFonts w:ascii="宋体" w:hAnsi="宋体" w:cs="宋体"/>
          <w:b/>
          <w:bCs/>
          <w:color w:val="000000" w:themeColor="text1"/>
          <w:sz w:val="24"/>
          <w:highlight w:val="none"/>
          <w14:textFill>
            <w14:solidFill>
              <w14:schemeClr w14:val="tx1"/>
            </w14:solidFill>
          </w14:textFill>
        </w:rPr>
      </w:pPr>
      <w:bookmarkStart w:id="5" w:name="_Toc317694235"/>
      <w:r>
        <w:rPr>
          <w:rFonts w:hint="eastAsia" w:ascii="宋体" w:hAnsi="宋体" w:cs="宋体"/>
          <w:b/>
          <w:bCs/>
          <w:color w:val="000000" w:themeColor="text1"/>
          <w:sz w:val="24"/>
          <w:highlight w:val="none"/>
          <w14:textFill>
            <w14:solidFill>
              <w14:schemeClr w14:val="tx1"/>
            </w14:solidFill>
          </w14:textFill>
        </w:rPr>
        <w:t>1.6语言文字</w:t>
      </w:r>
      <w:bookmarkEnd w:id="5"/>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除专用术语外，与招标投标有关的语言均使用中文。必要时专用术语可使用其他语言，但均应附有中文注释。</w:t>
      </w:r>
    </w:p>
    <w:p>
      <w:pPr>
        <w:spacing w:line="360" w:lineRule="auto"/>
        <w:rPr>
          <w:rFonts w:ascii="宋体" w:hAnsi="宋体" w:cs="宋体"/>
          <w:b/>
          <w:bCs/>
          <w:color w:val="000000" w:themeColor="text1"/>
          <w:sz w:val="24"/>
          <w:highlight w:val="none"/>
          <w14:textFill>
            <w14:solidFill>
              <w14:schemeClr w14:val="tx1"/>
            </w14:solidFill>
          </w14:textFill>
        </w:rPr>
      </w:pPr>
      <w:bookmarkStart w:id="6" w:name="_Toc317694236"/>
      <w:r>
        <w:rPr>
          <w:rFonts w:hint="eastAsia" w:ascii="宋体" w:hAnsi="宋体" w:cs="宋体"/>
          <w:b/>
          <w:bCs/>
          <w:color w:val="000000" w:themeColor="text1"/>
          <w:sz w:val="24"/>
          <w:highlight w:val="none"/>
          <w14:textFill>
            <w14:solidFill>
              <w14:schemeClr w14:val="tx1"/>
            </w14:solidFill>
          </w14:textFill>
        </w:rPr>
        <w:t>1.7计量单位</w:t>
      </w:r>
      <w:bookmarkEnd w:id="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1.7.1所有计量均采用中华人民共和国法定计量单位。</w:t>
      </w:r>
    </w:p>
    <w:p>
      <w:pPr>
        <w:spacing w:line="360" w:lineRule="auto"/>
        <w:rPr>
          <w:rFonts w:ascii="宋体" w:hAnsi="宋体" w:cs="宋体"/>
          <w:b/>
          <w:bCs/>
          <w:color w:val="000000" w:themeColor="text1"/>
          <w:sz w:val="24"/>
          <w:highlight w:val="none"/>
          <w14:textFill>
            <w14:solidFill>
              <w14:schemeClr w14:val="tx1"/>
            </w14:solidFill>
          </w14:textFill>
        </w:rPr>
      </w:pPr>
      <w:bookmarkStart w:id="7" w:name="_Toc317694237"/>
      <w:r>
        <w:rPr>
          <w:rFonts w:hint="eastAsia" w:ascii="宋体" w:hAnsi="宋体" w:cs="宋体"/>
          <w:b/>
          <w:bCs/>
          <w:color w:val="000000" w:themeColor="text1"/>
          <w:sz w:val="24"/>
          <w:highlight w:val="none"/>
          <w14:textFill>
            <w14:solidFill>
              <w14:schemeClr w14:val="tx1"/>
            </w14:solidFill>
          </w14:textFill>
        </w:rPr>
        <w:t>1.8踏勘现场</w:t>
      </w:r>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投标人须知前附表规定组织踏勘现场的，招标人按投标人须知前附表规定的时间、地点组织投标人踏勘项目现场。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无论是否由招标人组织踏勘现场，投标人踏勘现场发生的费用自理。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如招标人组织踏勘现场，招标人在踏勘现场中介绍的工程场地和相关的周边环境情况，仅供投标人在编制投标文件时参考，招标人不对投标人据此作出的判断和决策负责。</w:t>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bookmarkStart w:id="8" w:name="_Toc317694238"/>
      <w:r>
        <w:rPr>
          <w:rFonts w:hint="eastAsia" w:ascii="宋体" w:hAnsi="宋体" w:cs="宋体"/>
          <w:b/>
          <w:bCs/>
          <w:color w:val="000000" w:themeColor="text1"/>
          <w:sz w:val="28"/>
          <w:szCs w:val="28"/>
          <w:highlight w:val="none"/>
          <w14:textFill>
            <w14:solidFill>
              <w14:schemeClr w14:val="tx1"/>
            </w14:solidFill>
          </w14:textFill>
        </w:rPr>
        <w:t>2.招标文件</w:t>
      </w:r>
      <w:bookmarkEnd w:id="8"/>
    </w:p>
    <w:p>
      <w:pPr>
        <w:spacing w:line="360" w:lineRule="auto"/>
        <w:rPr>
          <w:rFonts w:ascii="宋体" w:hAnsi="宋体" w:cs="宋体"/>
          <w:b/>
          <w:bCs/>
          <w:color w:val="000000" w:themeColor="text1"/>
          <w:sz w:val="24"/>
          <w:highlight w:val="none"/>
          <w14:textFill>
            <w14:solidFill>
              <w14:schemeClr w14:val="tx1"/>
            </w14:solidFill>
          </w14:textFill>
        </w:rPr>
      </w:pPr>
      <w:bookmarkStart w:id="9" w:name="_Toc317694239"/>
      <w:r>
        <w:rPr>
          <w:rFonts w:hint="eastAsia" w:ascii="宋体" w:hAnsi="宋体" w:cs="宋体"/>
          <w:b/>
          <w:bCs/>
          <w:color w:val="000000" w:themeColor="text1"/>
          <w:sz w:val="24"/>
          <w:highlight w:val="none"/>
          <w14:textFill>
            <w14:solidFill>
              <w14:schemeClr w14:val="tx1"/>
            </w14:solidFill>
          </w14:textFill>
        </w:rPr>
        <w:t>2.1招标文件的组成</w:t>
      </w:r>
      <w:bookmarkEnd w:id="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2.1.1本招标文件包括：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（1）第一章：招标公告；</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（2）第二章：投标人须知；</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（3）第三章：评标方法；</w:t>
      </w:r>
    </w:p>
    <w:p>
      <w:pPr>
        <w:numPr>
          <w:ilvl w:val="0"/>
          <w:numId w:val="3"/>
        </w:numPr>
        <w:spacing w:line="360" w:lineRule="auto"/>
        <w:ind w:left="48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第四章：项目</w:t>
      </w:r>
      <w:r>
        <w:rPr>
          <w:rFonts w:hint="eastAsia" w:ascii="宋体" w:hAnsi="宋体" w:cs="宋体"/>
          <w:color w:val="000000" w:themeColor="text1"/>
          <w:sz w:val="24"/>
          <w:highlight w:val="none"/>
          <w:lang w:val="en-US" w:eastAsia="zh-CN"/>
          <w14:textFill>
            <w14:solidFill>
              <w14:schemeClr w14:val="tx1"/>
            </w14:solidFill>
          </w14:textFill>
        </w:rPr>
        <w:t>概述</w:t>
      </w:r>
      <w:r>
        <w:rPr>
          <w:rFonts w:hint="eastAsia" w:ascii="宋体" w:hAnsi="宋体" w:cs="宋体"/>
          <w:color w:val="000000" w:themeColor="text1"/>
          <w:sz w:val="24"/>
          <w:highlight w:val="none"/>
          <w14:textFill>
            <w14:solidFill>
              <w14:schemeClr w14:val="tx1"/>
            </w14:solidFill>
          </w14:textFill>
        </w:rPr>
        <w:t>及技术需求</w:t>
      </w:r>
    </w:p>
    <w:p>
      <w:pPr>
        <w:numPr>
          <w:ilvl w:val="0"/>
          <w:numId w:val="3"/>
        </w:numPr>
        <w:spacing w:line="360" w:lineRule="auto"/>
        <w:ind w:left="480" w:leftChars="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第五章：合同主要条款；</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（6）第六章：投标文件格式及附件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2.1.2投标人应仔细阅读和检查招标文件的全部内容。如发现缺页或附件不全，应及时向招标人提出，以便补齐。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2.1.3根据本章第 2.2 款和第 2.3 款对招标文件所作的澄清、修改，构成招标文件的组成部分。</w:t>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bookmarkStart w:id="10" w:name="_Toc317694242"/>
      <w:r>
        <w:rPr>
          <w:rFonts w:hint="eastAsia" w:ascii="宋体" w:hAnsi="宋体" w:cs="宋体"/>
          <w:b/>
          <w:bCs/>
          <w:color w:val="000000" w:themeColor="text1"/>
          <w:sz w:val="28"/>
          <w:szCs w:val="28"/>
          <w:highlight w:val="none"/>
          <w14:textFill>
            <w14:solidFill>
              <w14:schemeClr w14:val="tx1"/>
            </w14:solidFill>
          </w14:textFill>
        </w:rPr>
        <w:t>3.投标文件</w:t>
      </w:r>
      <w:bookmarkEnd w:id="10"/>
    </w:p>
    <w:p>
      <w:pPr>
        <w:spacing w:line="360" w:lineRule="auto"/>
        <w:rPr>
          <w:rFonts w:ascii="宋体" w:hAnsi="宋体" w:cs="宋体"/>
          <w:b/>
          <w:bCs/>
          <w:color w:val="000000" w:themeColor="text1"/>
          <w:sz w:val="24"/>
          <w:highlight w:val="none"/>
          <w14:textFill>
            <w14:solidFill>
              <w14:schemeClr w14:val="tx1"/>
            </w14:solidFill>
          </w14:textFill>
        </w:rPr>
      </w:pPr>
      <w:bookmarkStart w:id="11" w:name="_Toc317694243"/>
      <w:r>
        <w:rPr>
          <w:rFonts w:hint="eastAsia" w:ascii="宋体" w:hAnsi="宋体" w:cs="宋体"/>
          <w:b/>
          <w:bCs/>
          <w:color w:val="000000" w:themeColor="text1"/>
          <w:sz w:val="24"/>
          <w:highlight w:val="none"/>
          <w14:textFill>
            <w14:solidFill>
              <w14:schemeClr w14:val="tx1"/>
            </w14:solidFill>
          </w14:textFill>
        </w:rPr>
        <w:t>3.1投标文件的组成</w:t>
      </w:r>
      <w:bookmarkEnd w:id="11"/>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）投标申请及声明</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法定代表人身份证明书或授权委托书</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投标承诺书</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营业执照复印件</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相关资质、业绩</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投标报价、分项报价表</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研发项目主要研发</w:t>
      </w:r>
      <w:r>
        <w:rPr>
          <w:rFonts w:hint="eastAsia" w:ascii="宋体" w:hAnsi="宋体" w:cs="宋体"/>
          <w:color w:val="000000" w:themeColor="text1"/>
          <w:sz w:val="24"/>
          <w:highlight w:val="none"/>
          <w:lang w:val="en-US" w:eastAsia="zh-CN"/>
          <w14:textFill>
            <w14:solidFill>
              <w14:schemeClr w14:val="tx1"/>
            </w14:solidFill>
          </w14:textFill>
        </w:rPr>
        <w:t>内容、技术指标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技术方案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创新点、安装调试方案、研发进度计划等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技术</w:t>
      </w:r>
      <w:r>
        <w:rPr>
          <w:rFonts w:hint="eastAsia" w:ascii="宋体" w:hAnsi="宋体" w:cs="宋体"/>
          <w:color w:val="000000" w:themeColor="text1"/>
          <w:sz w:val="24"/>
          <w:highlight w:val="none"/>
          <w:lang w:val="en-US" w:eastAsia="zh-CN"/>
          <w14:textFill>
            <w14:solidFill>
              <w14:schemeClr w14:val="tx1"/>
            </w14:solidFill>
          </w14:textFill>
        </w:rPr>
        <w:t>及商务</w:t>
      </w:r>
      <w:r>
        <w:rPr>
          <w:rFonts w:hint="eastAsia" w:ascii="宋体" w:hAnsi="宋体" w:cs="宋体"/>
          <w:color w:val="000000" w:themeColor="text1"/>
          <w:sz w:val="24"/>
          <w:highlight w:val="none"/>
          <w14:textFill>
            <w14:solidFill>
              <w14:schemeClr w14:val="tx1"/>
            </w14:solidFill>
          </w14:textFill>
        </w:rPr>
        <w:t>偏离表及说明</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服务承诺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）投标需要的其他证明文件及材料；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）投标人认为需要提供的其他材料。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投标人须知前附表</w:t>
      </w:r>
      <w:r>
        <w:rPr>
          <w:rFonts w:hint="eastAsia" w:ascii="宋体" w:hAnsi="宋体" w:cs="宋体"/>
          <w:color w:val="000000" w:themeColor="text1"/>
          <w:sz w:val="24"/>
          <w:highlight w:val="none"/>
          <w:lang w:val="en-US" w:eastAsia="zh-CN"/>
          <w14:textFill>
            <w14:solidFill>
              <w14:schemeClr w14:val="tx1"/>
            </w14:solidFill>
          </w14:textFill>
        </w:rPr>
        <w:t>若</w:t>
      </w:r>
      <w:r>
        <w:rPr>
          <w:rFonts w:hint="eastAsia" w:ascii="宋体" w:hAnsi="宋体" w:cs="宋体"/>
          <w:color w:val="000000" w:themeColor="text1"/>
          <w:sz w:val="24"/>
          <w:highlight w:val="none"/>
          <w14:textFill>
            <w14:solidFill>
              <w14:schemeClr w14:val="tx1"/>
            </w14:solidFill>
          </w14:textFill>
        </w:rPr>
        <w:t>规定接受联合体投标。如投标人没有组成联合体的，投标文件不包括本章所指的联合体协议书。</w:t>
      </w:r>
    </w:p>
    <w:p>
      <w:pPr>
        <w:spacing w:line="360" w:lineRule="auto"/>
        <w:rPr>
          <w:rFonts w:ascii="宋体" w:hAnsi="宋体" w:cs="宋体"/>
          <w:b/>
          <w:bCs/>
          <w:color w:val="000000" w:themeColor="text1"/>
          <w:sz w:val="24"/>
          <w:highlight w:val="none"/>
          <w14:textFill>
            <w14:solidFill>
              <w14:schemeClr w14:val="tx1"/>
            </w14:solidFill>
          </w14:textFill>
        </w:rPr>
      </w:pPr>
      <w:bookmarkStart w:id="12" w:name="_Toc317694244"/>
      <w:r>
        <w:rPr>
          <w:rFonts w:hint="eastAsia" w:ascii="宋体" w:hAnsi="宋体" w:cs="宋体"/>
          <w:b/>
          <w:bCs/>
          <w:color w:val="000000" w:themeColor="text1"/>
          <w:sz w:val="24"/>
          <w:highlight w:val="none"/>
          <w14:textFill>
            <w14:solidFill>
              <w14:schemeClr w14:val="tx1"/>
            </w14:solidFill>
          </w14:textFill>
        </w:rPr>
        <w:t>3.2投标报价</w:t>
      </w:r>
      <w:bookmarkEnd w:id="12"/>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招标人对每一投标人仅接受一个投标报价。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投标人应严格按照规定的格式填写投标报价表中有关内容。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投标报价时应综合考虑维修服务提供过程中发生的一切费用。</w:t>
      </w:r>
      <w:r>
        <w:rPr>
          <w:rFonts w:hint="eastAsia" w:ascii="宋体" w:hAnsi="宋体" w:cs="宋体"/>
          <w:color w:val="000000" w:themeColor="text1"/>
          <w:sz w:val="24"/>
          <w:szCs w:val="20"/>
          <w:highlight w:val="none"/>
          <w14:textFill>
            <w14:solidFill>
              <w14:schemeClr w14:val="tx1"/>
            </w14:solidFill>
          </w14:textFill>
        </w:rPr>
        <w:t>招标人认为投标人对各种影响报价的现场因素和项目对象情况等已有充分了解，故任何因忽视、误解或服务时间延长等导致的费用追加的申请都将不被接受。</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投标人在投标截止时间前修改投标报价的，须符合本关于投标文件签署、装订的有关要求。</w:t>
      </w:r>
    </w:p>
    <w:p>
      <w:pPr>
        <w:spacing w:line="360" w:lineRule="auto"/>
        <w:rPr>
          <w:rFonts w:ascii="宋体" w:hAnsi="宋体" w:cs="宋体"/>
          <w:b/>
          <w:bCs/>
          <w:color w:val="000000" w:themeColor="text1"/>
          <w:sz w:val="24"/>
          <w:highlight w:val="none"/>
          <w14:textFill>
            <w14:solidFill>
              <w14:schemeClr w14:val="tx1"/>
            </w14:solidFill>
          </w14:textFill>
        </w:rPr>
      </w:pPr>
      <w:bookmarkStart w:id="13" w:name="_Toc317694245"/>
      <w:r>
        <w:rPr>
          <w:rFonts w:hint="eastAsia" w:ascii="宋体" w:hAnsi="宋体" w:cs="宋体"/>
          <w:b/>
          <w:bCs/>
          <w:color w:val="000000" w:themeColor="text1"/>
          <w:sz w:val="24"/>
          <w:highlight w:val="none"/>
          <w14:textFill>
            <w14:solidFill>
              <w14:schemeClr w14:val="tx1"/>
            </w14:solidFill>
          </w14:textFill>
        </w:rPr>
        <w:t>3.3投标有效期</w:t>
      </w:r>
      <w:bookmarkEnd w:id="13"/>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投标有限期应不少于投标人须知前附表规定的时间，否则将被否决投标。在投标人须知前附表规定的投标有效期内，投标人不得要求撤销或修改其投标文件。</w:t>
      </w:r>
    </w:p>
    <w:p>
      <w:pPr>
        <w:spacing w:line="360" w:lineRule="auto"/>
        <w:rPr>
          <w:rFonts w:ascii="宋体" w:hAnsi="宋体" w:cs="宋体"/>
          <w:b/>
          <w:bCs/>
          <w:color w:val="000000" w:themeColor="text1"/>
          <w:sz w:val="24"/>
          <w:highlight w:val="none"/>
          <w14:textFill>
            <w14:solidFill>
              <w14:schemeClr w14:val="tx1"/>
            </w14:solidFill>
          </w14:textFill>
        </w:rPr>
      </w:pPr>
      <w:bookmarkStart w:id="14" w:name="_Toc317694246"/>
      <w:r>
        <w:rPr>
          <w:rFonts w:hint="eastAsia" w:ascii="宋体" w:hAnsi="宋体" w:cs="宋体"/>
          <w:b/>
          <w:bCs/>
          <w:color w:val="000000" w:themeColor="text1"/>
          <w:sz w:val="24"/>
          <w:highlight w:val="none"/>
          <w14:textFill>
            <w14:solidFill>
              <w14:schemeClr w14:val="tx1"/>
            </w14:solidFill>
          </w14:textFill>
        </w:rPr>
        <w:t>3.4投标保证金</w:t>
      </w:r>
      <w:bookmarkEnd w:id="14"/>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投标人在递交投标文件的同时，应按投标人须知前附表规定的金额递交投标保证金，并作为其投标文件的组成部分。</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3.4.2投标保证金必须从投标人的</w:t>
      </w:r>
      <w:r>
        <w:rPr>
          <w:rFonts w:hint="eastAsia" w:ascii="宋体" w:hAnsi="宋体" w:cs="宋体"/>
          <w:b w:val="0"/>
          <w:bCs/>
          <w:color w:val="000000" w:themeColor="text1"/>
          <w:kern w:val="0"/>
          <w:sz w:val="24"/>
          <w:highlight w:val="none"/>
          <w14:textFill>
            <w14:solidFill>
              <w14:schemeClr w14:val="tx1"/>
            </w14:solidFill>
          </w14:textFill>
        </w:rPr>
        <w:t>基本存款账户以电汇（网银转账）形式转出。</w:t>
      </w:r>
      <w:r>
        <w:rPr>
          <w:rFonts w:hint="eastAsia" w:ascii="宋体" w:hAnsi="宋体" w:cs="宋体"/>
          <w:color w:val="000000" w:themeColor="text1"/>
          <w:kern w:val="0"/>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投标保证金的有效期应当与投标有效期一致。</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投标人不按要求提交投标保证金的，其投标文件作否决投标处理。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3.4.5  有下列情形之一的，投标保证金将不予退还：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（1）投标人在规定的投标有效期内撤销或修改其投标文件；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（2）中标人在收到中标通知书后，无正当理由拒签合同协议书；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（3）法律法规规定的其他情况。</w:t>
      </w:r>
    </w:p>
    <w:p>
      <w:pPr>
        <w:spacing w:line="360" w:lineRule="auto"/>
        <w:rPr>
          <w:rFonts w:ascii="宋体" w:hAnsi="宋体" w:cs="宋体"/>
          <w:b/>
          <w:bCs/>
          <w:color w:val="000000" w:themeColor="text1"/>
          <w:sz w:val="24"/>
          <w:highlight w:val="none"/>
          <w14:textFill>
            <w14:solidFill>
              <w14:schemeClr w14:val="tx1"/>
            </w14:solidFill>
          </w14:textFill>
        </w:rPr>
      </w:pPr>
      <w:bookmarkStart w:id="15" w:name="_Toc317694247"/>
      <w:r>
        <w:rPr>
          <w:rFonts w:hint="eastAsia" w:ascii="宋体" w:hAnsi="宋体" w:cs="宋体"/>
          <w:b/>
          <w:bCs/>
          <w:color w:val="000000" w:themeColor="text1"/>
          <w:sz w:val="24"/>
          <w:highlight w:val="none"/>
          <w14:textFill>
            <w14:solidFill>
              <w14:schemeClr w14:val="tx1"/>
            </w14:solidFill>
          </w14:textFill>
        </w:rPr>
        <w:t>3.5资格审查资料</w:t>
      </w:r>
      <w:bookmarkEnd w:id="15"/>
    </w:p>
    <w:p>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投标人须知前附表中“投标人资格”证明文件包括投标人营业执照副本等材料的复印件。（具体要求详见投标人须知前附表）</w:t>
      </w:r>
    </w:p>
    <w:p>
      <w:pPr>
        <w:spacing w:line="360" w:lineRule="auto"/>
        <w:rPr>
          <w:rFonts w:ascii="宋体" w:hAnsi="宋体" w:cs="宋体"/>
          <w:b/>
          <w:bCs/>
          <w:color w:val="000000" w:themeColor="text1"/>
          <w:sz w:val="24"/>
          <w:highlight w:val="none"/>
          <w14:textFill>
            <w14:solidFill>
              <w14:schemeClr w14:val="tx1"/>
            </w14:solidFill>
          </w14:textFill>
        </w:rPr>
      </w:pPr>
      <w:bookmarkStart w:id="16" w:name="_Toc317694249"/>
      <w:r>
        <w:rPr>
          <w:rFonts w:hint="eastAsia" w:ascii="宋体" w:hAnsi="宋体" w:cs="宋体"/>
          <w:b/>
          <w:bCs/>
          <w:color w:val="000000" w:themeColor="text1"/>
          <w:sz w:val="24"/>
          <w:highlight w:val="none"/>
          <w14:textFill>
            <w14:solidFill>
              <w14:schemeClr w14:val="tx1"/>
            </w14:solidFill>
          </w14:textFill>
        </w:rPr>
        <w:t>3.6投标文件的编制</w:t>
      </w:r>
      <w:bookmarkEnd w:id="1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投标文件应按“投标文件格式”进行编写，如有必要，可以增加附页，作为投标文件的组成部分。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投标文件应当对招标文件有关履约期、投标有效期、质量要求、技术标准和要求、招标范围等实质性内容作出响应。</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 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3.6.4 投标文件的编制目录，具体要求见投标人须知前附表规定。</w:t>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bookmarkStart w:id="17" w:name="_Toc317694250"/>
      <w:r>
        <w:rPr>
          <w:rFonts w:hint="eastAsia" w:ascii="宋体" w:hAnsi="宋体" w:cs="宋体"/>
          <w:b/>
          <w:bCs/>
          <w:color w:val="000000" w:themeColor="text1"/>
          <w:sz w:val="28"/>
          <w:szCs w:val="28"/>
          <w:highlight w:val="none"/>
          <w14:textFill>
            <w14:solidFill>
              <w14:schemeClr w14:val="tx1"/>
            </w14:solidFill>
          </w14:textFill>
        </w:rPr>
        <w:t>4.投标</w:t>
      </w:r>
      <w:bookmarkEnd w:id="17"/>
    </w:p>
    <w:p>
      <w:pPr>
        <w:spacing w:line="360" w:lineRule="auto"/>
        <w:rPr>
          <w:rFonts w:hint="eastAsia" w:ascii="宋体" w:hAnsi="宋体" w:eastAsia="宋体" w:cs="宋体"/>
          <w:b/>
          <w:bCs/>
          <w:color w:val="000000" w:themeColor="text1"/>
          <w:sz w:val="24"/>
          <w:highlight w:val="none"/>
          <w:lang w:eastAsia="zh-CN"/>
          <w14:textFill>
            <w14:solidFill>
              <w14:schemeClr w14:val="tx1"/>
            </w14:solidFill>
          </w14:textFill>
        </w:rPr>
      </w:pPr>
      <w:bookmarkStart w:id="18" w:name="_Toc317694251"/>
      <w:r>
        <w:rPr>
          <w:rFonts w:hint="eastAsia" w:ascii="宋体" w:hAnsi="宋体" w:cs="宋体"/>
          <w:b/>
          <w:bCs/>
          <w:color w:val="000000" w:themeColor="text1"/>
          <w:sz w:val="24"/>
          <w:highlight w:val="none"/>
          <w14:textFill>
            <w14:solidFill>
              <w14:schemeClr w14:val="tx1"/>
            </w14:solidFill>
          </w14:textFill>
        </w:rPr>
        <w:t>4.1投标文件的</w:t>
      </w:r>
      <w:bookmarkEnd w:id="18"/>
      <w:r>
        <w:rPr>
          <w:rFonts w:hint="eastAsia" w:ascii="宋体" w:hAnsi="宋体" w:cs="宋体"/>
          <w:b/>
          <w:bCs/>
          <w:color w:val="000000" w:themeColor="text1"/>
          <w:sz w:val="24"/>
          <w:highlight w:val="none"/>
          <w:lang w:val="en-US" w:eastAsia="zh-CN"/>
          <w14:textFill>
            <w14:solidFill>
              <w14:schemeClr w14:val="tx1"/>
            </w14:solidFill>
          </w14:textFill>
        </w:rPr>
        <w:t>原件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投标</w:t>
      </w:r>
      <w:r>
        <w:rPr>
          <w:rFonts w:hint="eastAsia" w:ascii="宋体" w:hAnsi="宋体" w:cs="宋体"/>
          <w:color w:val="000000" w:themeColor="text1"/>
          <w:sz w:val="24"/>
          <w:highlight w:val="none"/>
          <w:lang w:val="en-US" w:eastAsia="zh-CN"/>
          <w14:textFill>
            <w14:solidFill>
              <w14:schemeClr w14:val="tx1"/>
            </w14:solidFill>
          </w14:textFill>
        </w:rPr>
        <w:t>人应保留相关文件及证明原件，以备</w:t>
      </w:r>
      <w:r>
        <w:rPr>
          <w:rFonts w:hint="eastAsia" w:ascii="宋体" w:hAnsi="宋体" w:cs="宋体"/>
          <w:color w:val="000000" w:themeColor="text1"/>
          <w:sz w:val="24"/>
          <w:highlight w:val="none"/>
          <w14:textFill>
            <w14:solidFill>
              <w14:schemeClr w14:val="tx1"/>
            </w14:solidFill>
          </w14:textFill>
        </w:rPr>
        <w:t>招标人</w:t>
      </w:r>
      <w:r>
        <w:rPr>
          <w:rFonts w:hint="eastAsia" w:ascii="宋体" w:hAnsi="宋体" w:cs="宋体"/>
          <w:color w:val="000000" w:themeColor="text1"/>
          <w:sz w:val="24"/>
          <w:highlight w:val="none"/>
          <w:lang w:val="en-US" w:eastAsia="zh-CN"/>
          <w14:textFill>
            <w14:solidFill>
              <w14:schemeClr w14:val="tx1"/>
            </w14:solidFill>
          </w14:textFill>
        </w:rPr>
        <w:t>核查</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b/>
          <w:bCs/>
          <w:color w:val="000000" w:themeColor="text1"/>
          <w:sz w:val="24"/>
          <w:highlight w:val="none"/>
          <w14:textFill>
            <w14:solidFill>
              <w14:schemeClr w14:val="tx1"/>
            </w14:solidFill>
          </w14:textFill>
        </w:rPr>
      </w:pPr>
      <w:bookmarkStart w:id="19" w:name="_Toc317694252"/>
      <w:r>
        <w:rPr>
          <w:rFonts w:hint="eastAsia" w:ascii="宋体" w:hAnsi="宋体" w:cs="宋体"/>
          <w:b/>
          <w:bCs/>
          <w:color w:val="000000" w:themeColor="text1"/>
          <w:sz w:val="24"/>
          <w:highlight w:val="none"/>
          <w14:textFill>
            <w14:solidFill>
              <w14:schemeClr w14:val="tx1"/>
            </w14:solidFill>
          </w14:textFill>
        </w:rPr>
        <w:t>4.2投标文件的递交</w:t>
      </w:r>
      <w:bookmarkEnd w:id="1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 投标人应在投标人须知前附表规定的投标截止时间前递交投标文件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金隅冀东阳光采购平台上传标书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 投标人递交投标文件的地点：见投标人须知前附表。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 除投标人须知前附表另有规定外，投标人所递交的投标文件不予退还。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 逾期送达的或者未送达指定地点的投标文件，招标人不予受理。</w:t>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bookmarkStart w:id="20" w:name="_Toc317694254"/>
      <w:r>
        <w:rPr>
          <w:rFonts w:hint="eastAsia" w:ascii="宋体" w:hAnsi="宋体" w:cs="宋体"/>
          <w:b/>
          <w:bCs/>
          <w:color w:val="000000" w:themeColor="text1"/>
          <w:sz w:val="28"/>
          <w:szCs w:val="28"/>
          <w:highlight w:val="none"/>
          <w14:textFill>
            <w14:solidFill>
              <w14:schemeClr w14:val="tx1"/>
            </w14:solidFill>
          </w14:textFill>
        </w:rPr>
        <w:t>5.开标</w:t>
      </w:r>
      <w:bookmarkEnd w:id="20"/>
    </w:p>
    <w:p>
      <w:pPr>
        <w:spacing w:line="360" w:lineRule="auto"/>
        <w:rPr>
          <w:rFonts w:ascii="宋体" w:hAnsi="宋体" w:cs="宋体"/>
          <w:b/>
          <w:bCs/>
          <w:color w:val="000000" w:themeColor="text1"/>
          <w:sz w:val="24"/>
          <w:highlight w:val="none"/>
          <w14:textFill>
            <w14:solidFill>
              <w14:schemeClr w14:val="tx1"/>
            </w14:solidFill>
          </w14:textFill>
        </w:rPr>
      </w:pPr>
      <w:bookmarkStart w:id="21" w:name="_Toc317694255"/>
      <w:r>
        <w:rPr>
          <w:rFonts w:hint="eastAsia" w:ascii="宋体" w:hAnsi="宋体" w:cs="宋体"/>
          <w:b/>
          <w:bCs/>
          <w:color w:val="000000" w:themeColor="text1"/>
          <w:sz w:val="24"/>
          <w:highlight w:val="none"/>
          <w14:textFill>
            <w14:solidFill>
              <w14:schemeClr w14:val="tx1"/>
            </w14:solidFill>
          </w14:textFill>
        </w:rPr>
        <w:t>5.1开标时间和地点</w:t>
      </w:r>
      <w:bookmarkEnd w:id="21"/>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5.1.1 </w:t>
      </w:r>
      <w:r>
        <w:rPr>
          <w:rFonts w:hint="eastAsia" w:ascii="宋体" w:hAnsi="宋体" w:cs="宋体"/>
          <w:color w:val="000000" w:themeColor="text1"/>
          <w:sz w:val="24"/>
          <w:highlight w:val="none"/>
          <w:lang w:val="en-US" w:eastAsia="zh-CN"/>
          <w14:textFill>
            <w14:solidFill>
              <w14:schemeClr w14:val="tx1"/>
            </w14:solidFill>
          </w14:textFill>
        </w:rPr>
        <w:t>金隅冀东阳光采购平台开标、评标</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2" w:name="_Toc317694257"/>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6.评标</w:t>
      </w:r>
      <w:bookmarkEnd w:id="22"/>
    </w:p>
    <w:p>
      <w:pPr>
        <w:spacing w:line="360" w:lineRule="auto"/>
        <w:rPr>
          <w:rFonts w:ascii="宋体" w:hAnsi="宋体" w:cs="宋体"/>
          <w:b/>
          <w:bCs/>
          <w:color w:val="000000" w:themeColor="text1"/>
          <w:sz w:val="24"/>
          <w:highlight w:val="none"/>
          <w14:textFill>
            <w14:solidFill>
              <w14:schemeClr w14:val="tx1"/>
            </w14:solidFill>
          </w14:textFill>
        </w:rPr>
      </w:pPr>
      <w:bookmarkStart w:id="23" w:name="_Toc317694258"/>
      <w:r>
        <w:rPr>
          <w:rFonts w:hint="eastAsia" w:ascii="宋体" w:hAnsi="宋体" w:cs="宋体"/>
          <w:b/>
          <w:bCs/>
          <w:color w:val="000000" w:themeColor="text1"/>
          <w:sz w:val="24"/>
          <w:highlight w:val="none"/>
          <w14:textFill>
            <w14:solidFill>
              <w14:schemeClr w14:val="tx1"/>
            </w14:solidFill>
          </w14:textFill>
        </w:rPr>
        <w:t>6.1评标委员会</w:t>
      </w:r>
      <w:bookmarkEnd w:id="23"/>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评标由招标人按照《中华人民共和国招标投标法》的规定及投标人须知前附表规定依法组建的评标委员会负责。评标委员会独立工作，负责审议所有投标文件，确定中标候选人的排名顺序。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 与投标人有利害关系的人不得进入本项目的评标委员会。评标委员会成员的名单在中标结果确定前应当保密。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 评标委员会成员有下列情形之一的，应当回避：</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（1）招标人或投标人的主要负责人的近亲属；</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（2）项目主管部门或者行政监督部门的人员；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（3）与投标人有经济利益关系，可能影响对投标公正评审的；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（4）曾因在招标、评标以及其他与招标投标有关活动中从事违法行为而受过行政处罚或刑事处罚的。</w:t>
      </w:r>
    </w:p>
    <w:p>
      <w:pPr>
        <w:spacing w:line="360" w:lineRule="auto"/>
        <w:rPr>
          <w:rFonts w:ascii="宋体" w:hAnsi="宋体" w:cs="宋体"/>
          <w:b/>
          <w:bCs/>
          <w:color w:val="000000" w:themeColor="text1"/>
          <w:sz w:val="24"/>
          <w:highlight w:val="none"/>
          <w14:textFill>
            <w14:solidFill>
              <w14:schemeClr w14:val="tx1"/>
            </w14:solidFill>
          </w14:textFill>
        </w:rPr>
      </w:pPr>
      <w:bookmarkStart w:id="24" w:name="_Toc317694259"/>
      <w:r>
        <w:rPr>
          <w:rFonts w:hint="eastAsia" w:ascii="宋体" w:hAnsi="宋体" w:cs="宋体"/>
          <w:b/>
          <w:bCs/>
          <w:color w:val="000000" w:themeColor="text1"/>
          <w:sz w:val="24"/>
          <w:highlight w:val="none"/>
          <w14:textFill>
            <w14:solidFill>
              <w14:schemeClr w14:val="tx1"/>
            </w14:solidFill>
          </w14:textFill>
        </w:rPr>
        <w:t>6.2评标原则</w:t>
      </w:r>
      <w:bookmarkEnd w:id="2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6.2.1 评标活动遵循公平、公正、科学和能够最大限度地满足招标文件中规定的各项要求的原则。</w:t>
      </w:r>
    </w:p>
    <w:p>
      <w:pPr>
        <w:spacing w:line="360" w:lineRule="auto"/>
        <w:rPr>
          <w:rFonts w:ascii="宋体" w:hAnsi="宋体" w:cs="宋体"/>
          <w:b/>
          <w:bCs/>
          <w:color w:val="000000" w:themeColor="text1"/>
          <w:sz w:val="24"/>
          <w:highlight w:val="none"/>
          <w14:textFill>
            <w14:solidFill>
              <w14:schemeClr w14:val="tx1"/>
            </w14:solidFill>
          </w14:textFill>
        </w:rPr>
      </w:pPr>
      <w:bookmarkStart w:id="25" w:name="_Toc317694261"/>
      <w:r>
        <w:rPr>
          <w:rFonts w:hint="eastAsia" w:ascii="宋体" w:hAnsi="宋体" w:cs="宋体"/>
          <w:b/>
          <w:bCs/>
          <w:color w:val="000000" w:themeColor="text1"/>
          <w:sz w:val="24"/>
          <w:highlight w:val="none"/>
          <w14:textFill>
            <w14:solidFill>
              <w14:schemeClr w14:val="tx1"/>
            </w14:solidFill>
          </w14:textFill>
        </w:rPr>
        <w:t>6.3评标及定标</w:t>
      </w:r>
      <w:bookmarkEnd w:id="25"/>
      <w:r>
        <w:rPr>
          <w:rFonts w:hint="eastAsia" w:ascii="宋体" w:hAnsi="宋体" w:cs="宋体"/>
          <w:b/>
          <w:bCs/>
          <w:color w:val="000000" w:themeColor="text1"/>
          <w:sz w:val="24"/>
          <w:highlight w:val="none"/>
          <w14:textFill>
            <w14:solidFill>
              <w14:schemeClr w14:val="tx1"/>
            </w14:solidFill>
          </w14:textFill>
        </w:rPr>
        <w:t>方法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6.3.1 采用综合评估法进行评标的，评标委员会按本招标文件附件一规定的评分细则进行评分。在完成评分后，评标委员会向招标人提出书面评标报告，对各投标人按得分高低次序排出名次，并按投标人须知前附表规定人数确定中标候选人。</w:t>
      </w:r>
      <w:r>
        <w:rPr>
          <w:rFonts w:hint="eastAsia" w:ascii="宋体" w:hAnsi="宋体" w:cs="宋体"/>
          <w:color w:val="000000" w:themeColor="text1"/>
          <w:kern w:val="0"/>
          <w:sz w:val="24"/>
          <w:szCs w:val="20"/>
          <w:highlight w:val="none"/>
          <w14:textFill>
            <w14:solidFill>
              <w14:schemeClr w14:val="tx1"/>
            </w14:solidFill>
          </w14:textFill>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6.3.2 采用经评审的最低投标价法的，须选择采用经评审的最低投标价法的投标人为中标候选人。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6.3.3 采用其他方式评标的，按本招标文件规定方法确定中标候选人。</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6.3.4 如投标人总得分相同或经评审的报价相同时，由招标人根据法律法规规定自主确定中标人。</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highlight w:val="none"/>
        </w:rPr>
      </w:pPr>
      <w:r>
        <w:rPr>
          <w:rFonts w:hint="eastAsia" w:ascii="宋体" w:hAnsi="宋体" w:cs="宋体"/>
          <w:color w:val="000000" w:themeColor="text1"/>
          <w:sz w:val="24"/>
          <w14:textFill>
            <w14:solidFill>
              <w14:schemeClr w14:val="tx1"/>
            </w14:solidFill>
          </w14:textFill>
        </w:rPr>
        <w:t>6.3.</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sz w:val="24"/>
        </w:rPr>
        <w:t>采取综合评分的办法，</w:t>
      </w:r>
      <w:r>
        <w:rPr>
          <w:rFonts w:hint="eastAsia" w:ascii="宋体" w:hAnsi="宋体" w:cs="宋体"/>
          <w:sz w:val="24"/>
          <w:lang w:val="en-US" w:eastAsia="zh-CN"/>
        </w:rPr>
        <w:t>具体分值构成见第三章</w:t>
      </w:r>
      <w:r>
        <w:rPr>
          <w:rFonts w:hint="eastAsia" w:ascii="宋体" w:hAnsi="宋体" w:cs="宋体"/>
          <w:sz w:val="24"/>
        </w:rPr>
        <w:t xml:space="preserve"> </w:t>
      </w:r>
      <w:r>
        <w:rPr>
          <w:rFonts w:hint="eastAsia" w:ascii="宋体" w:hAnsi="宋体" w:cs="宋体"/>
          <w:sz w:val="24"/>
          <w:lang w:val="en-US" w:eastAsia="zh-CN"/>
        </w:rPr>
        <w:t>内容。</w:t>
      </w:r>
    </w:p>
    <w:p>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000000" w:themeColor="text1"/>
          <w:sz w:val="24"/>
          <w:highlight w:val="none"/>
          <w14:textFill>
            <w14:solidFill>
              <w14:schemeClr w14:val="tx1"/>
            </w14:solidFill>
          </w14:textFill>
        </w:rPr>
      </w:pPr>
      <w:bookmarkStart w:id="26" w:name="_Toc317694263"/>
      <w:r>
        <w:rPr>
          <w:rFonts w:hint="eastAsia" w:ascii="宋体" w:hAnsi="宋体" w:cs="宋体"/>
          <w:b/>
          <w:bCs/>
          <w:color w:val="000000" w:themeColor="text1"/>
          <w:sz w:val="24"/>
          <w:highlight w:val="none"/>
          <w14:textFill>
            <w14:solidFill>
              <w14:schemeClr w14:val="tx1"/>
            </w14:solidFill>
          </w14:textFill>
        </w:rPr>
        <w:t>6.4否决投标的判定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 在评标过程中，评标委员会若发现投标人以他人的名义投标、串通投标、以行贿手段谋取中标或者以其他弄虚作假方式投标的，该投标人的投标文件作否决投标处理。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投标人资格条件不符合国家有关规定和招标文件要求的，或者拒不按照要求对投标文件进行澄清、说明或者补正的，评标委员会可以否决其投标。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6.4.3 评标委员会将审查每一投标文件是否对招标文件提出的所有实质性要求和条件做出响应。未能在实质上响应的投标，作否决投标处理。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6.4.4投标文件有下列情况之一的，评标委员会应当否决其投标：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（3）如有授权，未提供合法、有效的授权委托书原件；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（4）未按招标文件规定的格式、内容和要求编制，关键内容字迹潦草、模糊，无法辨认；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（5）未按照招标文件要求的方式、金额提交投标保证金；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（6）投标人在一份投标文件中，对同一招标项目有两个或多个报价，且未书面声明以哪个报价为准；</w:t>
      </w:r>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6.4.5否决投标的判定，必须经评标委员会半数以上成员通过。</w:t>
      </w:r>
    </w:p>
    <w:bookmarkEnd w:id="26"/>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 xml:space="preserve"> 价格计算错误的确定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6.6.1评标过程中，对价格计算错误按下述原则修正：</w:t>
      </w:r>
    </w:p>
    <w:p>
      <w:pPr>
        <w:numPr>
          <w:ilvl w:val="0"/>
          <w:numId w:val="4"/>
        </w:num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如果以文字大写表示的数据与数字表示的数据有差别，</w:t>
      </w:r>
      <w:r>
        <w:rPr>
          <w:rFonts w:hint="eastAsia" w:ascii="宋体" w:hAnsi="宋体" w:cs="宋体"/>
          <w:color w:val="000000" w:themeColor="text1"/>
          <w:sz w:val="24"/>
          <w:highlight w:val="none"/>
          <w:lang w:val="en-US" w:eastAsia="zh-CN"/>
          <w14:textFill>
            <w14:solidFill>
              <w14:schemeClr w14:val="tx1"/>
            </w14:solidFill>
          </w14:textFill>
        </w:rPr>
        <w:t>以最低报价为准。</w:t>
      </w:r>
    </w:p>
    <w:p>
      <w:pPr>
        <w:numPr>
          <w:ilvl w:val="0"/>
          <w:numId w:val="4"/>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对不同文字文本投标文件的解释发生异议的，以中文文本为准。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若投标人不同意以上修正，投标文件将被拒绝。</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 xml:space="preserve"> 评标过程保密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6.7.1 在宣布中标之前，凡属于审查、澄清、评价、比较投标文件和中标意向等有关信息，均不得泄露给任何投标人或与评标工作无关的人员。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6.7.2 投标人不得探听6.7.1条所述信息，不得以任何方式影响评标过程。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6.7.3 在评标期间，招标人将指定联络员与投标人进行联络。</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 xml:space="preserve"> 中标无效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6.8.1 投标人相互串通投标或者与招标人串通投标的，投标人以向招标人或者评标委员会成员行贿的手段谋取中标的，中标无效。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6.8.2 投标人以他人名义投标或者以其他方式弄虚作假，骗取中标的，中标无效，给招标人造成损失的，依法承担赔偿责任。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6.8.3 在投标文件的审查、澄清、评价和比较以及合同订立过程中，投标人对招标人和评标委员会施加影响的任何行为，都将导致取消其中标资格。</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w:t>
      </w: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 xml:space="preserve"> 否决所有投标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6.9.1 评标委员会根据规定否决不合格投标后，因有效投标不足三个使得投标明显缺乏竞争的，评标委员会可以否决全部投标。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6.9.2 招标人保留在授标之前接受任何投标，及拒绝任何或所有投标的权利，而没有向投标人解释原因的义务。</w:t>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bookmarkStart w:id="27" w:name="_Toc317694264"/>
      <w:r>
        <w:rPr>
          <w:rFonts w:hint="eastAsia" w:ascii="宋体" w:hAnsi="宋体" w:cs="宋体"/>
          <w:b/>
          <w:bCs/>
          <w:color w:val="000000" w:themeColor="text1"/>
          <w:sz w:val="28"/>
          <w:szCs w:val="28"/>
          <w:highlight w:val="none"/>
          <w14:textFill>
            <w14:solidFill>
              <w14:schemeClr w14:val="tx1"/>
            </w14:solidFill>
          </w14:textFill>
        </w:rPr>
        <w:t>7.合同授予</w:t>
      </w:r>
      <w:bookmarkEnd w:id="27"/>
    </w:p>
    <w:p>
      <w:pPr>
        <w:spacing w:line="360" w:lineRule="auto"/>
        <w:rPr>
          <w:rFonts w:ascii="宋体" w:hAnsi="宋体" w:cs="宋体"/>
          <w:b/>
          <w:bCs/>
          <w:color w:val="000000" w:themeColor="text1"/>
          <w:sz w:val="24"/>
          <w:highlight w:val="none"/>
          <w14:textFill>
            <w14:solidFill>
              <w14:schemeClr w14:val="tx1"/>
            </w14:solidFill>
          </w14:textFill>
        </w:rPr>
      </w:pPr>
      <w:bookmarkStart w:id="28" w:name="_Toc317694266"/>
      <w:r>
        <w:rPr>
          <w:rFonts w:hint="eastAsia" w:ascii="宋体" w:hAnsi="宋体" w:cs="宋体"/>
          <w:b/>
          <w:bCs/>
          <w:color w:val="000000" w:themeColor="text1"/>
          <w:sz w:val="24"/>
          <w:highlight w:val="none"/>
          <w14:textFill>
            <w14:solidFill>
              <w14:schemeClr w14:val="tx1"/>
            </w14:solidFill>
          </w14:textFill>
        </w:rPr>
        <w:t>7.1中标通知</w:t>
      </w:r>
      <w:bookmarkEnd w:id="28"/>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7.1.1 招标人确定中标人后，以书面形式向中标人发出中标通知书，同时将中标结果通知未中标的投标人。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7.1.2 中标通知书是合同的组成部分，对招标人和中标人有法律约束力。</w:t>
      </w:r>
    </w:p>
    <w:p>
      <w:pPr>
        <w:spacing w:line="360" w:lineRule="auto"/>
        <w:rPr>
          <w:rFonts w:ascii="宋体" w:hAnsi="宋体" w:cs="宋体"/>
          <w:b/>
          <w:bCs/>
          <w:color w:val="000000" w:themeColor="text1"/>
          <w:sz w:val="24"/>
          <w:highlight w:val="none"/>
          <w14:textFill>
            <w14:solidFill>
              <w14:schemeClr w14:val="tx1"/>
            </w14:solidFill>
          </w14:textFill>
        </w:rPr>
      </w:pPr>
      <w:bookmarkStart w:id="29" w:name="_Toc317694268"/>
      <w:r>
        <w:rPr>
          <w:rFonts w:hint="eastAsia" w:ascii="宋体" w:hAnsi="宋体" w:cs="宋体"/>
          <w:b/>
          <w:bCs/>
          <w:color w:val="000000" w:themeColor="text1"/>
          <w:sz w:val="24"/>
          <w:highlight w:val="none"/>
          <w14:textFill>
            <w14:solidFill>
              <w14:schemeClr w14:val="tx1"/>
            </w14:solidFill>
          </w14:textFill>
        </w:rPr>
        <w:t>7.</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签订合同</w:t>
      </w:r>
      <w:bookmarkEnd w:id="2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 发出中标通知书后，招标人无正当理由拒签合同的，招标人向中标人退还投标保证金；给中标人造成损失的，还应当赔偿损失。</w:t>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bookmarkStart w:id="30" w:name="_Toc317694269"/>
      <w:r>
        <w:rPr>
          <w:rFonts w:hint="eastAsia" w:ascii="宋体" w:hAnsi="宋体" w:cs="宋体"/>
          <w:b/>
          <w:bCs/>
          <w:color w:val="000000" w:themeColor="text1"/>
          <w:sz w:val="28"/>
          <w:szCs w:val="28"/>
          <w:highlight w:val="none"/>
          <w14:textFill>
            <w14:solidFill>
              <w14:schemeClr w14:val="tx1"/>
            </w14:solidFill>
          </w14:textFill>
        </w:rPr>
        <w:t>8.重新招标和不再招标</w:t>
      </w:r>
      <w:bookmarkEnd w:id="30"/>
    </w:p>
    <w:p>
      <w:pPr>
        <w:spacing w:line="360" w:lineRule="auto"/>
        <w:rPr>
          <w:rFonts w:ascii="宋体" w:hAnsi="宋体" w:cs="宋体"/>
          <w:b/>
          <w:bCs/>
          <w:color w:val="000000" w:themeColor="text1"/>
          <w:sz w:val="24"/>
          <w:highlight w:val="none"/>
          <w14:textFill>
            <w14:solidFill>
              <w14:schemeClr w14:val="tx1"/>
            </w14:solidFill>
          </w14:textFill>
        </w:rPr>
      </w:pPr>
      <w:bookmarkStart w:id="31" w:name="_Toc317694270"/>
      <w:r>
        <w:rPr>
          <w:rFonts w:hint="eastAsia" w:ascii="宋体" w:hAnsi="宋体" w:cs="宋体"/>
          <w:b/>
          <w:bCs/>
          <w:color w:val="000000" w:themeColor="text1"/>
          <w:sz w:val="24"/>
          <w:highlight w:val="none"/>
          <w14:textFill>
            <w14:solidFill>
              <w14:schemeClr w14:val="tx1"/>
            </w14:solidFill>
          </w14:textFill>
        </w:rPr>
        <w:t>8.1重新招标</w:t>
      </w:r>
      <w:bookmarkEnd w:id="31"/>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 有下列情形之一的，招标人将重新招标：</w:t>
      </w:r>
    </w:p>
    <w:p>
      <w:pPr>
        <w:numPr>
          <w:ilvl w:val="0"/>
          <w:numId w:val="5"/>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投标截止时间止，投标人少于</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个的；</w:t>
      </w:r>
    </w:p>
    <w:p>
      <w:pPr>
        <w:numPr>
          <w:ilvl w:val="0"/>
          <w:numId w:val="5"/>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经评标委员会评审后否决所有投标的；</w:t>
      </w:r>
    </w:p>
    <w:p>
      <w:pPr>
        <w:numPr>
          <w:ilvl w:val="0"/>
          <w:numId w:val="5"/>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其他招标人认为应当重新招标的情形。</w:t>
      </w:r>
    </w:p>
    <w:p>
      <w:pPr>
        <w:spacing w:line="360" w:lineRule="auto"/>
        <w:rPr>
          <w:rFonts w:ascii="宋体" w:hAnsi="宋体" w:cs="宋体"/>
          <w:b/>
          <w:bCs/>
          <w:color w:val="000000" w:themeColor="text1"/>
          <w:sz w:val="24"/>
          <w:highlight w:val="none"/>
          <w14:textFill>
            <w14:solidFill>
              <w14:schemeClr w14:val="tx1"/>
            </w14:solidFill>
          </w14:textFill>
        </w:rPr>
      </w:pPr>
      <w:bookmarkStart w:id="32" w:name="_Toc317694271"/>
      <w:r>
        <w:rPr>
          <w:rFonts w:hint="eastAsia" w:ascii="宋体" w:hAnsi="宋体" w:cs="宋体"/>
          <w:b/>
          <w:bCs/>
          <w:color w:val="000000" w:themeColor="text1"/>
          <w:sz w:val="24"/>
          <w:highlight w:val="none"/>
          <w14:textFill>
            <w14:solidFill>
              <w14:schemeClr w14:val="tx1"/>
            </w14:solidFill>
          </w14:textFill>
        </w:rPr>
        <w:t>8.2不再招标</w:t>
      </w:r>
      <w:bookmarkEnd w:id="3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 招标人有权依照法律规定，对于重新招标后仍无法选定中标人的项目不再进行招标，依法不符合不再招标情形的除外。</w:t>
      </w:r>
    </w:p>
    <w:p>
      <w:pPr>
        <w:keepNext/>
        <w:keepLines/>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bookmarkStart w:id="33" w:name="_Toc317694272"/>
      <w:r>
        <w:rPr>
          <w:rFonts w:hint="eastAsia" w:ascii="宋体" w:hAnsi="宋体" w:cs="宋体"/>
          <w:b/>
          <w:bCs/>
          <w:color w:val="000000" w:themeColor="text1"/>
          <w:sz w:val="28"/>
          <w:szCs w:val="28"/>
          <w:highlight w:val="none"/>
          <w14:textFill>
            <w14:solidFill>
              <w14:schemeClr w14:val="tx1"/>
            </w14:solidFill>
          </w14:textFill>
        </w:rPr>
        <w:t>9.纪律和监督</w:t>
      </w:r>
      <w:bookmarkEnd w:id="33"/>
    </w:p>
    <w:p>
      <w:pPr>
        <w:spacing w:line="360" w:lineRule="auto"/>
        <w:rPr>
          <w:rFonts w:ascii="宋体" w:hAnsi="宋体" w:cs="宋体"/>
          <w:b/>
          <w:bCs/>
          <w:color w:val="000000" w:themeColor="text1"/>
          <w:sz w:val="24"/>
          <w:highlight w:val="none"/>
          <w14:textFill>
            <w14:solidFill>
              <w14:schemeClr w14:val="tx1"/>
            </w14:solidFill>
          </w14:textFill>
        </w:rPr>
      </w:pPr>
      <w:bookmarkStart w:id="34" w:name="_Toc317694273"/>
      <w:r>
        <w:rPr>
          <w:rFonts w:hint="eastAsia" w:ascii="宋体" w:hAnsi="宋体" w:cs="宋体"/>
          <w:b/>
          <w:bCs/>
          <w:color w:val="000000" w:themeColor="text1"/>
          <w:sz w:val="24"/>
          <w:highlight w:val="none"/>
          <w14:textFill>
            <w14:solidFill>
              <w14:schemeClr w14:val="tx1"/>
            </w14:solidFill>
          </w14:textFill>
        </w:rPr>
        <w:t>9.1对招标人的纪律要求</w:t>
      </w:r>
      <w:bookmarkEnd w:id="3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招标人不得泄漏招标投标活动中应当保密的情况和资料，不得与投标人串通损害国家利益、社会公共利益或者他人合法权益。</w:t>
      </w:r>
    </w:p>
    <w:p>
      <w:pPr>
        <w:spacing w:line="360" w:lineRule="auto"/>
        <w:rPr>
          <w:rFonts w:ascii="宋体" w:hAnsi="宋体" w:cs="宋体"/>
          <w:b/>
          <w:bCs/>
          <w:color w:val="000000" w:themeColor="text1"/>
          <w:sz w:val="24"/>
          <w:highlight w:val="none"/>
          <w14:textFill>
            <w14:solidFill>
              <w14:schemeClr w14:val="tx1"/>
            </w14:solidFill>
          </w14:textFill>
        </w:rPr>
      </w:pPr>
      <w:bookmarkStart w:id="35" w:name="_Toc317694274"/>
      <w:r>
        <w:rPr>
          <w:rFonts w:hint="eastAsia" w:ascii="宋体" w:hAnsi="宋体" w:cs="宋体"/>
          <w:b/>
          <w:bCs/>
          <w:color w:val="000000" w:themeColor="text1"/>
          <w:sz w:val="24"/>
          <w:highlight w:val="none"/>
          <w14:textFill>
            <w14:solidFill>
              <w14:schemeClr w14:val="tx1"/>
            </w14:solidFill>
          </w14:textFill>
        </w:rPr>
        <w:t>9.2对投标人的纪律要求</w:t>
      </w:r>
      <w:bookmarkEnd w:id="35"/>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cs="宋体"/>
          <w:b/>
          <w:bCs/>
          <w:color w:val="000000" w:themeColor="text1"/>
          <w:sz w:val="24"/>
          <w:highlight w:val="none"/>
          <w14:textFill>
            <w14:solidFill>
              <w14:schemeClr w14:val="tx1"/>
            </w14:solidFill>
          </w14:textFill>
        </w:rPr>
      </w:pPr>
      <w:bookmarkStart w:id="36" w:name="_Toc317694275"/>
      <w:r>
        <w:rPr>
          <w:rFonts w:hint="eastAsia" w:ascii="宋体" w:hAnsi="宋体" w:cs="宋体"/>
          <w:b/>
          <w:bCs/>
          <w:color w:val="000000" w:themeColor="text1"/>
          <w:sz w:val="24"/>
          <w:highlight w:val="none"/>
          <w14:textFill>
            <w14:solidFill>
              <w14:schemeClr w14:val="tx1"/>
            </w14:solidFill>
          </w14:textFill>
        </w:rPr>
        <w:t>9.3对评标委员会成员的纪律要求</w:t>
      </w:r>
      <w:bookmarkEnd w:id="3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pPr>
        <w:spacing w:line="360" w:lineRule="auto"/>
        <w:rPr>
          <w:rFonts w:ascii="宋体" w:hAnsi="宋体" w:cs="宋体"/>
          <w:b/>
          <w:bCs/>
          <w:color w:val="000000" w:themeColor="text1"/>
          <w:sz w:val="24"/>
          <w:highlight w:val="none"/>
          <w14:textFill>
            <w14:solidFill>
              <w14:schemeClr w14:val="tx1"/>
            </w14:solidFill>
          </w14:textFill>
        </w:rPr>
      </w:pPr>
      <w:bookmarkStart w:id="37" w:name="_Toc317694276"/>
      <w:r>
        <w:rPr>
          <w:rFonts w:hint="eastAsia" w:ascii="宋体" w:hAnsi="宋体" w:cs="宋体"/>
          <w:b/>
          <w:bCs/>
          <w:color w:val="000000" w:themeColor="text1"/>
          <w:sz w:val="24"/>
          <w:highlight w:val="none"/>
          <w14:textFill>
            <w14:solidFill>
              <w14:schemeClr w14:val="tx1"/>
            </w14:solidFill>
          </w14:textFill>
        </w:rPr>
        <w:t>9.4 对与评标活动有关的工作人员的纪律要求</w:t>
      </w:r>
      <w:bookmarkEnd w:id="37"/>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3"/>
        <w:spacing w:before="0" w:after="0" w:line="360" w:lineRule="auto"/>
        <w:jc w:val="center"/>
        <w:rPr>
          <w:rStyle w:val="189"/>
          <w:rFonts w:ascii="宋体" w:hAnsi="宋体" w:cs="宋体"/>
          <w:b/>
          <w:bCs/>
          <w:color w:val="000000" w:themeColor="text1"/>
          <w:highlight w:val="none"/>
          <w14:textFill>
            <w14:solidFill>
              <w14:schemeClr w14:val="tx1"/>
            </w14:solidFill>
          </w14:textFill>
        </w:rPr>
      </w:pPr>
      <w:r>
        <w:rPr>
          <w:rStyle w:val="189"/>
          <w:rFonts w:hint="eastAsia" w:ascii="宋体" w:hAnsi="宋体" w:cs="宋体"/>
          <w:b/>
          <w:bCs/>
          <w:color w:val="000000" w:themeColor="text1"/>
          <w:highlight w:val="none"/>
          <w14:textFill>
            <w14:solidFill>
              <w14:schemeClr w14:val="tx1"/>
            </w14:solidFill>
          </w14:textFill>
        </w:rPr>
        <w:t>第三章 评标标准</w:t>
      </w:r>
    </w:p>
    <w:p>
      <w:pPr>
        <w:spacing w:line="360" w:lineRule="auto"/>
        <w:ind w:left="-359" w:leftChars="-171" w:right="-359" w:rightChars="-171"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1.本次招标</w:t>
      </w:r>
      <w:r>
        <w:rPr>
          <w:rFonts w:hint="eastAsia" w:ascii="宋体" w:hAnsi="宋体" w:cs="宋体"/>
          <w:color w:val="000000" w:themeColor="text1"/>
          <w:sz w:val="24"/>
          <w:szCs w:val="24"/>
          <w:highlight w:val="none"/>
          <w:lang w:val="en-US" w:eastAsia="zh-CN"/>
          <w14:textFill>
            <w14:solidFill>
              <w14:schemeClr w14:val="tx1"/>
            </w14:solidFill>
          </w14:textFill>
        </w:rPr>
        <w:t>活动</w:t>
      </w:r>
      <w:r>
        <w:rPr>
          <w:rFonts w:hint="eastAsia" w:ascii="宋体" w:hAnsi="宋体" w:cs="宋体"/>
          <w:color w:val="000000" w:themeColor="text1"/>
          <w:sz w:val="24"/>
          <w:szCs w:val="24"/>
          <w:highlight w:val="none"/>
          <w14:textFill>
            <w14:solidFill>
              <w14:schemeClr w14:val="tx1"/>
            </w14:solidFill>
          </w14:textFill>
        </w:rPr>
        <w:t>，评标委员会先对各投标文件进行初步评审，初步评审不合格的投标文件作否决投标处理，不进入详细评审；初步评审合格的投标文件进入详细评审，在详细评审的基础上，评标委员会推荐中标候选人。</w:t>
      </w:r>
    </w:p>
    <w:p>
      <w:pPr>
        <w:spacing w:line="360" w:lineRule="auto"/>
        <w:ind w:left="-359" w:leftChars="-171" w:right="-359" w:rightChars="-171"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2.初步评审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评标委员会审查每一个投标文件，根据初步评审标准对投标文件进行初步评审，有一项不符合评审标准的，其投标将被否决。</w:t>
      </w:r>
    </w:p>
    <w:tbl>
      <w:tblPr>
        <w:tblStyle w:val="5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18"/>
        <w:gridCol w:w="2475"/>
        <w:gridCol w:w="5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tcBorders>
              <w:top w:val="single" w:color="auto" w:sz="4" w:space="0"/>
              <w:bottom w:val="single" w:color="auto" w:sz="4" w:space="0"/>
              <w:right w:val="single" w:color="auto" w:sz="4" w:space="0"/>
            </w:tcBorders>
            <w:vAlign w:val="center"/>
          </w:tcPr>
          <w:p>
            <w:pPr>
              <w:jc w:val="center"/>
              <w:rPr>
                <w:rFonts w:ascii="宋体" w:hAnsi="宋体" w:cs="宋体"/>
                <w:b/>
                <w:color w:val="000000" w:themeColor="text1"/>
                <w:sz w:val="22"/>
                <w:szCs w:val="21"/>
                <w:highlight w:val="none"/>
                <w14:textFill>
                  <w14:solidFill>
                    <w14:schemeClr w14:val="tx1"/>
                  </w14:solidFill>
                </w14:textFill>
              </w:rPr>
            </w:pPr>
            <w:r>
              <w:rPr>
                <w:rFonts w:hint="eastAsia" w:ascii="宋体" w:hAnsi="宋体" w:cs="宋体"/>
                <w:b/>
                <w:color w:val="000000" w:themeColor="text1"/>
                <w:sz w:val="22"/>
                <w:szCs w:val="21"/>
                <w:highlight w:val="none"/>
                <w14:textFill>
                  <w14:solidFill>
                    <w14:schemeClr w14:val="tx1"/>
                  </w14:solidFill>
                </w14:textFill>
              </w:rPr>
              <w:t>条款号</w:t>
            </w: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2"/>
                <w:szCs w:val="21"/>
                <w:highlight w:val="none"/>
                <w14:textFill>
                  <w14:solidFill>
                    <w14:schemeClr w14:val="tx1"/>
                  </w14:solidFill>
                </w14:textFill>
              </w:rPr>
            </w:pPr>
            <w:r>
              <w:rPr>
                <w:rFonts w:hint="eastAsia" w:ascii="宋体" w:hAnsi="宋体" w:cs="宋体"/>
                <w:b/>
                <w:color w:val="000000" w:themeColor="text1"/>
                <w:sz w:val="22"/>
                <w:szCs w:val="21"/>
                <w:highlight w:val="none"/>
                <w14:textFill>
                  <w14:solidFill>
                    <w14:schemeClr w14:val="tx1"/>
                  </w14:solidFill>
                </w14:textFill>
              </w:rPr>
              <w:t>评审因素</w:t>
            </w:r>
          </w:p>
        </w:tc>
        <w:tc>
          <w:tcPr>
            <w:tcW w:w="30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2"/>
                <w:szCs w:val="21"/>
                <w:highlight w:val="none"/>
                <w14:textFill>
                  <w14:solidFill>
                    <w14:schemeClr w14:val="tx1"/>
                  </w14:solidFill>
                </w14:textFill>
              </w:rPr>
            </w:pPr>
            <w:r>
              <w:rPr>
                <w:rFonts w:hint="eastAsia" w:ascii="宋体" w:hAnsi="宋体" w:cs="宋体"/>
                <w:b/>
                <w:color w:val="000000" w:themeColor="text1"/>
                <w:sz w:val="22"/>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restart"/>
            <w:tcBorders>
              <w:top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形式评审标准</w:t>
            </w: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投标人名称</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top w:val="nil"/>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lang w:eastAsia="zh-CN"/>
                <w14:textFill>
                  <w14:solidFill>
                    <w14:schemeClr w14:val="tx1"/>
                  </w14:solidFill>
                </w14:textFill>
              </w:rPr>
              <w:t>投标申请及声明</w:t>
            </w:r>
            <w:r>
              <w:rPr>
                <w:rFonts w:hint="eastAsia" w:ascii="宋体" w:hAnsi="宋体" w:cs="宋体"/>
                <w:color w:val="000000" w:themeColor="text1"/>
                <w:sz w:val="22"/>
                <w:szCs w:val="21"/>
                <w:highlight w:val="none"/>
                <w14:textFill>
                  <w14:solidFill>
                    <w14:schemeClr w14:val="tx1"/>
                  </w14:solidFill>
                </w14:textFill>
              </w:rPr>
              <w:t>签字盖章</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top w:val="nil"/>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投标文件格式</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符合第五章“投标文件格式”的要求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top w:val="nil"/>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投标报价唯一</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restart"/>
            <w:tcBorders>
              <w:top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资格评审标准</w:t>
            </w: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营业执照</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承诺书</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提供承诺书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联合体</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其他</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招标公告中要求的其他内容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top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投标内容</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服务期/工期/供货期</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投标有效期</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9" w:type="pct"/>
            <w:vMerge w:val="continue"/>
            <w:tcBorders>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p>
        </w:tc>
        <w:tc>
          <w:tcPr>
            <w:tcW w:w="12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投标保证金</w:t>
            </w:r>
          </w:p>
        </w:tc>
        <w:tc>
          <w:tcPr>
            <w:tcW w:w="30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按规定提交</w:t>
            </w:r>
          </w:p>
        </w:tc>
      </w:tr>
    </w:tbl>
    <w:p>
      <w:pPr>
        <w:spacing w:line="360" w:lineRule="auto"/>
        <w:ind w:left="-359" w:leftChars="-171" w:right="-359" w:rightChars="-1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3.详细评审</w:t>
      </w:r>
    </w:p>
    <w:p>
      <w:pPr>
        <w:spacing w:line="360" w:lineRule="auto"/>
        <w:ind w:left="-359" w:leftChars="-171" w:right="-359" w:rightChars="-171"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采取综合评分法进行详细评审，并采取打分的方法衡量投标文件是否最大限度地满足招标文件中规定的各项评价标准，满分为100分。评标委员会每个成员对每个投标人的打分，经过算术平均后，得出每个投标人的综合得分。评标委员会按每个投标人的综合得分从高到低进行排序，并据此推荐中标候选人。评标委员会从以下几方面对投标文件进行详细评审和打分：</w:t>
      </w:r>
    </w:p>
    <w:tbl>
      <w:tblPr>
        <w:tblStyle w:val="56"/>
        <w:tblpPr w:leftFromText="180" w:rightFromText="180" w:vertAnchor="text" w:horzAnchor="page" w:tblpX="1209" w:tblpY="265"/>
        <w:tblOverlap w:val="never"/>
        <w:tblW w:w="50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75"/>
        <w:gridCol w:w="892"/>
        <w:gridCol w:w="6789"/>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602" w:type="pct"/>
            <w:vMerge w:val="restart"/>
            <w:tcBorders>
              <w:top w:val="single" w:color="auto" w:sz="4" w:space="0"/>
              <w:right w:val="single" w:color="auto" w:sz="4" w:space="0"/>
            </w:tcBorders>
          </w:tcPr>
          <w:p>
            <w:pPr>
              <w:tabs>
                <w:tab w:val="left" w:pos="720"/>
              </w:tabs>
              <w:spacing w:line="420" w:lineRule="exact"/>
              <w:jc w:val="center"/>
              <w:rPr>
                <w:rFonts w:ascii="宋体" w:hAnsi="宋体" w:cs="宋体"/>
                <w:szCs w:val="21"/>
              </w:rPr>
            </w:pPr>
            <w:r>
              <w:rPr>
                <w:rFonts w:hint="eastAsia" w:ascii="宋体" w:hAnsi="宋体" w:cs="宋体"/>
                <w:szCs w:val="21"/>
              </w:rPr>
              <w:t xml:space="preserve">分值构成 </w:t>
            </w:r>
          </w:p>
          <w:p>
            <w:pPr>
              <w:tabs>
                <w:tab w:val="left" w:pos="720"/>
              </w:tabs>
              <w:spacing w:line="420" w:lineRule="exact"/>
              <w:jc w:val="center"/>
              <w:rPr>
                <w:rFonts w:ascii="宋体" w:hAnsi="宋体" w:cs="宋体"/>
                <w:szCs w:val="21"/>
              </w:rPr>
            </w:pPr>
            <w:r>
              <w:rPr>
                <w:rFonts w:hint="eastAsia" w:ascii="宋体" w:hAnsi="宋体" w:cs="宋体"/>
                <w:szCs w:val="21"/>
              </w:rPr>
              <w:t xml:space="preserve"> (总分100分)</w:t>
            </w:r>
          </w:p>
          <w:p>
            <w:pPr>
              <w:tabs>
                <w:tab w:val="left" w:pos="720"/>
              </w:tabs>
              <w:spacing w:line="420" w:lineRule="exact"/>
              <w:rPr>
                <w:rFonts w:ascii="宋体" w:hAnsi="宋体" w:cs="宋体"/>
                <w:szCs w:val="21"/>
              </w:rPr>
            </w:pPr>
          </w:p>
        </w:tc>
        <w:tc>
          <w:tcPr>
            <w:tcW w:w="4397" w:type="pct"/>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80" w:lineRule="exact"/>
              <w:jc w:val="center"/>
              <w:rPr>
                <w:rFonts w:ascii="宋体" w:hAnsi="宋体" w:cs="宋体"/>
                <w:szCs w:val="21"/>
              </w:rPr>
            </w:pPr>
            <w:r>
              <w:rPr>
                <w:rFonts w:hint="eastAsia" w:ascii="宋体" w:hAnsi="宋体" w:cs="宋体"/>
                <w:szCs w:val="21"/>
              </w:rPr>
              <w:t>投标报价：</w:t>
            </w:r>
            <w:r>
              <w:rPr>
                <w:rFonts w:hint="eastAsia" w:ascii="宋体" w:hAnsi="宋体" w:cs="宋体"/>
                <w:szCs w:val="21"/>
                <w:lang w:val="en-US" w:eastAsia="zh-CN"/>
              </w:rPr>
              <w:t>45</w:t>
            </w:r>
            <w:r>
              <w:rPr>
                <w:rFonts w:hint="eastAsia" w:ascii="宋体" w:hAnsi="宋体" w:cs="宋体"/>
                <w:szCs w:val="21"/>
              </w:rPr>
              <w:t>分；技术方案评价：</w:t>
            </w:r>
            <w:r>
              <w:rPr>
                <w:rFonts w:hint="eastAsia" w:ascii="宋体" w:hAnsi="宋体" w:cs="宋体"/>
                <w:szCs w:val="21"/>
                <w:lang w:val="en-US" w:eastAsia="zh-CN"/>
              </w:rPr>
              <w:t>50</w:t>
            </w:r>
            <w:r>
              <w:rPr>
                <w:rFonts w:hint="eastAsia" w:ascii="宋体" w:hAnsi="宋体" w:cs="宋体"/>
                <w:szCs w:val="21"/>
              </w:rPr>
              <w:t>分；业绩评价：5分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602" w:type="pct"/>
            <w:vMerge w:val="continue"/>
            <w:tcBorders>
              <w:bottom w:val="single" w:color="auto" w:sz="4" w:space="0"/>
              <w:right w:val="single" w:color="auto" w:sz="4" w:space="0"/>
            </w:tcBorders>
          </w:tcPr>
          <w:p>
            <w:pPr>
              <w:tabs>
                <w:tab w:val="left" w:pos="720"/>
              </w:tabs>
              <w:spacing w:line="420" w:lineRule="exact"/>
              <w:jc w:val="center"/>
              <w:rPr>
                <w:rFonts w:ascii="宋体" w:hAnsi="宋体" w:cs="宋体"/>
                <w:szCs w:val="21"/>
              </w:rPr>
            </w:pPr>
          </w:p>
        </w:tc>
        <w:tc>
          <w:tcPr>
            <w:tcW w:w="457"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Cs w:val="21"/>
              </w:rPr>
            </w:pPr>
            <w:r>
              <w:rPr>
                <w:rFonts w:hint="eastAsia" w:ascii="宋体" w:hAnsi="宋体" w:cs="宋体"/>
                <w:szCs w:val="21"/>
              </w:rPr>
              <w:t>满分</w:t>
            </w:r>
          </w:p>
        </w:tc>
        <w:tc>
          <w:tcPr>
            <w:tcW w:w="3478"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Cs w:val="21"/>
              </w:rPr>
            </w:pPr>
            <w:r>
              <w:rPr>
                <w:rFonts w:hint="eastAsia" w:ascii="宋体" w:hAnsi="宋体" w:cs="宋体"/>
                <w:szCs w:val="21"/>
              </w:rPr>
              <w:t>评分标准</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 w:val="16"/>
                <w:szCs w:val="16"/>
              </w:rPr>
            </w:pPr>
            <w:r>
              <w:rPr>
                <w:rFonts w:hint="eastAsia" w:ascii="宋体" w:hAnsi="宋体" w:cs="宋体"/>
                <w:sz w:val="18"/>
                <w:szCs w:val="18"/>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02" w:type="pct"/>
            <w:tcBorders>
              <w:top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Cs w:val="21"/>
              </w:rPr>
            </w:pPr>
            <w:r>
              <w:rPr>
                <w:rFonts w:hint="eastAsia" w:ascii="宋体" w:hAnsi="宋体" w:cs="宋体"/>
                <w:szCs w:val="21"/>
              </w:rPr>
              <w:t>投标报价得分</w:t>
            </w:r>
          </w:p>
        </w:tc>
        <w:tc>
          <w:tcPr>
            <w:tcW w:w="457"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45</w:t>
            </w:r>
          </w:p>
        </w:tc>
        <w:tc>
          <w:tcPr>
            <w:tcW w:w="3478"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left"/>
              <w:rPr>
                <w:rFonts w:ascii="宋体" w:hAnsi="宋体" w:cs="宋体"/>
                <w:szCs w:val="21"/>
              </w:rPr>
            </w:pPr>
            <w:r>
              <w:rPr>
                <w:rFonts w:hint="eastAsia" w:ascii="宋体" w:hAnsi="宋体" w:cs="宋体"/>
                <w:szCs w:val="21"/>
              </w:rPr>
              <w:t>评委按照投标人报价由低价到高价的顺序进行排名，以有效报价的最低价作为基准价，价格得分=基准价÷投标报价×</w:t>
            </w:r>
            <w:r>
              <w:rPr>
                <w:rFonts w:hint="eastAsia" w:ascii="宋体" w:hAnsi="宋体" w:cs="宋体"/>
                <w:szCs w:val="21"/>
                <w:lang w:val="en-US" w:eastAsia="zh-CN"/>
              </w:rPr>
              <w:t>45</w:t>
            </w:r>
            <w:r>
              <w:rPr>
                <w:rFonts w:hint="eastAsia" w:ascii="宋体" w:hAnsi="宋体" w:cs="宋体"/>
                <w:szCs w:val="21"/>
              </w:rPr>
              <w:t>，基准价满分</w:t>
            </w:r>
            <w:r>
              <w:rPr>
                <w:rFonts w:hint="eastAsia" w:ascii="宋体" w:hAnsi="宋体" w:cs="宋体"/>
                <w:szCs w:val="21"/>
                <w:lang w:val="en-US" w:eastAsia="zh-CN"/>
              </w:rPr>
              <w:t>45</w:t>
            </w:r>
            <w:r>
              <w:rPr>
                <w:rFonts w:hint="eastAsia" w:ascii="宋体" w:hAnsi="宋体" w:cs="宋体"/>
                <w:szCs w:val="21"/>
              </w:rPr>
              <w:t>分。</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4" w:hRule="atLeast"/>
        </w:trPr>
        <w:tc>
          <w:tcPr>
            <w:tcW w:w="602" w:type="pct"/>
            <w:tcBorders>
              <w:top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Cs w:val="21"/>
              </w:rPr>
            </w:pPr>
            <w:r>
              <w:rPr>
                <w:rFonts w:hint="eastAsia" w:ascii="宋体" w:hAnsi="宋体" w:cs="宋体"/>
                <w:szCs w:val="21"/>
              </w:rPr>
              <w:t>技术方案得分</w:t>
            </w:r>
          </w:p>
        </w:tc>
        <w:tc>
          <w:tcPr>
            <w:tcW w:w="457"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3478"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val="0"/>
                <w:bCs w:val="0"/>
                <w:szCs w:val="21"/>
              </w:rPr>
            </w:pPr>
            <w:r>
              <w:rPr>
                <w:rFonts w:hint="eastAsia" w:ascii="宋体" w:hAnsi="宋体" w:cs="宋体"/>
                <w:szCs w:val="21"/>
              </w:rPr>
              <w:t>1、</w:t>
            </w:r>
            <w:r>
              <w:rPr>
                <w:rFonts w:hint="eastAsia" w:ascii="宋体" w:hAnsi="宋体" w:cs="宋体"/>
                <w:b w:val="0"/>
                <w:bCs w:val="0"/>
                <w:szCs w:val="21"/>
              </w:rPr>
              <w:t>项目技术研发合同不能在政府科技主管部门办理技术合同</w:t>
            </w:r>
            <w:r>
              <w:rPr>
                <w:rFonts w:hint="eastAsia" w:hAnsi="宋体" w:cs="宋体"/>
                <w:b w:val="0"/>
                <w:bCs w:val="0"/>
                <w:szCs w:val="21"/>
                <w:lang w:val="en-US" w:eastAsia="zh-CN"/>
              </w:rPr>
              <w:t>认定登记</w:t>
            </w:r>
            <w:r>
              <w:rPr>
                <w:rFonts w:hint="eastAsia" w:ascii="宋体" w:hAnsi="宋体" w:cs="宋体"/>
                <w:b w:val="0"/>
                <w:bCs w:val="0"/>
                <w:szCs w:val="21"/>
              </w:rPr>
              <w:t>备案的（</w:t>
            </w:r>
            <w:r>
              <w:rPr>
                <w:rFonts w:hint="eastAsia" w:ascii="宋体" w:hAnsi="宋体" w:cs="宋体"/>
                <w:b w:val="0"/>
                <w:bCs w:val="0"/>
                <w:szCs w:val="21"/>
                <w:lang w:val="en-US" w:eastAsia="zh-CN"/>
              </w:rPr>
              <w:t>或</w:t>
            </w:r>
            <w:r>
              <w:rPr>
                <w:rFonts w:hint="eastAsia" w:ascii="宋体" w:hAnsi="宋体" w:cs="宋体"/>
                <w:b w:val="0"/>
                <w:bCs w:val="0"/>
                <w:szCs w:val="21"/>
              </w:rPr>
              <w:t>无承诺</w:t>
            </w:r>
            <w:r>
              <w:rPr>
                <w:rFonts w:hint="eastAsia" w:ascii="宋体" w:hAnsi="宋体" w:cs="宋体"/>
                <w:b w:val="0"/>
                <w:bCs w:val="0"/>
                <w:szCs w:val="21"/>
                <w:lang w:val="en-US" w:eastAsia="zh-CN"/>
              </w:rPr>
              <w:t>的</w:t>
            </w:r>
            <w:r>
              <w:rPr>
                <w:rFonts w:hint="eastAsia" w:ascii="宋体" w:hAnsi="宋体" w:cs="宋体"/>
                <w:b w:val="0"/>
                <w:bCs w:val="0"/>
                <w:szCs w:val="21"/>
              </w:rPr>
              <w:t>）</w:t>
            </w:r>
            <w:r>
              <w:rPr>
                <w:rFonts w:hint="eastAsia" w:ascii="宋体" w:hAnsi="宋体" w:cs="宋体"/>
                <w:b w:val="0"/>
                <w:bCs w:val="0"/>
                <w:szCs w:val="21"/>
                <w:lang w:eastAsia="zh-CN"/>
              </w:rPr>
              <w:t>，</w:t>
            </w:r>
            <w:r>
              <w:rPr>
                <w:rFonts w:hint="eastAsia" w:ascii="宋体" w:hAnsi="宋体" w:cs="宋体"/>
                <w:b w:val="0"/>
                <w:bCs w:val="0"/>
                <w:szCs w:val="21"/>
              </w:rPr>
              <w:t>本项技术方案得分整体为0分，不再参加以下评判打分。</w:t>
            </w:r>
          </w:p>
          <w:p>
            <w:pPr>
              <w:spacing w:line="420" w:lineRule="exact"/>
              <w:rPr>
                <w:rFonts w:ascii="宋体" w:hAnsi="宋体" w:cs="宋体"/>
                <w:b w:val="0"/>
                <w:bCs w:val="0"/>
                <w:szCs w:val="21"/>
              </w:rPr>
            </w:pPr>
            <w:r>
              <w:rPr>
                <w:rFonts w:hint="eastAsia" w:ascii="宋体" w:hAnsi="宋体" w:cs="宋体"/>
                <w:b w:val="0"/>
                <w:bCs w:val="0"/>
                <w:szCs w:val="21"/>
              </w:rPr>
              <w:t>2、招标文件第四章中项目整体研发内容包含招标文件中研发项目要求的全部五个子系统，且</w:t>
            </w:r>
            <w:r>
              <w:rPr>
                <w:rFonts w:hint="eastAsia" w:ascii="宋体" w:hAnsi="宋体" w:cs="宋体"/>
                <w:b w:val="0"/>
                <w:bCs w:val="0"/>
                <w:szCs w:val="21"/>
                <w:lang w:val="en-US" w:eastAsia="zh-CN"/>
              </w:rPr>
              <w:t>技术措施</w:t>
            </w:r>
            <w:r>
              <w:rPr>
                <w:rFonts w:hint="eastAsia" w:ascii="宋体" w:hAnsi="宋体" w:cs="宋体"/>
                <w:b w:val="0"/>
                <w:bCs w:val="0"/>
                <w:szCs w:val="21"/>
              </w:rPr>
              <w:t>描述清晰得分15分，缺少一项或某一项描述不清晰扣3分，最低分0分。</w:t>
            </w:r>
          </w:p>
          <w:p>
            <w:pPr>
              <w:spacing w:line="420" w:lineRule="exact"/>
              <w:rPr>
                <w:rFonts w:ascii="宋体" w:hAnsi="宋体" w:cs="宋体"/>
                <w:b w:val="0"/>
                <w:bCs w:val="0"/>
                <w:szCs w:val="21"/>
              </w:rPr>
            </w:pPr>
            <w:r>
              <w:rPr>
                <w:rFonts w:hint="eastAsia" w:ascii="宋体" w:hAnsi="宋体" w:cs="宋体"/>
                <w:b w:val="0"/>
                <w:bCs w:val="0"/>
                <w:szCs w:val="21"/>
              </w:rPr>
              <w:t>3、招标文件第四章中项目技术指标满足招标文件中全部研发技术目标要求得分</w:t>
            </w:r>
            <w:r>
              <w:rPr>
                <w:rFonts w:hint="eastAsia" w:ascii="宋体" w:hAnsi="宋体" w:cs="宋体"/>
                <w:b w:val="0"/>
                <w:bCs w:val="0"/>
                <w:szCs w:val="21"/>
                <w:lang w:val="en-US" w:eastAsia="zh-CN"/>
              </w:rPr>
              <w:t>20</w:t>
            </w:r>
            <w:r>
              <w:rPr>
                <w:rFonts w:hint="eastAsia" w:ascii="宋体" w:hAnsi="宋体" w:cs="宋体"/>
                <w:b w:val="0"/>
                <w:bCs w:val="0"/>
                <w:szCs w:val="21"/>
              </w:rPr>
              <w:t>分，一项不满足扣</w:t>
            </w:r>
            <w:r>
              <w:rPr>
                <w:rFonts w:hint="eastAsia" w:ascii="宋体" w:hAnsi="宋体" w:cs="宋体"/>
                <w:b w:val="0"/>
                <w:bCs w:val="0"/>
                <w:szCs w:val="21"/>
                <w:lang w:val="en-US" w:eastAsia="zh-CN"/>
              </w:rPr>
              <w:t>5</w:t>
            </w:r>
            <w:r>
              <w:rPr>
                <w:rFonts w:hint="eastAsia" w:ascii="宋体" w:hAnsi="宋体" w:cs="宋体"/>
                <w:b w:val="0"/>
                <w:bCs w:val="0"/>
                <w:szCs w:val="21"/>
              </w:rPr>
              <w:t>分，最低分0分。</w:t>
            </w:r>
          </w:p>
          <w:p>
            <w:pPr>
              <w:spacing w:line="420" w:lineRule="exact"/>
              <w:rPr>
                <w:rFonts w:ascii="宋体" w:hAnsi="宋体" w:cs="宋体"/>
                <w:b w:val="0"/>
                <w:bCs w:val="0"/>
                <w:szCs w:val="21"/>
              </w:rPr>
            </w:pPr>
            <w:r>
              <w:rPr>
                <w:rFonts w:hint="eastAsia" w:ascii="宋体" w:hAnsi="宋体" w:cs="宋体"/>
                <w:b w:val="0"/>
                <w:bCs w:val="0"/>
                <w:szCs w:val="21"/>
              </w:rPr>
              <w:t>4、有关键技术创新点得分7分，无关键技术创新点或关键技术创新点不明确</w:t>
            </w:r>
            <w:r>
              <w:rPr>
                <w:rFonts w:hint="eastAsia" w:ascii="宋体" w:hAnsi="宋体" w:cs="宋体"/>
                <w:b w:val="0"/>
                <w:bCs w:val="0"/>
                <w:szCs w:val="21"/>
                <w:lang w:val="en-US" w:eastAsia="zh-CN"/>
              </w:rPr>
              <w:t>或</w:t>
            </w:r>
            <w:r>
              <w:rPr>
                <w:rFonts w:hint="eastAsia" w:ascii="宋体" w:hAnsi="宋体" w:cs="宋体"/>
                <w:b w:val="0"/>
                <w:bCs w:val="0"/>
                <w:szCs w:val="21"/>
              </w:rPr>
              <w:t>不突出得0分。</w:t>
            </w:r>
          </w:p>
          <w:p>
            <w:pPr>
              <w:spacing w:line="420" w:lineRule="exact"/>
              <w:rPr>
                <w:rFonts w:ascii="宋体" w:hAnsi="宋体" w:cs="宋体"/>
                <w:b w:val="0"/>
                <w:bCs w:val="0"/>
                <w:szCs w:val="21"/>
              </w:rPr>
            </w:pPr>
            <w:r>
              <w:rPr>
                <w:rFonts w:hint="eastAsia" w:ascii="宋体" w:hAnsi="宋体" w:cs="宋体"/>
                <w:b w:val="0"/>
                <w:bCs w:val="0"/>
                <w:szCs w:val="21"/>
              </w:rPr>
              <w:t>5、有技术服务承诺及保障措施得分4分，每缺少一项扣2分，最低分0分。</w:t>
            </w:r>
          </w:p>
          <w:p>
            <w:pPr>
              <w:spacing w:line="420" w:lineRule="exact"/>
              <w:rPr>
                <w:rFonts w:ascii="宋体" w:hAnsi="宋体" w:cs="宋体"/>
                <w:b w:val="0"/>
                <w:bCs w:val="0"/>
                <w:szCs w:val="21"/>
              </w:rPr>
            </w:pPr>
            <w:r>
              <w:rPr>
                <w:rFonts w:hint="eastAsia" w:ascii="宋体" w:hAnsi="宋体" w:cs="宋体"/>
                <w:b w:val="0"/>
                <w:bCs w:val="0"/>
                <w:szCs w:val="21"/>
              </w:rPr>
              <w:t>6、质保期最高满分4分，按质保期排名依次递减2分，最低分0分。</w:t>
            </w:r>
          </w:p>
          <w:p>
            <w:pPr>
              <w:spacing w:line="420" w:lineRule="exact"/>
              <w:rPr>
                <w:rFonts w:ascii="宋体" w:hAnsi="宋体" w:cs="宋体"/>
                <w:szCs w:val="21"/>
              </w:rPr>
            </w:pPr>
            <w:r>
              <w:rPr>
                <w:rFonts w:hint="eastAsia" w:ascii="宋体" w:hAnsi="宋体" w:cs="宋体"/>
                <w:b w:val="0"/>
                <w:bCs w:val="0"/>
                <w:szCs w:val="21"/>
              </w:rPr>
              <w:t>7、招标文件第四章中</w:t>
            </w:r>
            <w:r>
              <w:rPr>
                <w:rStyle w:val="189"/>
                <w:rFonts w:hint="eastAsia" w:ascii="宋体" w:hAnsi="宋体" w:cs="宋体"/>
                <w:b w:val="0"/>
                <w:bCs w:val="0"/>
                <w:color w:val="000000" w:themeColor="text1"/>
                <w:sz w:val="22"/>
                <w:szCs w:val="22"/>
                <w14:textFill>
                  <w14:solidFill>
                    <w14:schemeClr w14:val="tx1"/>
                  </w14:solidFill>
                </w14:textFill>
              </w:rPr>
              <w:t>项目概述及技术需求</w:t>
            </w:r>
            <w:r>
              <w:rPr>
                <w:rFonts w:hint="eastAsia" w:ascii="宋体" w:hAnsi="宋体" w:cs="宋体"/>
                <w:b w:val="0"/>
                <w:bCs w:val="0"/>
                <w:szCs w:val="21"/>
              </w:rPr>
              <w:t>中</w:t>
            </w:r>
            <w:r>
              <w:rPr>
                <w:rFonts w:hint="eastAsia" w:ascii="宋体" w:hAnsi="宋体" w:cs="宋体"/>
                <w:b w:val="0"/>
                <w:bCs w:val="0"/>
                <w:szCs w:val="21"/>
                <w:lang w:val="en-US" w:eastAsia="zh-CN"/>
              </w:rPr>
              <w:t>项目施工安全资质证明材料一项不满足扣4分，</w:t>
            </w:r>
            <w:r>
              <w:rPr>
                <w:rFonts w:hint="eastAsia" w:ascii="宋体" w:hAnsi="宋体" w:cs="宋体"/>
                <w:b w:val="0"/>
                <w:bCs w:val="0"/>
                <w:szCs w:val="21"/>
              </w:rPr>
              <w:t>其他项一项不满足扣3分。技术方案总分</w:t>
            </w:r>
            <w:r>
              <w:rPr>
                <w:rFonts w:hint="eastAsia" w:ascii="宋体" w:hAnsi="宋体" w:cs="宋体"/>
                <w:b w:val="0"/>
                <w:bCs w:val="0"/>
                <w:szCs w:val="21"/>
                <w:lang w:val="en-US" w:eastAsia="zh-CN"/>
              </w:rPr>
              <w:t>50</w:t>
            </w:r>
            <w:r>
              <w:rPr>
                <w:rFonts w:hint="eastAsia" w:ascii="宋体" w:hAnsi="宋体" w:cs="宋体"/>
                <w:b w:val="0"/>
                <w:bCs w:val="0"/>
                <w:szCs w:val="21"/>
              </w:rPr>
              <w:t>分扣完为止，技术方案最低分0分。</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4" w:hRule="atLeast"/>
        </w:trPr>
        <w:tc>
          <w:tcPr>
            <w:tcW w:w="602" w:type="pct"/>
            <w:tcBorders>
              <w:top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Cs w:val="21"/>
              </w:rPr>
            </w:pPr>
            <w:r>
              <w:rPr>
                <w:rFonts w:hint="eastAsia" w:ascii="宋体" w:hAnsi="宋体" w:cs="宋体"/>
                <w:szCs w:val="21"/>
              </w:rPr>
              <w:t>业绩评价得分</w:t>
            </w:r>
          </w:p>
        </w:tc>
        <w:tc>
          <w:tcPr>
            <w:tcW w:w="457"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Cs w:val="21"/>
              </w:rPr>
            </w:pPr>
            <w:r>
              <w:rPr>
                <w:rFonts w:hint="eastAsia" w:ascii="宋体" w:hAnsi="宋体" w:cs="宋体"/>
                <w:szCs w:val="21"/>
              </w:rPr>
              <w:t>5</w:t>
            </w:r>
          </w:p>
        </w:tc>
        <w:tc>
          <w:tcPr>
            <w:tcW w:w="3478"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left"/>
              <w:rPr>
                <w:rFonts w:ascii="宋体" w:hAnsi="宋体" w:cs="宋体"/>
                <w:szCs w:val="21"/>
              </w:rPr>
            </w:pPr>
            <w:r>
              <w:rPr>
                <w:rFonts w:hint="eastAsia" w:ascii="宋体" w:hAnsi="宋体" w:cs="宋体"/>
                <w:szCs w:val="21"/>
              </w:rPr>
              <w:t>提</w:t>
            </w:r>
            <w:r>
              <w:rPr>
                <w:rFonts w:hint="eastAsia" w:ascii="宋体" w:hAnsi="宋体" w:cs="宋体"/>
                <w:b w:val="0"/>
                <w:bCs w:val="0"/>
                <w:szCs w:val="21"/>
              </w:rPr>
              <w:t>供近年来的</w:t>
            </w:r>
            <w:r>
              <w:rPr>
                <w:rFonts w:hint="eastAsia" w:ascii="宋体" w:hAnsi="宋体" w:cs="宋体"/>
                <w:b w:val="0"/>
                <w:bCs w:val="0"/>
                <w:szCs w:val="21"/>
                <w:lang w:val="en-US" w:eastAsia="zh-CN"/>
              </w:rPr>
              <w:t>相关锅炉</w:t>
            </w:r>
            <w:r>
              <w:rPr>
                <w:rFonts w:hint="eastAsia" w:ascii="宋体" w:hAnsi="宋体" w:cs="宋体"/>
                <w:b w:val="0"/>
                <w:bCs w:val="0"/>
                <w:szCs w:val="21"/>
              </w:rPr>
              <w:t>项目</w:t>
            </w:r>
            <w:r>
              <w:rPr>
                <w:rFonts w:hint="eastAsia" w:ascii="宋体" w:hAnsi="宋体" w:cs="宋体"/>
                <w:b w:val="0"/>
                <w:bCs w:val="0"/>
                <w:szCs w:val="21"/>
                <w:lang w:val="en-US" w:eastAsia="zh-CN"/>
              </w:rPr>
              <w:t>效率提升</w:t>
            </w:r>
            <w:r>
              <w:rPr>
                <w:rFonts w:hint="eastAsia" w:ascii="宋体" w:hAnsi="宋体" w:cs="宋体"/>
                <w:b w:val="0"/>
                <w:bCs w:val="0"/>
                <w:szCs w:val="21"/>
              </w:rPr>
              <w:t>业绩合同（投标时上传相关合同原件扫描件或者中标通知书原件扫描件），每提供1份者得1分，最高5分，未提供业绩为0分。合同如果盖章、签字不清晰的视为无效业绩。中标通知书复印件不清晰的也视为无效业绩。</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720"/>
              </w:tabs>
              <w:spacing w:line="420" w:lineRule="exact"/>
              <w:jc w:val="center"/>
              <w:rPr>
                <w:rFonts w:ascii="宋体" w:hAnsi="宋体" w:cs="宋体"/>
                <w:sz w:val="16"/>
                <w:szCs w:val="16"/>
              </w:rPr>
            </w:pPr>
          </w:p>
        </w:tc>
      </w:tr>
    </w:tbl>
    <w:p>
      <w:pPr>
        <w:pStyle w:val="21"/>
        <w:rPr>
          <w:rFonts w:ascii="宋体" w:hAnsi="宋体" w:cs="宋体"/>
          <w:color w:val="000000" w:themeColor="text1"/>
          <w:highlight w:val="none"/>
          <w14:textFill>
            <w14:solidFill>
              <w14:schemeClr w14:val="tx1"/>
            </w14:solidFill>
          </w14:textFill>
        </w:rPr>
      </w:pPr>
    </w:p>
    <w:p>
      <w:pPr>
        <w:numPr>
          <w:ilvl w:val="0"/>
          <w:numId w:val="0"/>
        </w:numPr>
        <w:spacing w:line="360" w:lineRule="auto"/>
        <w:ind w:firstLine="210" w:firstLineChars="1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lang w:val="en-US" w:eastAsia="zh-CN"/>
          <w14:textFill>
            <w14:solidFill>
              <w14:schemeClr w14:val="tx1"/>
            </w14:solidFill>
          </w14:textFill>
        </w:rPr>
        <w:t>说明：</w:t>
      </w:r>
      <w:r>
        <w:rPr>
          <w:rFonts w:hint="eastAsia" w:ascii="宋体" w:hAnsi="宋体" w:cs="宋体"/>
          <w:b w:val="0"/>
          <w:bCs/>
          <w:color w:val="000000" w:themeColor="text1"/>
          <w:szCs w:val="21"/>
          <w:highlight w:val="none"/>
          <w14:textFill>
            <w14:solidFill>
              <w14:schemeClr w14:val="tx1"/>
            </w14:solidFill>
          </w14:textFill>
        </w:rPr>
        <w:t>所有认证、证明和业绩均以有效的</w:t>
      </w:r>
      <w:r>
        <w:rPr>
          <w:rFonts w:hint="eastAsia" w:ascii="宋体" w:hAnsi="宋体" w:cs="宋体"/>
          <w:b w:val="0"/>
          <w:bCs/>
          <w:color w:val="000000" w:themeColor="text1"/>
          <w:szCs w:val="21"/>
          <w:highlight w:val="none"/>
          <w:lang w:val="en-US" w:eastAsia="zh-CN"/>
          <w14:textFill>
            <w14:solidFill>
              <w14:schemeClr w14:val="tx1"/>
            </w14:solidFill>
          </w14:textFill>
        </w:rPr>
        <w:t>扫描件</w:t>
      </w:r>
      <w:r>
        <w:rPr>
          <w:rFonts w:hint="eastAsia" w:ascii="宋体" w:hAnsi="宋体" w:cs="宋体"/>
          <w:b w:val="0"/>
          <w:bCs/>
          <w:color w:val="000000" w:themeColor="text1"/>
          <w:szCs w:val="21"/>
          <w:highlight w:val="none"/>
          <w14:textFill>
            <w14:solidFill>
              <w14:schemeClr w14:val="tx1"/>
            </w14:solidFill>
          </w14:textFill>
        </w:rPr>
        <w:t>加盖公章为依据，原件备查</w:t>
      </w:r>
      <w:r>
        <w:rPr>
          <w:rFonts w:hint="eastAsia" w:ascii="宋体" w:hAnsi="宋体" w:cs="宋体"/>
          <w:b/>
          <w:color w:val="000000" w:themeColor="text1"/>
          <w:szCs w:val="21"/>
          <w:highlight w:val="none"/>
          <w14:textFill>
            <w14:solidFill>
              <w14:schemeClr w14:val="tx1"/>
            </w14:solidFill>
          </w14:textFill>
        </w:rPr>
        <w:t>。</w:t>
      </w:r>
    </w:p>
    <w:p>
      <w:pPr>
        <w:numPr>
          <w:ilvl w:val="0"/>
          <w:numId w:val="0"/>
        </w:numPr>
        <w:spacing w:line="360" w:lineRule="auto"/>
        <w:rPr>
          <w:rFonts w:ascii="宋体" w:hAnsi="宋体" w:cs="宋体"/>
          <w:color w:val="000000" w:themeColor="text1"/>
          <w:highlight w:val="none"/>
          <w14:textFill>
            <w14:solidFill>
              <w14:schemeClr w14:val="tx1"/>
            </w14:solidFill>
          </w14:textFill>
        </w:rPr>
      </w:pPr>
    </w:p>
    <w:p>
      <w:pPr>
        <w:pStyle w:val="3"/>
        <w:spacing w:before="0" w:after="0" w:line="360" w:lineRule="auto"/>
        <w:jc w:val="center"/>
        <w:rPr>
          <w:rStyle w:val="189"/>
          <w:rFonts w:hint="eastAsia" w:ascii="宋体" w:hAnsi="宋体" w:cs="宋体"/>
          <w:b/>
          <w:bCs/>
          <w:color w:val="000000" w:themeColor="text1"/>
          <w:highlight w:val="none"/>
          <w14:textFill>
            <w14:solidFill>
              <w14:schemeClr w14:val="tx1"/>
            </w14:solidFill>
          </w14:textFill>
        </w:rPr>
      </w:pPr>
      <w:r>
        <w:rPr>
          <w:rStyle w:val="189"/>
          <w:rFonts w:hint="eastAsia" w:ascii="宋体" w:hAnsi="宋体" w:cs="宋体"/>
          <w:b/>
          <w:bCs/>
          <w:color w:val="000000" w:themeColor="text1"/>
          <w:highlight w:val="none"/>
          <w:lang w:val="en-US" w:eastAsia="zh-CN"/>
          <w14:textFill>
            <w14:solidFill>
              <w14:schemeClr w14:val="tx1"/>
            </w14:solidFill>
          </w14:textFill>
        </w:rPr>
        <w:t xml:space="preserve">第四章  </w:t>
      </w:r>
      <w:r>
        <w:rPr>
          <w:rStyle w:val="189"/>
          <w:rFonts w:hint="eastAsia" w:ascii="宋体" w:hAnsi="宋体" w:cs="宋体"/>
          <w:b/>
          <w:bCs/>
          <w:color w:val="000000" w:themeColor="text1"/>
          <w:highlight w:val="none"/>
          <w14:textFill>
            <w14:solidFill>
              <w14:schemeClr w14:val="tx1"/>
            </w14:solidFill>
          </w14:textFill>
        </w:rPr>
        <w:t>项目</w:t>
      </w:r>
      <w:r>
        <w:rPr>
          <w:rStyle w:val="189"/>
          <w:rFonts w:hint="eastAsia" w:ascii="宋体" w:hAnsi="宋体" w:cs="宋体"/>
          <w:b/>
          <w:bCs/>
          <w:color w:val="000000" w:themeColor="text1"/>
          <w:highlight w:val="none"/>
          <w:lang w:val="en-US" w:eastAsia="zh-CN"/>
          <w14:textFill>
            <w14:solidFill>
              <w14:schemeClr w14:val="tx1"/>
            </w14:solidFill>
          </w14:textFill>
        </w:rPr>
        <w:t>概述</w:t>
      </w:r>
      <w:r>
        <w:rPr>
          <w:rStyle w:val="189"/>
          <w:rFonts w:hint="eastAsia" w:ascii="宋体" w:hAnsi="宋体" w:cs="宋体"/>
          <w:b/>
          <w:bCs/>
          <w:color w:val="000000" w:themeColor="text1"/>
          <w:highlight w:val="none"/>
          <w14:textFill>
            <w14:solidFill>
              <w14:schemeClr w14:val="tx1"/>
            </w14:solidFill>
          </w14:textFill>
        </w:rPr>
        <w:t>及技术需求</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
          <w:bCs/>
          <w:color w:val="auto"/>
          <w:kern w:val="0"/>
          <w:sz w:val="24"/>
          <w:szCs w:val="24"/>
          <w:highlight w:val="none"/>
        </w:rPr>
        <w:t>项目概述：</w:t>
      </w:r>
    </w:p>
    <w:p>
      <w:pPr>
        <w:tabs>
          <w:tab w:val="left" w:pos="605"/>
          <w:tab w:val="left" w:pos="720"/>
          <w:tab w:val="left" w:pos="993"/>
        </w:tabs>
        <w:spacing w:line="360" w:lineRule="auto"/>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sz w:val="24"/>
          <w:szCs w:val="24"/>
          <w:highlight w:val="none"/>
          <w:lang w:val="en-US" w:eastAsia="zh-CN"/>
        </w:rPr>
        <w:t>水泥企业回转窑筒体表面温度在200-380℃，平均温度为300℃左右。回转窑筒体表面散热占系统表面散热的比例较大，</w:t>
      </w:r>
      <w:r>
        <w:rPr>
          <w:rFonts w:hint="eastAsia" w:ascii="宋体" w:hAnsi="宋体" w:eastAsia="宋体" w:cs="宋体"/>
          <w:sz w:val="24"/>
          <w:szCs w:val="24"/>
          <w:highlight w:val="none"/>
        </w:rPr>
        <w:t>通过</w:t>
      </w:r>
      <w:r>
        <w:rPr>
          <w:rFonts w:hint="eastAsia" w:ascii="宋体" w:hAnsi="宋体" w:eastAsia="宋体" w:cs="宋体"/>
          <w:sz w:val="24"/>
          <w:szCs w:val="24"/>
          <w:highlight w:val="none"/>
          <w:lang w:val="en-US" w:eastAsia="zh-CN"/>
        </w:rPr>
        <w:t>本</w:t>
      </w:r>
      <w:r>
        <w:rPr>
          <w:rFonts w:hint="eastAsia" w:ascii="宋体" w:hAnsi="宋体" w:eastAsia="宋体" w:cs="宋体"/>
          <w:sz w:val="24"/>
          <w:szCs w:val="24"/>
          <w:highlight w:val="none"/>
        </w:rPr>
        <w:t>项目整体研发，</w:t>
      </w:r>
      <w:r>
        <w:rPr>
          <w:rFonts w:hint="eastAsia" w:ascii="宋体" w:hAnsi="宋体" w:eastAsia="宋体" w:cs="宋体"/>
          <w:sz w:val="24"/>
          <w:szCs w:val="24"/>
          <w:highlight w:val="none"/>
          <w:lang w:val="en-US" w:eastAsia="zh-CN"/>
        </w:rPr>
        <w:t>在回转窑筒体上开发设计新型弧形</w:t>
      </w:r>
      <w:r>
        <w:rPr>
          <w:rFonts w:hint="eastAsia" w:ascii="宋体" w:hAnsi="宋体" w:cs="宋体"/>
          <w:sz w:val="24"/>
          <w:szCs w:val="24"/>
          <w:highlight w:val="none"/>
          <w:lang w:val="en-US" w:eastAsia="zh-CN"/>
        </w:rPr>
        <w:t>余热</w:t>
      </w:r>
      <w:r>
        <w:rPr>
          <w:rFonts w:hint="eastAsia" w:ascii="宋体" w:hAnsi="宋体" w:eastAsia="宋体" w:cs="宋体"/>
          <w:sz w:val="24"/>
          <w:szCs w:val="24"/>
          <w:highlight w:val="none"/>
          <w:lang w:val="en-US" w:eastAsia="zh-CN"/>
        </w:rPr>
        <w:t>集热器，充分利用回转窑筒体的热量产生低压饱和蒸汽和高温高压热水直接参与发电</w:t>
      </w:r>
      <w:r>
        <w:rPr>
          <w:rFonts w:hint="eastAsia" w:ascii="宋体" w:hAnsi="宋体" w:cs="宋体"/>
          <w:sz w:val="24"/>
          <w:szCs w:val="24"/>
          <w:highlight w:val="none"/>
          <w:lang w:val="en-US" w:eastAsia="zh-CN"/>
        </w:rPr>
        <w:t>，从而实现提升能源利用率，降低生产成本，提高企业效益，减少碳排放量的目标</w:t>
      </w:r>
      <w:r>
        <w:rPr>
          <w:rFonts w:hint="eastAsia" w:ascii="宋体" w:hAnsi="宋体" w:eastAsia="宋体" w:cs="宋体"/>
          <w:sz w:val="24"/>
          <w:szCs w:val="24"/>
          <w:highlight w:val="none"/>
          <w:lang w:val="en-US" w:eastAsia="zh-CN"/>
        </w:rPr>
        <w:t>。</w:t>
      </w:r>
    </w:p>
    <w:p>
      <w:pPr>
        <w:numPr>
          <w:ilvl w:val="0"/>
          <w:numId w:val="6"/>
        </w:numPr>
        <w:tabs>
          <w:tab w:val="left" w:pos="605"/>
          <w:tab w:val="left" w:pos="720"/>
          <w:tab w:val="left" w:pos="993"/>
        </w:tabs>
        <w:spacing w:line="360" w:lineRule="auto"/>
        <w:ind w:left="240" w:hanging="241" w:hangingChars="1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技术研发内容：</w:t>
      </w:r>
    </w:p>
    <w:p>
      <w:pPr>
        <w:numPr>
          <w:ilvl w:val="0"/>
          <w:numId w:val="0"/>
        </w:numPr>
        <w:tabs>
          <w:tab w:val="left" w:pos="605"/>
          <w:tab w:val="left" w:pos="720"/>
          <w:tab w:val="left" w:pos="993"/>
        </w:tabs>
        <w:spacing w:line="360" w:lineRule="auto"/>
        <w:ind w:leftChars="-10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项目整体研发内容包括</w:t>
      </w:r>
      <w:r>
        <w:rPr>
          <w:rFonts w:hint="eastAsia" w:ascii="宋体" w:hAnsi="宋体" w:eastAsia="宋体" w:cs="宋体"/>
          <w:color w:val="auto"/>
          <w:kern w:val="0"/>
          <w:sz w:val="24"/>
          <w:szCs w:val="24"/>
          <w:highlight w:val="none"/>
          <w:lang w:val="en-US" w:eastAsia="zh-CN"/>
        </w:rPr>
        <w:t>以下</w:t>
      </w:r>
      <w:r>
        <w:rPr>
          <w:rFonts w:hint="eastAsia" w:ascii="宋体" w:hAnsi="宋体" w:cs="宋体"/>
          <w:color w:val="auto"/>
          <w:kern w:val="0"/>
          <w:sz w:val="24"/>
          <w:szCs w:val="24"/>
          <w:highlight w:val="none"/>
          <w:lang w:val="en-US" w:eastAsia="zh-CN"/>
        </w:rPr>
        <w:t>几</w:t>
      </w:r>
      <w:r>
        <w:rPr>
          <w:rFonts w:hint="eastAsia" w:ascii="宋体" w:hAnsi="宋体" w:eastAsia="宋体" w:cs="宋体"/>
          <w:color w:val="auto"/>
          <w:kern w:val="0"/>
          <w:sz w:val="24"/>
          <w:szCs w:val="24"/>
          <w:highlight w:val="none"/>
          <w:lang w:val="en-US" w:eastAsia="zh-CN"/>
        </w:rPr>
        <w:t>个子系统，1)</w:t>
      </w:r>
      <w:r>
        <w:rPr>
          <w:rFonts w:hint="eastAsia" w:ascii="宋体" w:hAnsi="宋体" w:cs="宋体"/>
          <w:color w:val="auto"/>
          <w:kern w:val="0"/>
          <w:sz w:val="24"/>
          <w:szCs w:val="24"/>
          <w:highlight w:val="none"/>
          <w:lang w:val="en-US" w:eastAsia="zh-CN"/>
        </w:rPr>
        <w:t>窑体余热利用集热器系统</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现场仪表及电控系统</w:t>
      </w:r>
      <w:r>
        <w:rPr>
          <w:rFonts w:hint="eastAsia" w:ascii="宋体" w:hAnsi="宋体" w:eastAsia="宋体" w:cs="宋体"/>
          <w:color w:val="auto"/>
          <w:kern w:val="0"/>
          <w:sz w:val="24"/>
          <w:szCs w:val="24"/>
          <w:highlight w:val="none"/>
          <w:lang w:val="en-US" w:eastAsia="zh-CN"/>
        </w:rPr>
        <w:t>; 3)</w:t>
      </w:r>
      <w:r>
        <w:rPr>
          <w:rFonts w:hint="eastAsia" w:ascii="宋体" w:hAnsi="宋体" w:cs="宋体"/>
          <w:color w:val="auto"/>
          <w:kern w:val="0"/>
          <w:sz w:val="24"/>
          <w:szCs w:val="24"/>
          <w:highlight w:val="none"/>
          <w:lang w:val="en-US" w:eastAsia="zh-CN"/>
        </w:rPr>
        <w:t>钢结构支撑及巡检系统；</w:t>
      </w:r>
      <w:r>
        <w:rPr>
          <w:rFonts w:hint="eastAsia" w:ascii="宋体" w:hAnsi="宋体" w:eastAsia="宋体" w:cs="宋体"/>
          <w:color w:val="auto"/>
          <w:kern w:val="0"/>
          <w:sz w:val="24"/>
          <w:szCs w:val="24"/>
          <w:highlight w:val="none"/>
          <w:lang w:val="en-US" w:eastAsia="zh-CN"/>
        </w:rPr>
        <w:t xml:space="preserve"> 4</w:t>
      </w:r>
      <w:r>
        <w:rPr>
          <w:rFonts w:hint="eastAsia" w:ascii="宋体" w:hAnsi="宋体" w:cs="宋体"/>
          <w:color w:val="auto"/>
          <w:kern w:val="0"/>
          <w:sz w:val="24"/>
          <w:szCs w:val="24"/>
          <w:highlight w:val="none"/>
          <w:lang w:val="en-US" w:eastAsia="zh-CN"/>
        </w:rPr>
        <w:t>）自动控制</w:t>
      </w:r>
      <w:r>
        <w:rPr>
          <w:rFonts w:hint="eastAsia" w:ascii="宋体" w:hAnsi="宋体" w:eastAsia="宋体" w:cs="宋体"/>
          <w:color w:val="auto"/>
          <w:kern w:val="0"/>
          <w:sz w:val="24"/>
          <w:szCs w:val="24"/>
          <w:highlight w:val="none"/>
          <w:lang w:val="en-US" w:eastAsia="zh-CN"/>
        </w:rPr>
        <w:t xml:space="preserve">系统 </w:t>
      </w:r>
      <w:r>
        <w:rPr>
          <w:rFonts w:hint="eastAsia" w:ascii="宋体" w:hAnsi="宋体" w:cs="宋体"/>
          <w:color w:val="auto"/>
          <w:kern w:val="0"/>
          <w:sz w:val="24"/>
          <w:szCs w:val="24"/>
          <w:highlight w:val="none"/>
          <w:lang w:val="en-US" w:eastAsia="zh-CN"/>
        </w:rPr>
        <w:t>；5） 外保温系统</w:t>
      </w:r>
      <w:r>
        <w:rPr>
          <w:rFonts w:hint="eastAsia" w:ascii="宋体" w:hAnsi="宋体" w:eastAsia="宋体" w:cs="宋体"/>
          <w:color w:val="auto"/>
          <w:kern w:val="0"/>
          <w:sz w:val="24"/>
          <w:szCs w:val="24"/>
          <w:highlight w:val="none"/>
          <w:lang w:val="en-US" w:eastAsia="zh-CN"/>
        </w:rPr>
        <w:t>;</w:t>
      </w:r>
    </w:p>
    <w:p>
      <w:pPr>
        <w:tabs>
          <w:tab w:val="left" w:pos="605"/>
          <w:tab w:val="left" w:pos="720"/>
          <w:tab w:val="left" w:pos="99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指标</w:t>
      </w:r>
      <w:r>
        <w:rPr>
          <w:rFonts w:hint="eastAsia" w:ascii="宋体" w:hAnsi="宋体" w:eastAsia="宋体" w:cs="宋体"/>
          <w:b/>
          <w:bCs/>
          <w:color w:val="auto"/>
          <w:sz w:val="24"/>
          <w:szCs w:val="24"/>
          <w:highlight w:val="none"/>
        </w:rPr>
        <w:t>要求：</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集热器模块</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 xml:space="preserve">采用中压锅炉钢管，材质为20GB3087。   </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2.受压件全部焊口在制造厂内完成，焊接后100%无损探伤检验，最大程度的保证制造质量。</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3.膜式壁外侧采用100mm的保温。</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4.严格按照锅炉安全技术监察规程相关标准</w:t>
      </w:r>
      <w:r>
        <w:rPr>
          <w:rFonts w:hint="eastAsia" w:ascii="宋体" w:hAnsi="宋体" w:cs="宋体"/>
          <w:sz w:val="24"/>
          <w:szCs w:val="24"/>
          <w:highlight w:val="none"/>
          <w:lang w:val="en-US" w:eastAsia="zh-CN"/>
        </w:rPr>
        <w:t>研发</w:t>
      </w:r>
      <w:r>
        <w:rPr>
          <w:rFonts w:hint="eastAsia" w:ascii="宋体" w:hAnsi="宋体" w:eastAsia="宋体" w:cs="宋体"/>
          <w:sz w:val="24"/>
          <w:szCs w:val="24"/>
          <w:highlight w:val="none"/>
        </w:rPr>
        <w:t>设计、制造，全部受压部分焊接完成后进行水压试验，水压试验压力采用2倍设计压力。</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窑筒体</w:t>
      </w:r>
      <w:r>
        <w:rPr>
          <w:rFonts w:hint="eastAsia" w:ascii="宋体" w:hAnsi="宋体" w:cs="宋体"/>
          <w:sz w:val="24"/>
          <w:szCs w:val="24"/>
          <w:highlight w:val="none"/>
          <w:lang w:val="en-US" w:eastAsia="zh-CN"/>
        </w:rPr>
        <w:t>实施</w:t>
      </w:r>
      <w:r>
        <w:rPr>
          <w:rFonts w:hint="eastAsia" w:ascii="宋体" w:hAnsi="宋体" w:eastAsia="宋体" w:cs="宋体"/>
          <w:sz w:val="24"/>
          <w:szCs w:val="24"/>
          <w:highlight w:val="none"/>
        </w:rPr>
        <w:t>余热回收</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后，窑</w:t>
      </w:r>
      <w:r>
        <w:rPr>
          <w:rFonts w:hint="eastAsia" w:ascii="宋体" w:hAnsi="宋体" w:cs="宋体"/>
          <w:sz w:val="24"/>
          <w:szCs w:val="24"/>
          <w:highlight w:val="none"/>
          <w:lang w:val="en-US" w:eastAsia="zh-CN"/>
        </w:rPr>
        <w:t>筒</w:t>
      </w:r>
      <w:r>
        <w:rPr>
          <w:rFonts w:hint="eastAsia" w:ascii="宋体" w:hAnsi="宋体" w:eastAsia="宋体" w:cs="宋体"/>
          <w:sz w:val="24"/>
          <w:szCs w:val="24"/>
          <w:highlight w:val="none"/>
        </w:rPr>
        <w:t>体温度与安装前</w:t>
      </w:r>
      <w:r>
        <w:rPr>
          <w:rFonts w:hint="eastAsia" w:ascii="宋体" w:hAnsi="宋体" w:cs="宋体"/>
          <w:sz w:val="24"/>
          <w:szCs w:val="24"/>
          <w:highlight w:val="none"/>
          <w:lang w:val="en-US" w:eastAsia="zh-CN"/>
        </w:rPr>
        <w:t>持平</w:t>
      </w:r>
      <w:r>
        <w:rPr>
          <w:rFonts w:hint="eastAsia" w:ascii="宋体" w:hAnsi="宋体" w:eastAsia="宋体" w:cs="宋体"/>
          <w:sz w:val="24"/>
          <w:szCs w:val="24"/>
          <w:highlight w:val="none"/>
        </w:rPr>
        <w:t>。如遇特殊情况，窑体温度超过安全使用温度，开启风机使窑体降温，保证窑</w:t>
      </w:r>
      <w:r>
        <w:rPr>
          <w:rFonts w:hint="eastAsia" w:ascii="宋体" w:hAnsi="宋体" w:cs="宋体"/>
          <w:sz w:val="24"/>
          <w:szCs w:val="24"/>
          <w:highlight w:val="none"/>
          <w:lang w:val="en-US" w:eastAsia="zh-CN"/>
        </w:rPr>
        <w:t>筒</w:t>
      </w:r>
      <w:r>
        <w:rPr>
          <w:rFonts w:hint="eastAsia" w:ascii="宋体" w:hAnsi="宋体" w:eastAsia="宋体" w:cs="宋体"/>
          <w:sz w:val="24"/>
          <w:szCs w:val="24"/>
          <w:highlight w:val="none"/>
        </w:rPr>
        <w:t>体温度在合理范围内，水泥窑正常运行，同时余热回收装置也可以正常使用</w:t>
      </w:r>
      <w:r>
        <w:rPr>
          <w:rFonts w:hint="eastAsia" w:ascii="宋体" w:hAnsi="宋体" w:cs="宋体"/>
          <w:sz w:val="24"/>
          <w:szCs w:val="24"/>
          <w:highlight w:val="none"/>
          <w:lang w:eastAsia="zh-CN"/>
        </w:rPr>
        <w:t>。</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窑体外侧加装的余热回收装置为C型，预留筒体扫描区域，不影响筒体正常温度扫描</w:t>
      </w:r>
      <w:r>
        <w:rPr>
          <w:rFonts w:hint="eastAsia" w:ascii="宋体" w:hAnsi="宋体" w:cs="宋体"/>
          <w:sz w:val="24"/>
          <w:szCs w:val="24"/>
          <w:highlight w:val="none"/>
          <w:lang w:eastAsia="zh-CN"/>
        </w:rPr>
        <w:t>。</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3.7</w:t>
      </w:r>
      <w:r>
        <w:rPr>
          <w:rFonts w:hint="eastAsia" w:ascii="宋体" w:hAnsi="宋体" w:eastAsia="宋体" w:cs="宋体"/>
          <w:sz w:val="24"/>
          <w:szCs w:val="24"/>
          <w:highlight w:val="none"/>
        </w:rPr>
        <w:t>项目实施后水泥窑</w:t>
      </w:r>
      <w:r>
        <w:rPr>
          <w:rFonts w:hint="eastAsia" w:ascii="宋体" w:hAnsi="宋体" w:cs="宋体"/>
          <w:sz w:val="24"/>
          <w:szCs w:val="24"/>
          <w:highlight w:val="none"/>
          <w:lang w:val="en-US" w:eastAsia="zh-CN"/>
        </w:rPr>
        <w:t>余热发电系统</w:t>
      </w:r>
      <w:r>
        <w:rPr>
          <w:rFonts w:hint="eastAsia" w:ascii="宋体" w:hAnsi="宋体" w:eastAsia="宋体" w:cs="宋体"/>
          <w:sz w:val="24"/>
          <w:szCs w:val="24"/>
          <w:highlight w:val="none"/>
        </w:rPr>
        <w:t>日增加发电量</w:t>
      </w:r>
      <w:r>
        <w:rPr>
          <w:rFonts w:hint="eastAsia" w:ascii="宋体" w:hAnsi="宋体" w:cs="宋体"/>
          <w:sz w:val="24"/>
          <w:szCs w:val="24"/>
          <w:highlight w:val="none"/>
          <w:lang w:val="en-US" w:eastAsia="zh-CN"/>
        </w:rPr>
        <w:t>10800</w:t>
      </w:r>
      <w:r>
        <w:rPr>
          <w:rFonts w:hint="eastAsia" w:ascii="宋体" w:hAnsi="宋体" w:eastAsia="宋体" w:cs="宋体"/>
          <w:sz w:val="24"/>
          <w:szCs w:val="24"/>
          <w:highlight w:val="none"/>
        </w:rPr>
        <w:t>kW</w:t>
      </w:r>
      <w:r>
        <w:rPr>
          <w:rFonts w:hint="eastAsia" w:ascii="宋体" w:hAnsi="宋体" w:cs="宋体"/>
          <w:sz w:val="24"/>
          <w:szCs w:val="24"/>
          <w:highlight w:val="none"/>
          <w:lang w:val="en-US" w:eastAsia="zh-CN"/>
        </w:rPr>
        <w:t>h（换算台时发电量增加450kwh）</w:t>
      </w:r>
      <w:r>
        <w:rPr>
          <w:rFonts w:hint="eastAsia" w:ascii="宋体" w:hAnsi="宋体" w:eastAsia="宋体" w:cs="宋体"/>
          <w:sz w:val="24"/>
          <w:szCs w:val="24"/>
          <w:highlight w:val="none"/>
        </w:rPr>
        <w:t>以上</w:t>
      </w:r>
      <w:r>
        <w:rPr>
          <w:rFonts w:hint="eastAsia" w:ascii="宋体" w:hAnsi="宋体" w:cs="宋体"/>
          <w:sz w:val="24"/>
          <w:szCs w:val="24"/>
          <w:highlight w:val="none"/>
          <w:lang w:eastAsia="zh-CN"/>
        </w:rPr>
        <w:t>。</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r>
        <w:rPr>
          <w:rFonts w:hint="eastAsia" w:ascii="宋体" w:hAnsi="宋体" w:eastAsia="宋体" w:cs="宋体"/>
          <w:sz w:val="24"/>
          <w:szCs w:val="24"/>
          <w:highlight w:val="none"/>
        </w:rPr>
        <w:t>项目实施后在不停窑的情况下可以拆卸。</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窑筒体热回收装置需满足甲方现有锅炉的技术要求。</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3.10.</w:t>
      </w:r>
      <w:r>
        <w:rPr>
          <w:rFonts w:hint="eastAsia" w:ascii="宋体" w:hAnsi="宋体" w:eastAsia="宋体" w:cs="宋体"/>
          <w:sz w:val="24"/>
          <w:szCs w:val="24"/>
          <w:highlight w:val="none"/>
        </w:rPr>
        <w:t>技术合同备案：签订合同后，乙方负责在乙方注册地市级以上科技主管部门完成技术合同认定备案，并向甲方提供备案表原件。</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3.11. </w:t>
      </w:r>
      <w:r>
        <w:rPr>
          <w:rFonts w:hint="eastAsia" w:hAnsi="宋体" w:cs="宋体"/>
          <w:sz w:val="24"/>
          <w:szCs w:val="24"/>
          <w:highlight w:val="none"/>
          <w:lang w:val="en-US" w:eastAsia="zh-CN"/>
        </w:rPr>
        <w:t>新增窑筒体集热锅炉备案：</w:t>
      </w:r>
      <w:r>
        <w:rPr>
          <w:rFonts w:hint="eastAsia" w:ascii="宋体" w:hAnsi="宋体" w:eastAsia="宋体" w:cs="宋体"/>
          <w:sz w:val="24"/>
          <w:szCs w:val="24"/>
          <w:highlight w:val="none"/>
        </w:rPr>
        <w:t>乙方负责在</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rPr>
        <w:t>方注册地市级以上</w:t>
      </w:r>
      <w:r>
        <w:rPr>
          <w:rFonts w:hint="eastAsia" w:ascii="宋体" w:hAnsi="宋体" w:cs="宋体"/>
          <w:sz w:val="24"/>
          <w:szCs w:val="24"/>
          <w:highlight w:val="none"/>
          <w:lang w:val="en-US" w:eastAsia="zh-CN"/>
        </w:rPr>
        <w:t>特种设备检验所</w:t>
      </w:r>
      <w:r>
        <w:rPr>
          <w:rFonts w:hint="eastAsia" w:ascii="宋体" w:hAnsi="宋体" w:eastAsia="宋体" w:cs="宋体"/>
          <w:sz w:val="24"/>
          <w:szCs w:val="24"/>
          <w:highlight w:val="none"/>
        </w:rPr>
        <w:t>备案，并向甲方提供备案表原件。</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（注：以上技术</w:t>
      </w:r>
      <w:r>
        <w:rPr>
          <w:rFonts w:hint="eastAsia" w:ascii="宋体" w:hAnsi="宋体" w:eastAsia="宋体" w:cs="宋体"/>
          <w:sz w:val="24"/>
          <w:szCs w:val="24"/>
          <w:highlight w:val="none"/>
          <w:lang w:val="en-US" w:eastAsia="zh-CN"/>
        </w:rPr>
        <w:t>指标</w:t>
      </w:r>
      <w:r>
        <w:rPr>
          <w:rFonts w:hint="eastAsia" w:ascii="宋体" w:hAnsi="宋体" w:eastAsia="宋体" w:cs="宋体"/>
          <w:sz w:val="24"/>
          <w:szCs w:val="24"/>
          <w:highlight w:val="none"/>
        </w:rPr>
        <w:t>要求中的参数、指标为基本要求，投标人根据设备性能提供实际参数和保证指标，投标人提供的参数和保证指标将作为评分依据和中标后的考核依据。投标文件须明确注明正、负偏离）</w:t>
      </w:r>
    </w:p>
    <w:p>
      <w:pPr>
        <w:pageBreakBefore w:val="0"/>
        <w:widowControl w:val="0"/>
        <w:tabs>
          <w:tab w:val="left" w:pos="720"/>
        </w:tabs>
        <w:kinsoku/>
        <w:wordWrap/>
        <w:overflowPunct/>
        <w:topLinePunct w:val="0"/>
        <w:bidi w:val="0"/>
        <w:snapToGrid/>
        <w:spacing w:line="360"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、通用技术要求</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1.卖方提供的所有设备应是崭新的、设计合理、制造精良、使用寿命长、安全可靠、能长期安全运转，没有异常的变形、震动、腐蚀及操作困难等现象。</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2.卖方提供的所有设备应是先进的、具有成熟操作经验的产品。</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除特殊说明外，卖方所提供的设备。应具有3年以上的运行经验，那些实际上是试制品的设备，买方不予接受。对于易磨损件、易腐蚀件或其他易损坏和消耗部件或经常调整、检查、维修的部件，应便于移动、修理和更换，所有这些部件应用合适的材料制造，使得其维修量最小。（根据实际情况修改）</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4.卖方应提供完整的、最新制造的设备，不限于以下内容：</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用于系统的每台设备之间的所有联接件和完整系统的零部件；</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配置进出口配对法兰，及整体法兰密封垫（发泡橡胶或橡胶垫，不接受石棉绳密封），以及两个法兰连接的所有螺栓，在两对法兰外再配盲板，以防止在运输过程中有异物进入）；</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设备安装所需的所有地脚螺栓、螺母、垫片、楔块、垫板等；</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设备本体的装配螺栓、螺母、垫片、密封垫及与买方设备连接的部件如配对法兰等；</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设备的平台、栏杆和梯子等结构件；</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设备的所有必要的安全装置；</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设备外露运动部件必须按照 GB 或 ISO 安全标准配置必要的防护网（罩）。</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设备的传动装置应包括底板、电动机底座、电动机、电动机启动装置、减速机、联轴器、链轮、齿轮、链条、V 型皮带、V 型皮带轮及罩子等；</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设备的压缩空气、油、水和电气等各种仪表；</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系统中的仪表（测速器、压力表、温度计、传感器、变送器、测震仪等）；</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安装在所供设备上的压缩空气、油、水管道上的阀门、管道元件及附件；</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混凝土结构中的特殊预埋件和固定件；</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安装和维修用特殊焊条、专用工具和易耗品； </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必要的消音器和隔音罩。</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5.所有重型部件应考虑在安装和维修期间便于起吊和装运，诸如与设备配套的吊耳或球形螺栓、螺母等。</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6.所有使用的材料应符合技术要求，应为新的、未使用的、高质量的，且不得有裂逢、沙眼、斑点等有害缺陷。铸件和锻件应满足其材料的技术要求和机械加工精度。</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7.所有设备的噪音值不得超过现行 GB 或 ISO 标准中的规定。</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8.上述的技术要求，同样也构成了买方对卖方总的供货要求的另一同等概念。</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9. 所有设备须配置双法兰及螺栓副。</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10.所有的设备和部件都应在较易接近的位置设置防锈抗腐蚀并能长期保存的金属铭牌，铭牌上刻有的内容应包括：编号、设备名称、型号规格、主要技术性能、制造厂名、出厂日期。</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11.所有轴承均应设有可靠的润滑和密封措施，所有液压控制装置均要防尘。</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12.卖方在中标后应提供全部设备及另零部件清单、易损件的材质及使用寿命，工程设计所提供的设备必须符合水泥企业安全生产标准化一级安标要求：</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钢梯、栏杆的高度；</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管道标识、管道的油漆颜色、介质流向等标识清楚；</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电缆、桥架，电气接地、防雷措施等；</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施工范围的边缘、空洞等各种防护措施；</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设备的所有必要的安全装置；</w:t>
      </w:r>
    </w:p>
    <w:p>
      <w:pPr>
        <w:pageBreakBefore w:val="0"/>
        <w:widowControl w:val="0"/>
        <w:tabs>
          <w:tab w:val="left" w:pos="720"/>
        </w:tabs>
        <w:kinsoku/>
        <w:wordWrap/>
        <w:overflowPunct/>
        <w:topLinePunct w:val="0"/>
        <w:bidi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设备图纸及操作维护说明书。</w:t>
      </w:r>
    </w:p>
    <w:p>
      <w:pPr>
        <w:pageBreakBefore w:val="0"/>
        <w:widowControl w:val="0"/>
        <w:tabs>
          <w:tab w:val="left" w:pos="720"/>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4.13</w:t>
      </w:r>
      <w:r>
        <w:rPr>
          <w:rFonts w:hint="eastAsia" w:ascii="宋体" w:hAnsi="宋体" w:eastAsia="宋体" w:cs="宋体"/>
          <w:sz w:val="24"/>
          <w:szCs w:val="24"/>
          <w:highlight w:val="none"/>
        </w:rPr>
        <w:t>参照标准</w:t>
      </w:r>
    </w:p>
    <w:p>
      <w:pPr>
        <w:pStyle w:val="450"/>
        <w:keepNext w:val="0"/>
        <w:keepLines w:val="0"/>
        <w:pageBreakBefore w:val="0"/>
        <w:kinsoku/>
        <w:wordWrap/>
        <w:topLinePunct w:val="0"/>
        <w:bidi w:val="0"/>
        <w:snapToGrid/>
        <w:spacing w:before="120" w:line="360" w:lineRule="auto"/>
        <w:ind w:left="124" w:leftChars="59" w:firstLine="480"/>
        <w:rPr>
          <w:rStyle w:val="451"/>
          <w:rFonts w:hint="default"/>
          <w:color w:val="FF0000"/>
        </w:rPr>
      </w:pPr>
      <w:r>
        <w:rPr>
          <w:rFonts w:ascii="宋体" w:hAnsi="宋体"/>
        </w:rPr>
        <w:t>本规定中引用的标准，应是在本合同投标截止日期之前 28 天尚在通用的最新版本。所有提供的设备和制作工艺是与国际标准化组织及国际电气技术委员会已颁布的标准有关的，即使标准没有在本规定中引用，设备也应根据这些标准制作，除非另有说明。这些标准应包括：</w:t>
      </w:r>
    </w:p>
    <w:p>
      <w:pPr>
        <w:keepNext w:val="0"/>
        <w:keepLines w:val="0"/>
        <w:pageBreakBefore w:val="0"/>
        <w:numPr>
          <w:ilvl w:val="0"/>
          <w:numId w:val="0"/>
        </w:numPr>
        <w:kinsoku/>
        <w:wordWrap/>
        <w:topLinePunct w:val="0"/>
        <w:bidi w:val="0"/>
        <w:snapToGrid/>
        <w:spacing w:before="120" w:line="360" w:lineRule="auto"/>
        <w:rPr>
          <w:rStyle w:val="451"/>
          <w:rFonts w:hint="default"/>
          <w:color w:val="auto"/>
          <w:sz w:val="24"/>
          <w:szCs w:val="24"/>
        </w:rPr>
      </w:pPr>
      <w:r>
        <w:rPr>
          <w:rStyle w:val="451"/>
          <w:rFonts w:hint="eastAsia"/>
          <w:color w:val="auto"/>
          <w:sz w:val="24"/>
          <w:szCs w:val="24"/>
          <w:lang w:val="en-US" w:eastAsia="zh-CN"/>
        </w:rPr>
        <w:t>4.13.1.</w:t>
      </w:r>
      <w:r>
        <w:rPr>
          <w:rStyle w:val="451"/>
          <w:rFonts w:hint="default"/>
          <w:color w:val="auto"/>
          <w:sz w:val="24"/>
          <w:szCs w:val="24"/>
        </w:rPr>
        <w:t>中国国家标准；</w:t>
      </w:r>
    </w:p>
    <w:p>
      <w:pPr>
        <w:keepNext w:val="0"/>
        <w:keepLines w:val="0"/>
        <w:pageBreakBefore w:val="0"/>
        <w:numPr>
          <w:ilvl w:val="0"/>
          <w:numId w:val="0"/>
        </w:numPr>
        <w:kinsoku/>
        <w:wordWrap/>
        <w:topLinePunct w:val="0"/>
        <w:bidi w:val="0"/>
        <w:snapToGrid/>
        <w:spacing w:before="120" w:line="360" w:lineRule="auto"/>
        <w:rPr>
          <w:rStyle w:val="452"/>
          <w:rFonts w:ascii="宋体" w:hAnsi="宋体" w:cs="Times New Roman"/>
          <w:color w:val="auto"/>
          <w:sz w:val="24"/>
          <w:szCs w:val="24"/>
        </w:rPr>
      </w:pPr>
      <w:r>
        <w:rPr>
          <w:rStyle w:val="451"/>
          <w:rFonts w:hint="eastAsia"/>
          <w:color w:val="auto"/>
          <w:sz w:val="24"/>
          <w:szCs w:val="24"/>
          <w:lang w:val="en-US" w:eastAsia="zh-CN"/>
        </w:rPr>
        <w:t>4.13.2.</w:t>
      </w:r>
      <w:r>
        <w:rPr>
          <w:rStyle w:val="451"/>
          <w:rFonts w:hint="default"/>
          <w:color w:val="auto"/>
          <w:sz w:val="24"/>
          <w:szCs w:val="24"/>
        </w:rPr>
        <w:t>其它认可的中国标准、行业标准；</w:t>
      </w:r>
    </w:p>
    <w:p>
      <w:pPr>
        <w:keepNext w:val="0"/>
        <w:keepLines w:val="0"/>
        <w:pageBreakBefore w:val="0"/>
        <w:numPr>
          <w:ilvl w:val="0"/>
          <w:numId w:val="0"/>
        </w:numPr>
        <w:kinsoku/>
        <w:wordWrap/>
        <w:topLinePunct w:val="0"/>
        <w:bidi w:val="0"/>
        <w:snapToGrid/>
        <w:spacing w:before="120" w:line="360" w:lineRule="auto"/>
        <w:rPr>
          <w:rStyle w:val="452"/>
          <w:rFonts w:hint="eastAsia" w:ascii="宋体" w:hAnsi="宋体"/>
          <w:color w:val="auto"/>
          <w:sz w:val="24"/>
          <w:szCs w:val="24"/>
        </w:rPr>
      </w:pPr>
      <w:r>
        <w:rPr>
          <w:rStyle w:val="451"/>
          <w:rFonts w:hint="eastAsia"/>
          <w:color w:val="auto"/>
          <w:sz w:val="24"/>
          <w:szCs w:val="24"/>
          <w:lang w:val="en-US" w:eastAsia="zh-CN"/>
        </w:rPr>
        <w:t>4.13.3.</w:t>
      </w:r>
      <w:r>
        <w:rPr>
          <w:rStyle w:val="451"/>
          <w:rFonts w:hint="default"/>
          <w:color w:val="auto"/>
          <w:sz w:val="24"/>
          <w:szCs w:val="24"/>
        </w:rPr>
        <w:t xml:space="preserve">国际标准化组织标准 </w:t>
      </w:r>
      <w:r>
        <w:rPr>
          <w:rStyle w:val="452"/>
          <w:rFonts w:ascii="宋体" w:hAnsi="宋体"/>
          <w:color w:val="auto"/>
          <w:sz w:val="24"/>
          <w:szCs w:val="24"/>
        </w:rPr>
        <w:t>ISO</w:t>
      </w:r>
      <w:r>
        <w:rPr>
          <w:rStyle w:val="452"/>
          <w:rFonts w:hint="eastAsia" w:ascii="宋体" w:hAnsi="宋体"/>
          <w:color w:val="auto"/>
          <w:sz w:val="24"/>
          <w:szCs w:val="24"/>
        </w:rPr>
        <w:t>，</w:t>
      </w:r>
      <w:r>
        <w:rPr>
          <w:rStyle w:val="452"/>
          <w:rFonts w:ascii="宋体" w:hAnsi="宋体"/>
          <w:color w:val="auto"/>
          <w:sz w:val="24"/>
          <w:szCs w:val="24"/>
        </w:rPr>
        <w:t>DIN</w:t>
      </w:r>
      <w:r>
        <w:rPr>
          <w:rStyle w:val="452"/>
          <w:rFonts w:hint="eastAsia" w:ascii="宋体" w:hAnsi="宋体"/>
          <w:color w:val="auto"/>
          <w:sz w:val="24"/>
          <w:szCs w:val="24"/>
        </w:rPr>
        <w:t>，</w:t>
      </w:r>
      <w:r>
        <w:rPr>
          <w:rStyle w:val="452"/>
          <w:rFonts w:ascii="宋体" w:hAnsi="宋体"/>
          <w:color w:val="auto"/>
          <w:sz w:val="24"/>
          <w:szCs w:val="24"/>
        </w:rPr>
        <w:t>BS</w:t>
      </w:r>
      <w:r>
        <w:rPr>
          <w:rStyle w:val="452"/>
          <w:rFonts w:hint="eastAsia" w:ascii="宋体" w:hAnsi="宋体"/>
          <w:color w:val="auto"/>
          <w:sz w:val="24"/>
          <w:szCs w:val="24"/>
        </w:rPr>
        <w:t>，</w:t>
      </w:r>
      <w:r>
        <w:rPr>
          <w:rStyle w:val="452"/>
          <w:rFonts w:ascii="宋体" w:hAnsi="宋体"/>
          <w:color w:val="auto"/>
          <w:sz w:val="24"/>
          <w:szCs w:val="24"/>
        </w:rPr>
        <w:t>JIS</w:t>
      </w:r>
      <w:r>
        <w:rPr>
          <w:rStyle w:val="452"/>
          <w:rFonts w:hint="eastAsia" w:ascii="宋体" w:hAnsi="宋体"/>
          <w:color w:val="auto"/>
          <w:sz w:val="24"/>
          <w:szCs w:val="24"/>
        </w:rPr>
        <w:t>，</w:t>
      </w:r>
      <w:r>
        <w:rPr>
          <w:rStyle w:val="452"/>
          <w:rFonts w:ascii="宋体" w:hAnsi="宋体"/>
          <w:color w:val="auto"/>
          <w:sz w:val="24"/>
          <w:szCs w:val="24"/>
        </w:rPr>
        <w:t>ASTM</w:t>
      </w:r>
      <w:r>
        <w:rPr>
          <w:rStyle w:val="452"/>
          <w:rFonts w:hint="eastAsia" w:ascii="宋体" w:hAnsi="宋体"/>
          <w:color w:val="auto"/>
          <w:sz w:val="24"/>
          <w:szCs w:val="24"/>
        </w:rPr>
        <w:t>，</w:t>
      </w:r>
      <w:r>
        <w:rPr>
          <w:rStyle w:val="452"/>
          <w:rFonts w:ascii="宋体" w:hAnsi="宋体"/>
          <w:color w:val="auto"/>
          <w:sz w:val="24"/>
          <w:szCs w:val="24"/>
        </w:rPr>
        <w:t>AFNOR</w:t>
      </w:r>
      <w:r>
        <w:rPr>
          <w:rStyle w:val="452"/>
          <w:rFonts w:hint="eastAsia" w:ascii="宋体" w:hAnsi="宋体"/>
          <w:color w:val="auto"/>
          <w:sz w:val="24"/>
          <w:szCs w:val="24"/>
        </w:rPr>
        <w:t>；</w:t>
      </w:r>
    </w:p>
    <w:p>
      <w:pPr>
        <w:keepNext w:val="0"/>
        <w:keepLines w:val="0"/>
        <w:pageBreakBefore w:val="0"/>
        <w:numPr>
          <w:ilvl w:val="0"/>
          <w:numId w:val="0"/>
        </w:numPr>
        <w:kinsoku/>
        <w:wordWrap/>
        <w:topLinePunct w:val="0"/>
        <w:bidi w:val="0"/>
        <w:snapToGrid/>
        <w:spacing w:before="120" w:line="360" w:lineRule="auto"/>
        <w:rPr>
          <w:rStyle w:val="451"/>
          <w:rFonts w:hint="default"/>
          <w:color w:val="auto"/>
          <w:sz w:val="24"/>
          <w:szCs w:val="24"/>
        </w:rPr>
      </w:pPr>
      <w:r>
        <w:rPr>
          <w:rStyle w:val="451"/>
          <w:rFonts w:hint="eastAsia"/>
          <w:color w:val="auto"/>
          <w:sz w:val="24"/>
          <w:szCs w:val="24"/>
          <w:lang w:val="en-US" w:eastAsia="zh-CN"/>
        </w:rPr>
        <w:t>4.13.4</w:t>
      </w:r>
      <w:r>
        <w:rPr>
          <w:rStyle w:val="451"/>
          <w:rFonts w:hint="default"/>
          <w:color w:val="auto"/>
          <w:sz w:val="24"/>
          <w:szCs w:val="24"/>
        </w:rPr>
        <w:t>国际电工技术委员会标准；</w:t>
      </w:r>
    </w:p>
    <w:p>
      <w:pPr>
        <w:keepNext w:val="0"/>
        <w:keepLines w:val="0"/>
        <w:pageBreakBefore w:val="0"/>
        <w:numPr>
          <w:ilvl w:val="0"/>
          <w:numId w:val="0"/>
        </w:numPr>
        <w:kinsoku/>
        <w:wordWrap/>
        <w:topLinePunct w:val="0"/>
        <w:bidi w:val="0"/>
        <w:snapToGrid/>
        <w:spacing w:before="120" w:line="360" w:lineRule="auto"/>
        <w:rPr>
          <w:rFonts w:hint="eastAsia" w:ascii="宋体" w:hAnsi="宋体"/>
        </w:rPr>
      </w:pPr>
      <w:r>
        <w:rPr>
          <w:rStyle w:val="451"/>
          <w:rFonts w:hint="eastAsia"/>
          <w:color w:val="auto"/>
          <w:sz w:val="24"/>
          <w:szCs w:val="24"/>
          <w:lang w:val="en-US" w:eastAsia="zh-CN"/>
        </w:rPr>
        <w:t>4.13.5</w:t>
      </w:r>
      <w:r>
        <w:rPr>
          <w:rStyle w:val="451"/>
          <w:rFonts w:hint="default"/>
          <w:color w:val="auto"/>
          <w:sz w:val="24"/>
          <w:szCs w:val="24"/>
        </w:rPr>
        <w:t>其它国家的权威标准</w:t>
      </w:r>
    </w:p>
    <w:p>
      <w:pPr>
        <w:pStyle w:val="4"/>
        <w:pageBreakBefore w:val="0"/>
        <w:widowControl w:val="0"/>
        <w:kinsoku/>
        <w:wordWrap/>
        <w:overflowPunct/>
        <w:topLinePunct w:val="0"/>
        <w:autoSpaceDE w:val="0"/>
        <w:autoSpaceDN w:val="0"/>
        <w:bidi w:val="0"/>
        <w:snapToGrid/>
        <w:spacing w:before="0" w:after="0" w:line="360" w:lineRule="auto"/>
        <w:ind w:left="0"/>
        <w:rPr>
          <w:rFonts w:hint="eastAsia" w:ascii="宋体" w:hAnsi="宋体" w:eastAsia="宋体" w:cs="Times New Roman"/>
          <w:b/>
          <w:bCs w:val="0"/>
          <w:kern w:val="2"/>
          <w:sz w:val="24"/>
          <w:szCs w:val="32"/>
          <w:lang w:val="en-US" w:eastAsia="zh-CN" w:bidi="ar-SA"/>
        </w:rPr>
      </w:pPr>
      <w:bookmarkStart w:id="38" w:name="_Toc97894368"/>
      <w:r>
        <w:rPr>
          <w:rFonts w:hint="eastAsia" w:ascii="宋体" w:hAnsi="宋体" w:eastAsia="宋体" w:cs="Times New Roman"/>
          <w:b/>
          <w:bCs w:val="0"/>
          <w:kern w:val="2"/>
          <w:sz w:val="24"/>
          <w:szCs w:val="32"/>
          <w:lang w:val="en-US" w:eastAsia="zh-CN" w:bidi="ar-SA"/>
        </w:rPr>
        <w:t>5、技术服务要求</w:t>
      </w:r>
      <w:bookmarkEnd w:id="38"/>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bottom"/>
        <w:rPr>
          <w:rFonts w:hint="eastAsia" w:ascii="宋体" w:hAnsi="宋体" w:eastAsia="宋体" w:cs="Times New Roman"/>
          <w:kern w:val="0"/>
          <w:sz w:val="24"/>
          <w:szCs w:val="20"/>
          <w:lang w:val="fr-FR" w:eastAsia="zh-CN" w:bidi="ar-SA"/>
        </w:rPr>
      </w:pPr>
      <w:bookmarkStart w:id="39" w:name="_Hlt33858369"/>
      <w:bookmarkEnd w:id="39"/>
      <w:r>
        <w:rPr>
          <w:rFonts w:hint="eastAsia" w:ascii="宋体" w:hAnsi="宋体" w:cs="Times New Roman"/>
          <w:kern w:val="0"/>
          <w:sz w:val="24"/>
          <w:szCs w:val="20"/>
          <w:lang w:val="en-US" w:eastAsia="zh-CN" w:bidi="ar-SA"/>
        </w:rPr>
        <w:t>5.1.</w:t>
      </w:r>
      <w:r>
        <w:rPr>
          <w:rFonts w:hint="eastAsia" w:ascii="宋体" w:hAnsi="宋体" w:eastAsia="宋体" w:cs="Times New Roman"/>
          <w:kern w:val="0"/>
          <w:sz w:val="24"/>
          <w:szCs w:val="20"/>
          <w:lang w:val="en-US" w:eastAsia="zh-CN" w:bidi="ar-SA"/>
        </w:rPr>
        <w:t>乙方应派遣技术人员到现场</w:t>
      </w:r>
      <w:r>
        <w:rPr>
          <w:rFonts w:hint="eastAsia" w:ascii="宋体" w:hAnsi="宋体" w:eastAsia="宋体" w:cs="Times New Roman"/>
          <w:kern w:val="0"/>
          <w:sz w:val="24"/>
          <w:szCs w:val="20"/>
          <w:lang w:val="fr-FR" w:eastAsia="zh-CN" w:bidi="ar-SA"/>
        </w:rPr>
        <w:t>为甲方指定的人员提供技术指导和培训，或提供与使用该项目研发成果相关的技术服务。</w:t>
      </w:r>
    </w:p>
    <w:p>
      <w:pPr>
        <w:keepNext w:val="0"/>
        <w:keepLines w:val="0"/>
        <w:pageBreakBefore w:val="0"/>
        <w:widowControl w:val="0"/>
        <w:kinsoku/>
        <w:wordWrap/>
        <w:overflowPunct/>
        <w:topLinePunct w:val="0"/>
        <w:autoSpaceDE w:val="0"/>
        <w:autoSpaceDN w:val="0"/>
        <w:bidi w:val="0"/>
        <w:adjustRightInd/>
        <w:snapToGrid/>
        <w:spacing w:line="360" w:lineRule="auto"/>
        <w:ind w:left="0"/>
        <w:textAlignment w:val="bottom"/>
        <w:rPr>
          <w:rFonts w:hint="eastAsia" w:ascii="宋体" w:hAnsi="宋体" w:eastAsia="宋体" w:cs="Times New Roman"/>
          <w:kern w:val="0"/>
          <w:sz w:val="24"/>
          <w:szCs w:val="20"/>
          <w:lang w:val="fr-FR" w:eastAsia="zh-CN" w:bidi="ar-SA"/>
        </w:rPr>
      </w:pPr>
      <w:r>
        <w:rPr>
          <w:rFonts w:hint="eastAsia" w:ascii="宋体" w:hAnsi="宋体" w:eastAsia="宋体" w:cs="Times New Roman"/>
          <w:kern w:val="0"/>
          <w:sz w:val="24"/>
          <w:szCs w:val="20"/>
          <w:lang w:val="fr-FR" w:eastAsia="zh-CN" w:bidi="ar-SA"/>
        </w:rPr>
        <w:t>其内容包括：</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bottom"/>
        <w:rPr>
          <w:rFonts w:ascii="宋体" w:hAnsi="宋体" w:eastAsia="宋体" w:cs="Times New Roman"/>
          <w:kern w:val="0"/>
          <w:sz w:val="24"/>
          <w:szCs w:val="20"/>
          <w:lang w:val="fr-FR" w:eastAsia="zh-CN" w:bidi="ar-SA"/>
        </w:rPr>
      </w:pPr>
      <w:r>
        <w:rPr>
          <w:rFonts w:hint="eastAsia" w:ascii="宋体" w:hAnsi="宋体" w:cs="Times New Roman"/>
          <w:kern w:val="0"/>
          <w:sz w:val="24"/>
          <w:szCs w:val="20"/>
          <w:lang w:val="en-US" w:eastAsia="zh-CN" w:bidi="ar-SA"/>
        </w:rPr>
        <w:t>1）</w:t>
      </w:r>
      <w:r>
        <w:rPr>
          <w:rFonts w:hint="eastAsia" w:ascii="宋体" w:hAnsi="宋体" w:eastAsia="宋体" w:cs="Times New Roman"/>
          <w:kern w:val="0"/>
          <w:sz w:val="24"/>
          <w:szCs w:val="20"/>
          <w:lang w:val="fr-FR" w:eastAsia="zh-CN" w:bidi="ar-SA"/>
        </w:rPr>
        <w:t>卖方</w:t>
      </w:r>
      <w:r>
        <w:rPr>
          <w:rFonts w:ascii="宋体" w:hAnsi="宋体" w:eastAsia="宋体" w:cs="Times New Roman"/>
          <w:kern w:val="0"/>
          <w:sz w:val="24"/>
          <w:szCs w:val="20"/>
          <w:lang w:val="fr-FR" w:eastAsia="zh-CN" w:bidi="ar-SA"/>
        </w:rPr>
        <w:t>技术人员</w:t>
      </w:r>
      <w:r>
        <w:rPr>
          <w:rFonts w:hint="eastAsia" w:ascii="宋体" w:hAnsi="宋体" w:eastAsia="宋体" w:cs="Times New Roman"/>
          <w:kern w:val="0"/>
          <w:sz w:val="24"/>
          <w:szCs w:val="20"/>
          <w:lang w:val="fr-FR" w:eastAsia="zh-CN" w:bidi="ar-SA"/>
        </w:rPr>
        <w:t>应详细解释有关技术资料、图纸、操作手册及注意事项等；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line="360" w:lineRule="auto"/>
        <w:ind w:leftChars="0" w:firstLine="240" w:firstLineChars="100"/>
        <w:jc w:val="left"/>
        <w:textAlignment w:val="bottom"/>
        <w:rPr>
          <w:rFonts w:hint="eastAsia" w:ascii="宋体" w:hAnsi="宋体" w:eastAsia="宋体" w:cs="Times New Roman"/>
          <w:kern w:val="0"/>
          <w:sz w:val="24"/>
          <w:szCs w:val="20"/>
          <w:lang w:val="fr-FR" w:eastAsia="zh-CN" w:bidi="ar-SA"/>
        </w:rPr>
      </w:pPr>
      <w:r>
        <w:rPr>
          <w:rFonts w:hint="eastAsia" w:ascii="宋体" w:hAnsi="宋体" w:cs="Times New Roman"/>
          <w:kern w:val="0"/>
          <w:sz w:val="24"/>
          <w:szCs w:val="20"/>
          <w:lang w:val="en-US" w:eastAsia="zh-CN" w:bidi="ar-SA"/>
        </w:rPr>
        <w:t>2）</w:t>
      </w:r>
      <w:r>
        <w:rPr>
          <w:rFonts w:hint="eastAsia" w:ascii="宋体" w:hAnsi="宋体" w:eastAsia="宋体" w:cs="Times New Roman"/>
          <w:kern w:val="0"/>
          <w:sz w:val="24"/>
          <w:szCs w:val="20"/>
          <w:lang w:val="fr-FR" w:eastAsia="zh-CN" w:bidi="ar-SA"/>
        </w:rPr>
        <w:t>安装技术要求交底、安装及调试技术指导和中间验收、设备性能测试；设备操作及预防性维修培训等工作；</w:t>
      </w:r>
    </w:p>
    <w:p>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bottom"/>
        <w:rPr>
          <w:rFonts w:hint="eastAsia" w:ascii="宋体" w:hAnsi="宋体" w:eastAsia="宋体" w:cs="Times New Roman"/>
          <w:kern w:val="0"/>
          <w:sz w:val="24"/>
          <w:szCs w:val="20"/>
          <w:lang w:val="fr-FR" w:eastAsia="zh-CN" w:bidi="ar-SA"/>
        </w:rPr>
      </w:pPr>
      <w:r>
        <w:rPr>
          <w:rFonts w:hint="eastAsia" w:ascii="宋体" w:hAnsi="宋体" w:cs="Times New Roman"/>
          <w:kern w:val="0"/>
          <w:sz w:val="24"/>
          <w:szCs w:val="20"/>
          <w:lang w:val="en-US" w:eastAsia="zh-CN" w:bidi="ar-SA"/>
        </w:rPr>
        <w:t>5.2.</w:t>
      </w:r>
      <w:r>
        <w:rPr>
          <w:rFonts w:hint="eastAsia" w:ascii="宋体" w:hAnsi="宋体" w:eastAsia="宋体" w:cs="Times New Roman"/>
          <w:kern w:val="0"/>
          <w:sz w:val="24"/>
          <w:szCs w:val="20"/>
          <w:lang w:val="fr-FR" w:eastAsia="zh-CN" w:bidi="ar-SA"/>
        </w:rPr>
        <w:t>设计联络：卖方应根据系统设计需要，自费参加相关的设计联络会议。</w:t>
      </w:r>
    </w:p>
    <w:p>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bottom"/>
        <w:rPr>
          <w:rFonts w:hint="eastAsia" w:ascii="宋体" w:hAnsi="宋体" w:eastAsia="宋体" w:cs="Times New Roman"/>
          <w:kern w:val="0"/>
          <w:sz w:val="24"/>
          <w:szCs w:val="20"/>
          <w:lang w:val="fr-FR" w:eastAsia="zh-CN" w:bidi="ar-SA"/>
        </w:rPr>
      </w:pPr>
      <w:r>
        <w:rPr>
          <w:rFonts w:hint="eastAsia" w:ascii="宋体" w:hAnsi="宋体" w:cs="Times New Roman"/>
          <w:kern w:val="0"/>
          <w:sz w:val="24"/>
          <w:szCs w:val="20"/>
          <w:lang w:val="en-US" w:eastAsia="zh-CN" w:bidi="ar-SA"/>
        </w:rPr>
        <w:t>5.3.</w:t>
      </w:r>
      <w:r>
        <w:rPr>
          <w:rFonts w:hint="eastAsia" w:ascii="宋体" w:hAnsi="宋体" w:eastAsia="宋体" w:cs="Times New Roman"/>
          <w:kern w:val="0"/>
          <w:sz w:val="24"/>
          <w:szCs w:val="20"/>
          <w:lang w:val="fr-FR" w:eastAsia="zh-CN" w:bidi="ar-SA"/>
        </w:rPr>
        <w:t>产品发运前10日，卖方通过邮件、传真等方式与买方联系，衔接到货、收货事宜。货到工地后，卖方派专人到场进行货物的验收、交接和建议存放等工作。</w:t>
      </w:r>
    </w:p>
    <w:p>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bottom"/>
        <w:rPr>
          <w:rFonts w:hint="eastAsia" w:ascii="宋体" w:hAnsi="宋体" w:eastAsia="宋体" w:cs="Times New Roman"/>
          <w:kern w:val="0"/>
          <w:sz w:val="24"/>
          <w:szCs w:val="20"/>
          <w:lang w:val="fr-FR" w:eastAsia="zh-CN" w:bidi="ar-SA"/>
        </w:rPr>
      </w:pPr>
      <w:r>
        <w:rPr>
          <w:rFonts w:hint="eastAsia" w:ascii="宋体" w:hAnsi="宋体" w:cs="Times New Roman"/>
          <w:kern w:val="0"/>
          <w:sz w:val="24"/>
          <w:szCs w:val="20"/>
          <w:lang w:val="en-US" w:eastAsia="zh-CN" w:bidi="ar-SA"/>
        </w:rPr>
        <w:t>5.4.</w:t>
      </w:r>
      <w:r>
        <w:rPr>
          <w:rFonts w:hint="eastAsia" w:ascii="宋体" w:hAnsi="宋体" w:eastAsia="宋体" w:cs="Times New Roman"/>
          <w:kern w:val="0"/>
          <w:sz w:val="24"/>
          <w:szCs w:val="20"/>
          <w:lang w:val="fr-FR" w:eastAsia="zh-CN" w:bidi="ar-SA"/>
        </w:rPr>
        <w:t>在买方进行安装前，卖方对安装基础和安装条件、安装环境等进行验收和确认，以保证设备安装能顺利进行。</w:t>
      </w:r>
    </w:p>
    <w:p>
      <w:pPr>
        <w:pageBreakBefore w:val="0"/>
        <w:widowControl w:val="0"/>
        <w:kinsoku/>
        <w:wordWrap/>
        <w:overflowPunct/>
        <w:topLinePunct w:val="0"/>
        <w:autoSpaceDE w:val="0"/>
        <w:autoSpaceDN w:val="0"/>
        <w:bidi w:val="0"/>
        <w:snapToGrid/>
        <w:spacing w:before="0" w:beforeLines="0" w:line="360" w:lineRule="auto"/>
        <w:textAlignment w:val="bottom"/>
        <w:rPr>
          <w:rFonts w:hint="eastAsia" w:ascii="宋体" w:hAnsi="宋体" w:eastAsia="宋体" w:cs="Times New Roman"/>
          <w:kern w:val="0"/>
          <w:sz w:val="24"/>
          <w:szCs w:val="20"/>
          <w:lang w:val="fr-FR" w:eastAsia="zh-CN" w:bidi="ar-SA"/>
        </w:rPr>
      </w:pPr>
      <w:r>
        <w:rPr>
          <w:rFonts w:hint="eastAsia" w:ascii="宋体" w:hAnsi="宋体" w:cs="Times New Roman"/>
          <w:kern w:val="0"/>
          <w:sz w:val="24"/>
          <w:szCs w:val="20"/>
          <w:lang w:val="en-US" w:eastAsia="zh-CN" w:bidi="ar-SA"/>
        </w:rPr>
        <w:t>5.5.</w:t>
      </w:r>
      <w:r>
        <w:rPr>
          <w:rFonts w:hint="eastAsia" w:ascii="宋体" w:hAnsi="宋体" w:eastAsia="宋体" w:cs="Times New Roman"/>
          <w:kern w:val="0"/>
          <w:sz w:val="24"/>
          <w:szCs w:val="20"/>
          <w:lang w:val="fr-FR" w:eastAsia="zh-CN" w:bidi="ar-SA"/>
        </w:rPr>
        <w:t>安装调试：在买方通知卖方到现场技术服务后，卖方应及时选派身体健康、经验丰富、工作能力强的机械、自动控制专业工程师到工作现场，协助安装人员熟悉图纸及有关技术文件、了解设备构造及安装技术要求，确保设备正确安装、保养和使用，并指导产品的安装、调试，协助解决安装调试中的技术问题，并对安装质量予以确认，确保安装质量和效果。</w:t>
      </w:r>
    </w:p>
    <w:p>
      <w:pPr>
        <w:pageBreakBefore w:val="0"/>
        <w:widowControl w:val="0"/>
        <w:kinsoku/>
        <w:wordWrap/>
        <w:overflowPunct/>
        <w:topLinePunct w:val="0"/>
        <w:autoSpaceDE w:val="0"/>
        <w:autoSpaceDN w:val="0"/>
        <w:bidi w:val="0"/>
        <w:snapToGrid/>
        <w:spacing w:before="0" w:beforeLines="0" w:line="360" w:lineRule="auto"/>
        <w:textAlignment w:val="bottom"/>
        <w:rPr>
          <w:rFonts w:hint="eastAsia" w:ascii="宋体" w:hAnsi="宋体" w:eastAsia="宋体" w:cs="Times New Roman"/>
          <w:kern w:val="0"/>
          <w:sz w:val="24"/>
          <w:szCs w:val="20"/>
          <w:lang w:val="fr-FR" w:eastAsia="zh-CN" w:bidi="ar-SA"/>
        </w:rPr>
      </w:pPr>
      <w:r>
        <w:rPr>
          <w:rFonts w:hint="eastAsia" w:ascii="宋体" w:hAnsi="宋体" w:cs="Times New Roman"/>
          <w:kern w:val="0"/>
          <w:sz w:val="24"/>
          <w:szCs w:val="20"/>
          <w:lang w:val="en-US" w:eastAsia="zh-CN" w:bidi="ar-SA"/>
        </w:rPr>
        <w:t>5.6.</w:t>
      </w:r>
      <w:r>
        <w:rPr>
          <w:rFonts w:hint="eastAsia" w:ascii="宋体" w:hAnsi="宋体" w:eastAsia="宋体" w:cs="Times New Roman"/>
          <w:kern w:val="0"/>
          <w:sz w:val="24"/>
          <w:szCs w:val="20"/>
          <w:lang w:val="fr-FR" w:eastAsia="zh-CN" w:bidi="ar-SA"/>
        </w:rPr>
        <w:t>设备在安装调试及负荷试车过程中,如买方发现卖方产品出现制造质量问题时,卖方接到通知后应及时派代表到买方现场确认并解决有关问题,在此过程中形成的记录、纪要、备忘录等,双方代表应签字予以确认。</w:t>
      </w:r>
      <w:bookmarkStart w:id="40" w:name="_Toc97894369"/>
    </w:p>
    <w:p>
      <w:pPr>
        <w:pageBreakBefore w:val="0"/>
        <w:widowControl w:val="0"/>
        <w:kinsoku/>
        <w:wordWrap/>
        <w:overflowPunct/>
        <w:topLinePunct w:val="0"/>
        <w:autoSpaceDE w:val="0"/>
        <w:autoSpaceDN w:val="0"/>
        <w:bidi w:val="0"/>
        <w:snapToGrid/>
        <w:spacing w:before="0" w:beforeLines="0" w:line="360" w:lineRule="auto"/>
        <w:textAlignment w:val="bottom"/>
        <w:rPr>
          <w:rFonts w:hint="eastAsia" w:ascii="宋体" w:hAnsi="宋体" w:eastAsia="宋体" w:cs="Times New Roman"/>
          <w:b/>
          <w:bCs w:val="0"/>
          <w:kern w:val="2"/>
          <w:sz w:val="24"/>
          <w:szCs w:val="32"/>
          <w:lang w:val="en-US" w:eastAsia="zh-CN" w:bidi="ar-SA"/>
        </w:rPr>
      </w:pPr>
      <w:r>
        <w:rPr>
          <w:rFonts w:hint="eastAsia" w:ascii="宋体" w:hAnsi="宋体" w:eastAsia="宋体" w:cs="Times New Roman"/>
          <w:b/>
          <w:bCs w:val="0"/>
          <w:kern w:val="2"/>
          <w:sz w:val="24"/>
          <w:szCs w:val="32"/>
          <w:lang w:val="en-US" w:eastAsia="zh-CN" w:bidi="ar-SA"/>
        </w:rPr>
        <w:t>6、资料图纸的提供</w:t>
      </w:r>
    </w:p>
    <w:bookmarkEnd w:id="40"/>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886"/>
        <w:gridCol w:w="340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noWrap w:val="0"/>
            <w:vAlign w:val="center"/>
          </w:tcPr>
          <w:p>
            <w:pPr>
              <w:spacing w:before="120"/>
              <w:rPr>
                <w:rFonts w:ascii="宋体" w:hAnsi="宋体"/>
                <w:highlight w:val="none"/>
              </w:rPr>
            </w:pPr>
            <w:r>
              <w:rPr>
                <w:rFonts w:hint="eastAsia" w:ascii="宋体" w:hAnsi="宋体"/>
                <w:highlight w:val="none"/>
              </w:rPr>
              <w:t>序号</w:t>
            </w:r>
          </w:p>
        </w:tc>
        <w:tc>
          <w:tcPr>
            <w:tcW w:w="1886" w:type="dxa"/>
            <w:shd w:val="clear" w:color="auto" w:fill="auto"/>
            <w:noWrap w:val="0"/>
            <w:vAlign w:val="center"/>
          </w:tcPr>
          <w:p>
            <w:pPr>
              <w:spacing w:before="120"/>
              <w:rPr>
                <w:rFonts w:ascii="宋体" w:hAnsi="宋体"/>
                <w:highlight w:val="none"/>
              </w:rPr>
            </w:pPr>
            <w:r>
              <w:rPr>
                <w:rFonts w:hint="eastAsia" w:ascii="宋体" w:hAnsi="宋体"/>
                <w:highlight w:val="none"/>
              </w:rPr>
              <w:t>资料名称</w:t>
            </w:r>
          </w:p>
        </w:tc>
        <w:tc>
          <w:tcPr>
            <w:tcW w:w="3402" w:type="dxa"/>
            <w:shd w:val="clear" w:color="auto" w:fill="auto"/>
            <w:noWrap w:val="0"/>
            <w:vAlign w:val="center"/>
          </w:tcPr>
          <w:p>
            <w:pPr>
              <w:spacing w:before="120"/>
              <w:jc w:val="center"/>
              <w:rPr>
                <w:rFonts w:ascii="宋体" w:hAnsi="宋体"/>
                <w:highlight w:val="none"/>
              </w:rPr>
            </w:pPr>
            <w:r>
              <w:rPr>
                <w:rFonts w:hint="eastAsia" w:ascii="宋体" w:hAnsi="宋体"/>
                <w:highlight w:val="none"/>
              </w:rPr>
              <w:t>内容</w:t>
            </w:r>
          </w:p>
        </w:tc>
        <w:tc>
          <w:tcPr>
            <w:tcW w:w="3260" w:type="dxa"/>
            <w:shd w:val="clear" w:color="auto" w:fill="auto"/>
            <w:noWrap w:val="0"/>
            <w:vAlign w:val="center"/>
          </w:tcPr>
          <w:p>
            <w:pPr>
              <w:spacing w:before="120"/>
              <w:rPr>
                <w:rFonts w:ascii="宋体" w:hAnsi="宋体"/>
                <w:highlight w:val="none"/>
              </w:rPr>
            </w:pPr>
            <w:r>
              <w:rPr>
                <w:rFonts w:hint="eastAsia" w:ascii="宋体" w:hAnsi="宋体"/>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noWrap w:val="0"/>
            <w:vAlign w:val="center"/>
          </w:tcPr>
          <w:p>
            <w:pPr>
              <w:spacing w:before="120"/>
              <w:rPr>
                <w:rFonts w:hint="eastAsia" w:ascii="宋体" w:hAnsi="宋体"/>
                <w:highlight w:val="none"/>
              </w:rPr>
            </w:pPr>
            <w:r>
              <w:rPr>
                <w:rFonts w:hint="eastAsia" w:ascii="宋体" w:hAnsi="宋体"/>
                <w:highlight w:val="none"/>
              </w:rPr>
              <w:t>1</w:t>
            </w:r>
          </w:p>
        </w:tc>
        <w:tc>
          <w:tcPr>
            <w:tcW w:w="1886" w:type="dxa"/>
            <w:shd w:val="clear" w:color="auto" w:fill="auto"/>
            <w:noWrap w:val="0"/>
            <w:vAlign w:val="center"/>
          </w:tcPr>
          <w:p>
            <w:pPr>
              <w:spacing w:before="120"/>
              <w:rPr>
                <w:rFonts w:ascii="宋体" w:hAnsi="宋体"/>
                <w:highlight w:val="none"/>
              </w:rPr>
            </w:pPr>
            <w:r>
              <w:rPr>
                <w:rFonts w:hint="eastAsia" w:ascii="宋体" w:hAnsi="宋体"/>
                <w:highlight w:val="none"/>
              </w:rPr>
              <w:t>交付</w:t>
            </w:r>
            <w:r>
              <w:rPr>
                <w:rFonts w:ascii="宋体" w:hAnsi="宋体"/>
                <w:highlight w:val="none"/>
              </w:rPr>
              <w:t>文档</w:t>
            </w:r>
          </w:p>
        </w:tc>
        <w:tc>
          <w:tcPr>
            <w:tcW w:w="3402" w:type="dxa"/>
            <w:shd w:val="clear" w:color="auto" w:fill="auto"/>
            <w:noWrap w:val="0"/>
            <w:vAlign w:val="center"/>
          </w:tcPr>
          <w:p>
            <w:pPr>
              <w:spacing w:before="120"/>
              <w:rPr>
                <w:rFonts w:ascii="宋体" w:hAnsi="宋体"/>
                <w:highlight w:val="none"/>
              </w:rPr>
            </w:pPr>
            <w:r>
              <w:rPr>
                <w:rFonts w:hint="eastAsia" w:ascii="宋体" w:hAnsi="宋体"/>
                <w:highlight w:val="none"/>
                <w:lang w:val="en-US" w:eastAsia="zh-CN"/>
              </w:rPr>
              <w:t>研发</w:t>
            </w:r>
            <w:r>
              <w:rPr>
                <w:rFonts w:hint="eastAsia" w:ascii="宋体" w:hAnsi="宋体"/>
                <w:highlight w:val="none"/>
              </w:rPr>
              <w:t>设计方案、功能开发设计文档及相关资料图纸</w:t>
            </w:r>
          </w:p>
        </w:tc>
        <w:tc>
          <w:tcPr>
            <w:tcW w:w="3260" w:type="dxa"/>
            <w:shd w:val="clear" w:color="auto" w:fill="auto"/>
            <w:noWrap w:val="0"/>
            <w:vAlign w:val="center"/>
          </w:tcPr>
          <w:p>
            <w:pPr>
              <w:spacing w:before="120"/>
              <w:rPr>
                <w:rFonts w:hint="eastAsia" w:ascii="宋体" w:hAnsi="宋体"/>
                <w:highlight w:val="none"/>
              </w:rPr>
            </w:pPr>
            <w:r>
              <w:rPr>
                <w:rFonts w:hint="eastAsia" w:ascii="宋体" w:hAnsi="宋体"/>
                <w:highlight w:val="none"/>
              </w:rPr>
              <w:t>合同</w:t>
            </w:r>
            <w:r>
              <w:rPr>
                <w:rFonts w:ascii="宋体" w:hAnsi="宋体"/>
                <w:highlight w:val="none"/>
              </w:rPr>
              <w:t>签订后</w:t>
            </w:r>
            <w:r>
              <w:rPr>
                <w:rFonts w:hint="eastAsia" w:ascii="宋体" w:hAnsi="宋体"/>
                <w:highlight w:val="none"/>
              </w:rPr>
              <w:t>1</w:t>
            </w:r>
            <w:r>
              <w:rPr>
                <w:rFonts w:ascii="宋体" w:hAnsi="宋体"/>
                <w:highlight w:val="none"/>
              </w:rPr>
              <w:t>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noWrap w:val="0"/>
            <w:vAlign w:val="center"/>
          </w:tcPr>
          <w:p>
            <w:pPr>
              <w:spacing w:before="120"/>
              <w:rPr>
                <w:rFonts w:ascii="宋体" w:hAnsi="宋体"/>
                <w:highlight w:val="none"/>
              </w:rPr>
            </w:pPr>
            <w:r>
              <w:rPr>
                <w:rFonts w:ascii="宋体" w:hAnsi="宋体"/>
                <w:highlight w:val="none"/>
              </w:rPr>
              <w:t>2</w:t>
            </w:r>
          </w:p>
        </w:tc>
        <w:tc>
          <w:tcPr>
            <w:tcW w:w="1886" w:type="dxa"/>
            <w:shd w:val="clear" w:color="auto" w:fill="auto"/>
            <w:noWrap w:val="0"/>
            <w:vAlign w:val="center"/>
          </w:tcPr>
          <w:p>
            <w:pPr>
              <w:spacing w:before="120"/>
              <w:rPr>
                <w:rFonts w:ascii="宋体" w:hAnsi="宋体"/>
                <w:highlight w:val="none"/>
              </w:rPr>
            </w:pPr>
            <w:r>
              <w:rPr>
                <w:rFonts w:hint="eastAsia" w:ascii="宋体" w:hAnsi="宋体"/>
                <w:highlight w:val="none"/>
              </w:rPr>
              <w:t>施工</w:t>
            </w:r>
            <w:r>
              <w:rPr>
                <w:rFonts w:ascii="宋体" w:hAnsi="宋体"/>
                <w:highlight w:val="none"/>
              </w:rPr>
              <w:t>方案</w:t>
            </w:r>
          </w:p>
        </w:tc>
        <w:tc>
          <w:tcPr>
            <w:tcW w:w="3402" w:type="dxa"/>
            <w:shd w:val="clear" w:color="auto" w:fill="auto"/>
            <w:noWrap w:val="0"/>
            <w:vAlign w:val="center"/>
          </w:tcPr>
          <w:p>
            <w:pPr>
              <w:spacing w:before="120"/>
              <w:rPr>
                <w:rFonts w:hint="eastAsia" w:ascii="宋体" w:hAnsi="宋体"/>
                <w:highlight w:val="none"/>
              </w:rPr>
            </w:pPr>
            <w:r>
              <w:rPr>
                <w:rFonts w:hint="eastAsia" w:ascii="宋体" w:hAnsi="宋体"/>
                <w:highlight w:val="none"/>
              </w:rPr>
              <w:t>调试施工方案、进度计划等</w:t>
            </w:r>
          </w:p>
        </w:tc>
        <w:tc>
          <w:tcPr>
            <w:tcW w:w="3260" w:type="dxa"/>
            <w:shd w:val="clear" w:color="auto" w:fill="auto"/>
            <w:noWrap w:val="0"/>
            <w:vAlign w:val="center"/>
          </w:tcPr>
          <w:p>
            <w:pPr>
              <w:spacing w:before="120"/>
              <w:rPr>
                <w:rFonts w:hint="eastAsia" w:ascii="宋体" w:hAnsi="宋体"/>
                <w:highlight w:val="none"/>
              </w:rPr>
            </w:pPr>
            <w:r>
              <w:rPr>
                <w:rFonts w:ascii="宋体" w:hAnsi="宋体"/>
                <w:highlight w:val="none"/>
              </w:rPr>
              <w:t>设备交货前两周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noWrap w:val="0"/>
            <w:vAlign w:val="center"/>
          </w:tcPr>
          <w:p>
            <w:pPr>
              <w:spacing w:before="120"/>
              <w:rPr>
                <w:rFonts w:ascii="宋体" w:hAnsi="宋体"/>
                <w:highlight w:val="none"/>
              </w:rPr>
            </w:pPr>
            <w:r>
              <w:rPr>
                <w:rFonts w:ascii="宋体" w:hAnsi="宋体"/>
                <w:highlight w:val="none"/>
              </w:rPr>
              <w:t>3</w:t>
            </w:r>
          </w:p>
        </w:tc>
        <w:tc>
          <w:tcPr>
            <w:tcW w:w="1886" w:type="dxa"/>
            <w:shd w:val="clear" w:color="auto" w:fill="auto"/>
            <w:noWrap w:val="0"/>
            <w:vAlign w:val="center"/>
          </w:tcPr>
          <w:p>
            <w:pPr>
              <w:spacing w:before="120"/>
              <w:rPr>
                <w:rFonts w:hint="eastAsia" w:ascii="宋体" w:hAnsi="宋体"/>
                <w:highlight w:val="none"/>
              </w:rPr>
            </w:pPr>
            <w:r>
              <w:rPr>
                <w:rFonts w:hint="eastAsia" w:ascii="宋体" w:hAnsi="宋体"/>
                <w:highlight w:val="none"/>
              </w:rPr>
              <w:t>基本资料</w:t>
            </w:r>
          </w:p>
        </w:tc>
        <w:tc>
          <w:tcPr>
            <w:tcW w:w="3402" w:type="dxa"/>
            <w:shd w:val="clear" w:color="auto" w:fill="auto"/>
            <w:noWrap w:val="0"/>
            <w:vAlign w:val="center"/>
          </w:tcPr>
          <w:p>
            <w:pPr>
              <w:spacing w:before="120"/>
              <w:rPr>
                <w:rFonts w:hint="eastAsia" w:ascii="宋体" w:hAnsi="宋体"/>
                <w:highlight w:val="none"/>
              </w:rPr>
            </w:pPr>
            <w:r>
              <w:rPr>
                <w:rFonts w:ascii="宋体" w:hAnsi="宋体"/>
                <w:highlight w:val="none"/>
              </w:rPr>
              <w:t>主要材料的材质证明书、合格证</w:t>
            </w:r>
            <w:r>
              <w:rPr>
                <w:rFonts w:hint="eastAsia" w:ascii="宋体" w:hAnsi="宋体"/>
                <w:highlight w:val="none"/>
              </w:rPr>
              <w:t>、</w:t>
            </w:r>
            <w:r>
              <w:rPr>
                <w:rFonts w:ascii="宋体" w:hAnsi="宋体"/>
                <w:highlight w:val="none"/>
              </w:rPr>
              <w:t>设备的各项测试、检验报告</w:t>
            </w:r>
            <w:r>
              <w:rPr>
                <w:rFonts w:hint="eastAsia" w:ascii="宋体" w:hAnsi="宋体"/>
                <w:highlight w:val="none"/>
              </w:rPr>
              <w:t>等</w:t>
            </w:r>
          </w:p>
        </w:tc>
        <w:tc>
          <w:tcPr>
            <w:tcW w:w="3260" w:type="dxa"/>
            <w:shd w:val="clear" w:color="auto" w:fill="auto"/>
            <w:noWrap w:val="0"/>
            <w:vAlign w:val="center"/>
          </w:tcPr>
          <w:p>
            <w:pPr>
              <w:spacing w:before="120"/>
              <w:rPr>
                <w:rFonts w:hint="eastAsia" w:ascii="宋体" w:hAnsi="宋体"/>
                <w:highlight w:val="none"/>
              </w:rPr>
            </w:pPr>
            <w:r>
              <w:rPr>
                <w:rFonts w:hint="eastAsia" w:ascii="宋体" w:hAnsi="宋体"/>
                <w:highlight w:val="none"/>
              </w:rPr>
              <w:t>随设备发货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noWrap w:val="0"/>
            <w:vAlign w:val="center"/>
          </w:tcPr>
          <w:p>
            <w:pPr>
              <w:spacing w:before="120"/>
              <w:rPr>
                <w:rFonts w:ascii="宋体" w:hAnsi="宋体"/>
                <w:highlight w:val="none"/>
              </w:rPr>
            </w:pPr>
            <w:r>
              <w:rPr>
                <w:rFonts w:hint="eastAsia" w:ascii="宋体" w:hAnsi="宋体"/>
                <w:highlight w:val="none"/>
              </w:rPr>
              <w:t>4</w:t>
            </w:r>
          </w:p>
        </w:tc>
        <w:tc>
          <w:tcPr>
            <w:tcW w:w="1886" w:type="dxa"/>
            <w:shd w:val="clear" w:color="auto" w:fill="auto"/>
            <w:noWrap w:val="0"/>
            <w:vAlign w:val="center"/>
          </w:tcPr>
          <w:p>
            <w:pPr>
              <w:spacing w:before="120"/>
              <w:rPr>
                <w:rFonts w:ascii="宋体" w:hAnsi="宋体"/>
                <w:highlight w:val="none"/>
              </w:rPr>
            </w:pPr>
            <w:r>
              <w:rPr>
                <w:rFonts w:hint="eastAsia" w:ascii="宋体" w:hAnsi="宋体"/>
                <w:highlight w:val="none"/>
              </w:rPr>
              <w:t>设备使用维护说明书</w:t>
            </w:r>
          </w:p>
        </w:tc>
        <w:tc>
          <w:tcPr>
            <w:tcW w:w="3402" w:type="dxa"/>
            <w:shd w:val="clear" w:color="auto" w:fill="auto"/>
            <w:noWrap w:val="0"/>
            <w:vAlign w:val="center"/>
          </w:tcPr>
          <w:p>
            <w:pPr>
              <w:spacing w:before="120"/>
              <w:rPr>
                <w:rFonts w:ascii="宋体" w:hAnsi="宋体"/>
                <w:highlight w:val="none"/>
              </w:rPr>
            </w:pPr>
            <w:r>
              <w:rPr>
                <w:rFonts w:ascii="宋体" w:hAnsi="宋体"/>
                <w:highlight w:val="none"/>
              </w:rPr>
              <w:t>包括系统及监测装置</w:t>
            </w:r>
            <w:r>
              <w:rPr>
                <w:rFonts w:hint="eastAsia" w:ascii="宋体" w:hAnsi="宋体"/>
                <w:highlight w:val="none"/>
              </w:rPr>
              <w:t>使用维护手册、说明书</w:t>
            </w:r>
          </w:p>
        </w:tc>
        <w:tc>
          <w:tcPr>
            <w:tcW w:w="3260" w:type="dxa"/>
            <w:shd w:val="clear" w:color="auto" w:fill="auto"/>
            <w:noWrap w:val="0"/>
            <w:vAlign w:val="center"/>
          </w:tcPr>
          <w:p>
            <w:pPr>
              <w:spacing w:before="120"/>
              <w:rPr>
                <w:rFonts w:ascii="宋体" w:hAnsi="宋体"/>
                <w:highlight w:val="none"/>
              </w:rPr>
            </w:pPr>
            <w:r>
              <w:rPr>
                <w:rFonts w:hint="eastAsia" w:ascii="宋体" w:hAnsi="宋体"/>
                <w:highlight w:val="none"/>
              </w:rPr>
              <w:t>随设备发货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shd w:val="clear" w:color="auto" w:fill="auto"/>
            <w:noWrap w:val="0"/>
            <w:vAlign w:val="center"/>
          </w:tcPr>
          <w:p>
            <w:pPr>
              <w:spacing w:before="0" w:beforeLines="0"/>
              <w:ind w:firstLine="435"/>
              <w:rPr>
                <w:rFonts w:hint="eastAsia" w:ascii="宋体" w:hAnsi="宋体"/>
                <w:highlight w:val="none"/>
              </w:rPr>
            </w:pPr>
            <w:r>
              <w:rPr>
                <w:rFonts w:hint="eastAsia" w:ascii="宋体" w:hAnsi="宋体"/>
                <w:highlight w:val="none"/>
              </w:rPr>
              <w:t>根据项目实际开展需要，不局限于以上交付文档清单，要求交付文档模板须经甲方确认。</w:t>
            </w:r>
            <w:r>
              <w:rPr>
                <w:rFonts w:hint="eastAsia"/>
                <w:spacing w:val="2"/>
                <w:kern w:val="11"/>
                <w:highlight w:val="none"/>
              </w:rPr>
              <w:t>买方鼓励卖方在买方要求之外，增加有特殊性能的技术参数和资料</w:t>
            </w:r>
          </w:p>
        </w:tc>
      </w:tr>
    </w:tbl>
    <w:p>
      <w:pPr>
        <w:pStyle w:val="4"/>
        <w:pageBreakBefore w:val="0"/>
        <w:widowControl w:val="0"/>
        <w:numPr>
          <w:ilvl w:val="1"/>
          <w:numId w:val="0"/>
        </w:numPr>
        <w:tabs>
          <w:tab w:val="left" w:pos="-23"/>
        </w:tabs>
        <w:kinsoku/>
        <w:wordWrap/>
        <w:overflowPunct/>
        <w:topLinePunct w:val="0"/>
        <w:bidi w:val="0"/>
        <w:snapToGrid/>
        <w:spacing w:before="0" w:after="0" w:line="360" w:lineRule="auto"/>
        <w:textAlignment w:val="auto"/>
        <w:rPr>
          <w:rFonts w:hint="eastAsia" w:ascii="宋体" w:hAnsi="宋体" w:eastAsia="宋体" w:cs="宋体"/>
          <w:b/>
          <w:bCs/>
          <w:kern w:val="2"/>
          <w:sz w:val="24"/>
          <w:szCs w:val="24"/>
          <w:highlight w:val="none"/>
          <w:lang w:val="en-US" w:eastAsia="zh-CN" w:bidi="ar-SA"/>
        </w:rPr>
      </w:pPr>
    </w:p>
    <w:p>
      <w:pPr>
        <w:pStyle w:val="4"/>
        <w:pageBreakBefore w:val="0"/>
        <w:widowControl w:val="0"/>
        <w:numPr>
          <w:ilvl w:val="1"/>
          <w:numId w:val="0"/>
        </w:numPr>
        <w:tabs>
          <w:tab w:val="left" w:pos="-23"/>
        </w:tabs>
        <w:kinsoku/>
        <w:wordWrap/>
        <w:overflowPunct/>
        <w:topLinePunct w:val="0"/>
        <w:bidi w:val="0"/>
        <w:snapToGrid/>
        <w:spacing w:before="0" w:after="0"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7、质保及售后要求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质保期一年，从竣工验收合格之日起开始计算，所投产品厂商在质保期内提供全天候24小时的电话响应，如设备出现质量问题，卖方在接到通知后12小时内做出明确回复，根据需要三天内到达服务现场。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7.2.质保期后，乙方应优惠提供相关配件。</w:t>
      </w:r>
    </w:p>
    <w:p>
      <w:pPr>
        <w:pStyle w:val="4"/>
        <w:pageBreakBefore w:val="0"/>
        <w:widowControl w:val="0"/>
        <w:numPr>
          <w:ilvl w:val="1"/>
          <w:numId w:val="0"/>
        </w:numPr>
        <w:tabs>
          <w:tab w:val="left" w:pos="-2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w:t>
      </w:r>
      <w:r>
        <w:rPr>
          <w:rFonts w:hint="eastAsia" w:ascii="宋体" w:hAnsi="宋体" w:eastAsia="宋体" w:cs="宋体"/>
          <w:b/>
          <w:bCs/>
          <w:sz w:val="24"/>
          <w:szCs w:val="24"/>
          <w:highlight w:val="none"/>
        </w:rPr>
        <w:t>验收标准（验收方式）</w:t>
      </w:r>
    </w:p>
    <w:p>
      <w:pPr>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.1按照该</w:t>
      </w:r>
      <w:r>
        <w:rPr>
          <w:rFonts w:hint="eastAsia" w:ascii="宋体" w:hAnsi="宋体" w:eastAsia="宋体" w:cs="宋体"/>
          <w:sz w:val="24"/>
          <w:szCs w:val="24"/>
          <w:highlight w:val="none"/>
          <w:lang w:val="en-US" w:eastAsia="zh-CN"/>
        </w:rPr>
        <w:t>项目的</w:t>
      </w:r>
      <w:r>
        <w:rPr>
          <w:rFonts w:hint="eastAsia" w:ascii="宋体" w:hAnsi="宋体" w:eastAsia="宋体" w:cs="宋体"/>
          <w:sz w:val="24"/>
          <w:szCs w:val="24"/>
          <w:highlight w:val="none"/>
        </w:rPr>
        <w:t>国家和行业技术标准、合同、投标招标文件中的技术</w:t>
      </w:r>
      <w:r>
        <w:rPr>
          <w:rFonts w:hint="eastAsia" w:ascii="宋体" w:hAnsi="宋体" w:eastAsia="宋体" w:cs="宋体"/>
          <w:sz w:val="24"/>
          <w:szCs w:val="24"/>
          <w:highlight w:val="none"/>
          <w:lang w:val="en-US" w:eastAsia="zh-CN"/>
        </w:rPr>
        <w:t>指标</w:t>
      </w:r>
      <w:r>
        <w:rPr>
          <w:rFonts w:hint="eastAsia" w:ascii="宋体" w:hAnsi="宋体" w:eastAsia="宋体" w:cs="宋体"/>
          <w:sz w:val="24"/>
          <w:szCs w:val="24"/>
          <w:highlight w:val="none"/>
        </w:rPr>
        <w:t>及投标过程中的有关材料，由</w:t>
      </w:r>
      <w:r>
        <w:rPr>
          <w:rFonts w:hint="eastAsia" w:ascii="宋体" w:hAnsi="宋体" w:eastAsia="宋体" w:cs="宋体"/>
          <w:sz w:val="24"/>
          <w:szCs w:val="24"/>
          <w:highlight w:val="none"/>
          <w:lang w:val="en-US" w:eastAsia="zh-CN"/>
        </w:rPr>
        <w:t>甲方与乙方</w:t>
      </w:r>
      <w:r>
        <w:rPr>
          <w:rFonts w:hint="eastAsia" w:ascii="宋体" w:hAnsi="宋体" w:eastAsia="宋体" w:cs="宋体"/>
          <w:sz w:val="24"/>
          <w:szCs w:val="24"/>
          <w:highlight w:val="none"/>
        </w:rPr>
        <w:t>共同验收</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含新增压力设备检验合格备案，乙方负责压力设备备案相关手续办理</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竣工验收：乙方</w:t>
      </w:r>
      <w:r>
        <w:rPr>
          <w:rFonts w:hint="eastAsia" w:ascii="宋体" w:hAnsi="宋体" w:cs="宋体"/>
          <w:sz w:val="24"/>
          <w:szCs w:val="24"/>
          <w:highlight w:val="none"/>
          <w:lang w:val="en-US" w:eastAsia="zh-CN"/>
        </w:rPr>
        <w:t>项目研发建设</w:t>
      </w:r>
      <w:r>
        <w:rPr>
          <w:rFonts w:hint="eastAsia" w:ascii="宋体" w:hAnsi="宋体" w:eastAsia="宋体" w:cs="宋体"/>
          <w:sz w:val="24"/>
          <w:szCs w:val="24"/>
          <w:highlight w:val="none"/>
          <w:lang w:eastAsia="zh-CN"/>
        </w:rPr>
        <w:t>完毕，</w:t>
      </w:r>
      <w:r>
        <w:rPr>
          <w:rFonts w:hint="eastAsia" w:ascii="宋体" w:hAnsi="宋体" w:cs="宋体"/>
          <w:sz w:val="24"/>
          <w:szCs w:val="24"/>
          <w:highlight w:val="none"/>
          <w:lang w:val="en-US" w:eastAsia="zh-CN"/>
        </w:rPr>
        <w:t>锅炉管道</w:t>
      </w:r>
      <w:r>
        <w:rPr>
          <w:rFonts w:hint="eastAsia" w:ascii="宋体" w:hAnsi="宋体" w:eastAsia="宋体" w:cs="宋体"/>
          <w:sz w:val="24"/>
          <w:szCs w:val="24"/>
          <w:highlight w:val="none"/>
          <w:lang w:eastAsia="zh-CN"/>
        </w:rPr>
        <w:t>打压试验合格投入运行后，在窑产量，锅炉、汽轮机参数（锅炉温度，负压，汽轮机真空，进气量等）</w:t>
      </w:r>
      <w:r>
        <w:rPr>
          <w:rFonts w:hint="eastAsia" w:ascii="宋体" w:hAnsi="宋体" w:eastAsia="宋体" w:cs="宋体"/>
          <w:sz w:val="24"/>
          <w:szCs w:val="24"/>
          <w:highlight w:val="none"/>
          <w:lang w:val="en-US" w:eastAsia="zh-CN"/>
        </w:rPr>
        <w:t>稳定的</w:t>
      </w:r>
      <w:r>
        <w:rPr>
          <w:rFonts w:hint="eastAsia" w:ascii="宋体" w:hAnsi="宋体" w:eastAsia="宋体" w:cs="宋体"/>
          <w:sz w:val="24"/>
          <w:szCs w:val="24"/>
          <w:highlight w:val="none"/>
          <w:lang w:eastAsia="zh-CN"/>
        </w:rPr>
        <w:t>情况下，与投运前三日平均日发电量对比，高于投运前日发电量</w:t>
      </w:r>
      <w:r>
        <w:rPr>
          <w:rFonts w:hint="eastAsia" w:ascii="宋体" w:hAnsi="宋体" w:cs="宋体"/>
          <w:sz w:val="24"/>
          <w:szCs w:val="24"/>
          <w:highlight w:val="none"/>
          <w:u w:val="single"/>
          <w:lang w:val="en-US" w:eastAsia="zh-CN"/>
        </w:rPr>
        <w:t>10800</w:t>
      </w:r>
      <w:r>
        <w:rPr>
          <w:rFonts w:hint="eastAsia" w:ascii="宋体" w:hAnsi="宋体" w:eastAsia="宋体" w:cs="宋体"/>
          <w:sz w:val="24"/>
          <w:szCs w:val="24"/>
          <w:highlight w:val="none"/>
          <w:u w:val="single"/>
          <w:lang w:val="en-US" w:eastAsia="zh-CN"/>
        </w:rPr>
        <w:t>kwh</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（换算为台时发电量增加</w:t>
      </w:r>
      <w:r>
        <w:rPr>
          <w:rFonts w:hint="eastAsia" w:ascii="宋体" w:hAnsi="宋体" w:cs="宋体"/>
          <w:sz w:val="24"/>
          <w:szCs w:val="24"/>
          <w:highlight w:val="none"/>
          <w:u w:val="single"/>
          <w:lang w:val="en-US" w:eastAsia="zh-CN"/>
        </w:rPr>
        <w:t>450kwh</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视为验收合格。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验收时发现不符合质量要求</w:t>
      </w:r>
      <w:r>
        <w:rPr>
          <w:rFonts w:hint="eastAsia" w:ascii="宋体" w:hAnsi="宋体" w:eastAsia="宋体" w:cs="宋体"/>
          <w:sz w:val="24"/>
          <w:szCs w:val="24"/>
          <w:highlight w:val="none"/>
          <w:lang w:val="en-US" w:eastAsia="zh-CN"/>
        </w:rPr>
        <w:t>的部件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须无条件予以退换，</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不接受维修方式。退换发生的费用均由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自行承担，且不影响合同的正常履行，因此造成的不能按时履约属于</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违约。如在验收中发现双方均无法认定的争议，可聘请双方认可的具有国家认可检测资质的第三方检测机构予以检测，费用由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承担。</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、交付（安装）要求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合同签订生效后，无特殊不可控因素情况下，40天内完成研发及设备制造，组件运达甲方工厂试验现场。现场安装调试及工业试验及工期60天。</w:t>
      </w:r>
    </w:p>
    <w:p>
      <w:pPr>
        <w:keepNext w:val="0"/>
        <w:keepLines w:val="0"/>
        <w:pageBreakBefore w:val="0"/>
        <w:widowControl w:val="0"/>
        <w:kinsoku/>
        <w:wordWrap/>
        <w:overflowPunct/>
        <w:topLinePunct w:val="0"/>
        <w:bidi w:val="0"/>
        <w:spacing w:before="62" w:beforeLines="20" w:after="62" w:afterLines="20" w:line="360" w:lineRule="auto"/>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、知识产权要求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投标人应保证所承揽的甲方研发项目产品（包含相应服务）或其任何一部分时不受第三方提出侵犯其知识产权（如专利权、版权、商标权、著作权或其他权利）的主张或起诉。投标人中标后须协助甲方就本项目研发项目的技术成果完成实用新型专利的申请，一旦出现技术成果被认定侵权而引起的法律和经济纠纷，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应承担所有法律责任带来的全部最终不利后果。</w:t>
      </w:r>
      <w:r>
        <w:rPr>
          <w:rFonts w:hint="eastAsia" w:ascii="宋体" w:hAnsi="宋体" w:eastAsia="宋体" w:cs="宋体"/>
          <w:b w:val="0"/>
          <w:bCs w:val="0"/>
          <w:sz w:val="24"/>
          <w:szCs w:val="24"/>
          <w:highlight w:val="none"/>
        </w:rPr>
        <w:t>投标人须提供书面承诺函并加盖公章，格式自拟。</w:t>
      </w:r>
    </w:p>
    <w:p>
      <w:pPr>
        <w:keepNext w:val="0"/>
        <w:keepLines w:val="0"/>
        <w:pageBreakBefore w:val="0"/>
        <w:widowControl w:val="0"/>
        <w:kinsoku/>
        <w:wordWrap/>
        <w:overflowPunct/>
        <w:topLinePunct w:val="0"/>
        <w:bidi w:val="0"/>
        <w:spacing w:before="62" w:beforeLines="20" w:after="62" w:afterLines="20"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11</w:t>
      </w:r>
      <w:r>
        <w:rPr>
          <w:rFonts w:hint="eastAsia" w:ascii="宋体" w:hAnsi="宋体" w:eastAsia="宋体" w:cs="宋体"/>
          <w:b/>
          <w:bCs/>
          <w:sz w:val="24"/>
          <w:szCs w:val="24"/>
          <w:highlight w:val="none"/>
        </w:rPr>
        <w:t>、项目实施方案</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乙方投标文件中应提出明确的包括但不限于项目所投项目的参数情况、施工进度及工期、安全保障措施、验收方案、售后服务承诺等保证甲方正常使用中标乙方所投项目需明确的相应内容。</w:t>
      </w:r>
    </w:p>
    <w:p>
      <w:pPr>
        <w:keepNext w:val="0"/>
        <w:keepLines w:val="0"/>
        <w:pageBreakBefore w:val="0"/>
        <w:widowControl w:val="0"/>
        <w:kinsoku/>
        <w:wordWrap/>
        <w:overflowPunct/>
        <w:topLinePunct w:val="0"/>
        <w:bidi w:val="0"/>
        <w:spacing w:before="62" w:beforeLines="20" w:after="62" w:afterLines="20"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项目施工</w:t>
      </w:r>
      <w:r>
        <w:rPr>
          <w:rFonts w:hint="eastAsia" w:ascii="宋体" w:hAnsi="宋体" w:eastAsia="宋体" w:cs="宋体"/>
          <w:b/>
          <w:bCs/>
          <w:sz w:val="24"/>
          <w:szCs w:val="24"/>
          <w:highlight w:val="none"/>
        </w:rPr>
        <w:t>方案</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阐明工程施工条件的分析、施工部署、项目管理组织机构、施工方案、质量保证措施、安全措施、人材机计划、人员资质、进度计划（横道图），施工工期等方面。提交包括临时设施及其他必须的图表、文字说明书等资料，至少应包括：</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1）施工组织设计编制依据及编制说明；</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2）工程概况及对自然条件和施工条件的分析；</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3）施工总体方案；</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4）主要工序的施工方法；</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5）施工安全措施；</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6）雨季施工措施，大暴雨、台风预防措施；</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7）总体施工进度计划及保证措施，施工进度表可采用横道图表示；</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8）劳动人员需用计划，相关人员资质；</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9）施工机械的进场计划；</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10）保证安全生产，文明施工，减少扰民降低环境污染和噪声的措施。</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施工组织设计除采用文字表述外可附下列图表，图表及格式要求附后。</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附表一：拟投入的主要施工设备表</w:t>
      </w:r>
    </w:p>
    <w:tbl>
      <w:tblPr>
        <w:tblStyle w:val="56"/>
        <w:tblW w:w="89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20" w:type="dxa"/>
            <w:noWrap w:val="0"/>
            <w:vAlign w:val="center"/>
          </w:tcPr>
          <w:p>
            <w:pPr>
              <w:spacing w:before="120"/>
              <w:jc w:val="center"/>
              <w:rPr>
                <w:rFonts w:ascii="宋体" w:hAnsi="宋体"/>
              </w:rPr>
            </w:pPr>
            <w:r>
              <w:rPr>
                <w:rFonts w:hint="eastAsia" w:ascii="宋体" w:hAnsi="宋体"/>
              </w:rPr>
              <w:t>序号</w:t>
            </w:r>
          </w:p>
        </w:tc>
        <w:tc>
          <w:tcPr>
            <w:tcW w:w="1185" w:type="dxa"/>
            <w:noWrap w:val="0"/>
            <w:vAlign w:val="center"/>
          </w:tcPr>
          <w:p>
            <w:pPr>
              <w:spacing w:before="120"/>
              <w:jc w:val="center"/>
              <w:rPr>
                <w:rFonts w:ascii="宋体" w:hAnsi="宋体"/>
              </w:rPr>
            </w:pPr>
            <w:r>
              <w:rPr>
                <w:rFonts w:hint="eastAsia" w:ascii="宋体" w:hAnsi="宋体"/>
              </w:rPr>
              <w:t>设备名称</w:t>
            </w:r>
          </w:p>
        </w:tc>
        <w:tc>
          <w:tcPr>
            <w:tcW w:w="795" w:type="dxa"/>
            <w:noWrap w:val="0"/>
            <w:vAlign w:val="center"/>
          </w:tcPr>
          <w:p>
            <w:pPr>
              <w:spacing w:before="120"/>
              <w:jc w:val="center"/>
              <w:rPr>
                <w:rFonts w:ascii="宋体" w:hAnsi="宋体"/>
              </w:rPr>
            </w:pPr>
            <w:r>
              <w:rPr>
                <w:rFonts w:hint="eastAsia" w:ascii="宋体" w:hAnsi="宋体"/>
              </w:rPr>
              <w:t>型号</w:t>
            </w:r>
          </w:p>
          <w:p>
            <w:pPr>
              <w:spacing w:before="120"/>
              <w:jc w:val="center"/>
              <w:rPr>
                <w:rFonts w:ascii="宋体" w:hAnsi="宋体"/>
              </w:rPr>
            </w:pPr>
            <w:r>
              <w:rPr>
                <w:rFonts w:hint="eastAsia" w:ascii="宋体" w:hAnsi="宋体"/>
              </w:rPr>
              <w:t>规格</w:t>
            </w:r>
          </w:p>
        </w:tc>
        <w:tc>
          <w:tcPr>
            <w:tcW w:w="816" w:type="dxa"/>
            <w:noWrap w:val="0"/>
            <w:vAlign w:val="center"/>
          </w:tcPr>
          <w:p>
            <w:pPr>
              <w:spacing w:before="120"/>
              <w:jc w:val="center"/>
              <w:rPr>
                <w:rFonts w:ascii="宋体" w:hAnsi="宋体"/>
              </w:rPr>
            </w:pPr>
            <w:r>
              <w:rPr>
                <w:rFonts w:hint="eastAsia" w:ascii="宋体" w:hAnsi="宋体"/>
              </w:rPr>
              <w:t>数量</w:t>
            </w:r>
          </w:p>
        </w:tc>
        <w:tc>
          <w:tcPr>
            <w:tcW w:w="1080" w:type="dxa"/>
            <w:noWrap w:val="0"/>
            <w:vAlign w:val="center"/>
          </w:tcPr>
          <w:p>
            <w:pPr>
              <w:spacing w:before="120"/>
              <w:jc w:val="center"/>
              <w:rPr>
                <w:rFonts w:ascii="宋体" w:hAnsi="宋体"/>
              </w:rPr>
            </w:pPr>
            <w:r>
              <w:rPr>
                <w:rFonts w:hint="eastAsia" w:ascii="宋体" w:hAnsi="宋体"/>
              </w:rPr>
              <w:t>制造</w:t>
            </w:r>
          </w:p>
          <w:p>
            <w:pPr>
              <w:spacing w:before="120"/>
              <w:jc w:val="center"/>
              <w:rPr>
                <w:rFonts w:ascii="宋体" w:hAnsi="宋体"/>
              </w:rPr>
            </w:pPr>
            <w:r>
              <w:rPr>
                <w:rFonts w:hint="eastAsia" w:ascii="宋体" w:hAnsi="宋体"/>
              </w:rPr>
              <w:t>年份</w:t>
            </w:r>
          </w:p>
        </w:tc>
        <w:tc>
          <w:tcPr>
            <w:tcW w:w="1260" w:type="dxa"/>
            <w:noWrap w:val="0"/>
            <w:vAlign w:val="center"/>
          </w:tcPr>
          <w:p>
            <w:pPr>
              <w:spacing w:before="120"/>
              <w:jc w:val="center"/>
              <w:rPr>
                <w:rFonts w:ascii="宋体" w:hAnsi="宋体"/>
              </w:rPr>
            </w:pPr>
            <w:r>
              <w:rPr>
                <w:rFonts w:hint="eastAsia" w:ascii="宋体" w:hAnsi="宋体"/>
              </w:rPr>
              <w:t>额定功率</w:t>
            </w:r>
          </w:p>
          <w:p>
            <w:pPr>
              <w:spacing w:before="120"/>
              <w:jc w:val="center"/>
              <w:rPr>
                <w:rFonts w:ascii="宋体" w:hAnsi="宋体"/>
              </w:rPr>
            </w:pPr>
            <w:r>
              <w:rPr>
                <w:rFonts w:hint="eastAsia" w:ascii="宋体" w:hAnsi="宋体"/>
              </w:rPr>
              <w:t>( KW )</w:t>
            </w:r>
          </w:p>
        </w:tc>
        <w:tc>
          <w:tcPr>
            <w:tcW w:w="973" w:type="dxa"/>
            <w:noWrap w:val="0"/>
            <w:vAlign w:val="center"/>
          </w:tcPr>
          <w:p>
            <w:pPr>
              <w:spacing w:before="120"/>
              <w:jc w:val="center"/>
              <w:rPr>
                <w:rFonts w:ascii="宋体" w:hAnsi="宋体"/>
              </w:rPr>
            </w:pPr>
            <w:r>
              <w:rPr>
                <w:rFonts w:hint="eastAsia" w:ascii="宋体" w:hAnsi="宋体"/>
              </w:rPr>
              <w:t>生产</w:t>
            </w:r>
          </w:p>
          <w:p>
            <w:pPr>
              <w:spacing w:before="120"/>
              <w:jc w:val="center"/>
              <w:rPr>
                <w:rFonts w:ascii="宋体" w:hAnsi="宋体"/>
              </w:rPr>
            </w:pPr>
            <w:r>
              <w:rPr>
                <w:rFonts w:hint="eastAsia" w:ascii="宋体" w:hAnsi="宋体"/>
              </w:rPr>
              <w:t>能力</w:t>
            </w:r>
          </w:p>
        </w:tc>
        <w:tc>
          <w:tcPr>
            <w:tcW w:w="1080" w:type="dxa"/>
            <w:noWrap w:val="0"/>
            <w:vAlign w:val="center"/>
          </w:tcPr>
          <w:p>
            <w:pPr>
              <w:spacing w:before="120"/>
              <w:rPr>
                <w:rFonts w:ascii="宋体" w:hAnsi="宋体"/>
              </w:rPr>
            </w:pPr>
            <w:r>
              <w:rPr>
                <w:rFonts w:hint="eastAsia" w:ascii="宋体" w:hAnsi="宋体"/>
              </w:rPr>
              <w:t>用于施</w:t>
            </w:r>
          </w:p>
          <w:p>
            <w:pPr>
              <w:spacing w:before="120"/>
              <w:rPr>
                <w:rFonts w:ascii="宋体" w:hAnsi="宋体"/>
              </w:rPr>
            </w:pPr>
            <w:r>
              <w:rPr>
                <w:rFonts w:hint="eastAsia" w:ascii="宋体" w:hAnsi="宋体"/>
              </w:rPr>
              <w:t>工部位</w:t>
            </w:r>
          </w:p>
        </w:tc>
        <w:tc>
          <w:tcPr>
            <w:tcW w:w="1080" w:type="dxa"/>
            <w:noWrap w:val="0"/>
            <w:vAlign w:val="center"/>
          </w:tcPr>
          <w:p>
            <w:pPr>
              <w:spacing w:before="120"/>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pPr>
              <w:spacing w:before="120"/>
              <w:rPr>
                <w:rFonts w:ascii="宋体" w:hAnsi="宋体"/>
              </w:rPr>
            </w:pPr>
          </w:p>
        </w:tc>
        <w:tc>
          <w:tcPr>
            <w:tcW w:w="1185" w:type="dxa"/>
            <w:noWrap w:val="0"/>
            <w:vAlign w:val="top"/>
          </w:tcPr>
          <w:p>
            <w:pPr>
              <w:spacing w:before="120"/>
              <w:ind w:firstLine="420" w:firstLineChars="200"/>
              <w:rPr>
                <w:rFonts w:ascii="宋体" w:hAnsi="宋体"/>
              </w:rPr>
            </w:pPr>
          </w:p>
        </w:tc>
        <w:tc>
          <w:tcPr>
            <w:tcW w:w="795" w:type="dxa"/>
            <w:noWrap w:val="0"/>
            <w:vAlign w:val="top"/>
          </w:tcPr>
          <w:p>
            <w:pPr>
              <w:spacing w:before="120"/>
              <w:rPr>
                <w:rFonts w:ascii="宋体" w:hAnsi="宋体"/>
              </w:rPr>
            </w:pPr>
          </w:p>
        </w:tc>
        <w:tc>
          <w:tcPr>
            <w:tcW w:w="816"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c>
          <w:tcPr>
            <w:tcW w:w="1260" w:type="dxa"/>
            <w:noWrap w:val="0"/>
            <w:vAlign w:val="top"/>
          </w:tcPr>
          <w:p>
            <w:pPr>
              <w:spacing w:before="120"/>
              <w:rPr>
                <w:rFonts w:ascii="宋体" w:hAnsi="宋体"/>
              </w:rPr>
            </w:pPr>
          </w:p>
        </w:tc>
        <w:tc>
          <w:tcPr>
            <w:tcW w:w="973"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pPr>
              <w:spacing w:before="120"/>
              <w:rPr>
                <w:rFonts w:ascii="宋体" w:hAnsi="宋体"/>
              </w:rPr>
            </w:pPr>
          </w:p>
        </w:tc>
        <w:tc>
          <w:tcPr>
            <w:tcW w:w="1185" w:type="dxa"/>
            <w:noWrap w:val="0"/>
            <w:vAlign w:val="top"/>
          </w:tcPr>
          <w:p>
            <w:pPr>
              <w:spacing w:before="120"/>
              <w:rPr>
                <w:rFonts w:ascii="宋体" w:hAnsi="宋体"/>
              </w:rPr>
            </w:pPr>
          </w:p>
        </w:tc>
        <w:tc>
          <w:tcPr>
            <w:tcW w:w="795" w:type="dxa"/>
            <w:noWrap w:val="0"/>
            <w:vAlign w:val="top"/>
          </w:tcPr>
          <w:p>
            <w:pPr>
              <w:spacing w:before="120"/>
              <w:rPr>
                <w:rFonts w:ascii="宋体" w:hAnsi="宋体"/>
              </w:rPr>
            </w:pPr>
          </w:p>
        </w:tc>
        <w:tc>
          <w:tcPr>
            <w:tcW w:w="816"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c>
          <w:tcPr>
            <w:tcW w:w="1260" w:type="dxa"/>
            <w:noWrap w:val="0"/>
            <w:vAlign w:val="top"/>
          </w:tcPr>
          <w:p>
            <w:pPr>
              <w:spacing w:before="120"/>
              <w:rPr>
                <w:rFonts w:ascii="宋体" w:hAnsi="宋体"/>
              </w:rPr>
            </w:pPr>
          </w:p>
        </w:tc>
        <w:tc>
          <w:tcPr>
            <w:tcW w:w="973"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noWrap w:val="0"/>
            <w:vAlign w:val="top"/>
          </w:tcPr>
          <w:p>
            <w:pPr>
              <w:spacing w:before="120"/>
              <w:rPr>
                <w:rFonts w:ascii="宋体" w:hAnsi="宋体"/>
              </w:rPr>
            </w:pPr>
          </w:p>
        </w:tc>
        <w:tc>
          <w:tcPr>
            <w:tcW w:w="1185" w:type="dxa"/>
            <w:noWrap w:val="0"/>
            <w:vAlign w:val="top"/>
          </w:tcPr>
          <w:p>
            <w:pPr>
              <w:spacing w:before="120"/>
              <w:rPr>
                <w:rFonts w:ascii="宋体" w:hAnsi="宋体"/>
              </w:rPr>
            </w:pPr>
          </w:p>
        </w:tc>
        <w:tc>
          <w:tcPr>
            <w:tcW w:w="795" w:type="dxa"/>
            <w:noWrap w:val="0"/>
            <w:vAlign w:val="top"/>
          </w:tcPr>
          <w:p>
            <w:pPr>
              <w:spacing w:before="120"/>
              <w:rPr>
                <w:rFonts w:ascii="宋体" w:hAnsi="宋体"/>
              </w:rPr>
            </w:pPr>
          </w:p>
        </w:tc>
        <w:tc>
          <w:tcPr>
            <w:tcW w:w="816"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c>
          <w:tcPr>
            <w:tcW w:w="1260" w:type="dxa"/>
            <w:noWrap w:val="0"/>
            <w:vAlign w:val="top"/>
          </w:tcPr>
          <w:p>
            <w:pPr>
              <w:spacing w:before="120"/>
              <w:rPr>
                <w:rFonts w:ascii="宋体" w:hAnsi="宋体"/>
              </w:rPr>
            </w:pPr>
          </w:p>
        </w:tc>
        <w:tc>
          <w:tcPr>
            <w:tcW w:w="973"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c>
          <w:tcPr>
            <w:tcW w:w="1080" w:type="dxa"/>
            <w:noWrap w:val="0"/>
            <w:vAlign w:val="top"/>
          </w:tcPr>
          <w:p>
            <w:pPr>
              <w:spacing w:before="120"/>
              <w:rPr>
                <w:rFonts w:ascii="宋体" w:hAnsi="宋体"/>
              </w:rPr>
            </w:pPr>
          </w:p>
        </w:tc>
      </w:tr>
    </w:tbl>
    <w:p>
      <w:pPr>
        <w:snapToGrid w:val="0"/>
        <w:spacing w:before="120"/>
        <w:ind w:firstLine="420" w:firstLineChars="200"/>
        <w:rPr>
          <w:rFonts w:ascii="宋体" w:hAnsi="宋体"/>
        </w:rPr>
      </w:pPr>
      <w:r>
        <w:rPr>
          <w:rFonts w:hint="eastAsia" w:ascii="宋体" w:hAnsi="宋体"/>
        </w:rPr>
        <w:t>附表二：劳动力计划表</w:t>
      </w:r>
    </w:p>
    <w:tbl>
      <w:tblPr>
        <w:tblStyle w:val="56"/>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52"/>
        <w:gridCol w:w="1260"/>
        <w:gridCol w:w="1261"/>
        <w:gridCol w:w="1260"/>
        <w:gridCol w:w="1261"/>
        <w:gridCol w:w="12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38" w:type="dxa"/>
            <w:tcBorders>
              <w:top w:val="outset" w:color="auto" w:sz="6" w:space="0"/>
              <w:left w:val="outset" w:color="auto" w:sz="6" w:space="0"/>
              <w:bottom w:val="outset" w:color="auto" w:sz="6" w:space="0"/>
              <w:right w:val="outset" w:color="auto" w:sz="6" w:space="0"/>
            </w:tcBorders>
            <w:noWrap w:val="0"/>
            <w:vAlign w:val="center"/>
          </w:tcPr>
          <w:p>
            <w:pPr>
              <w:spacing w:before="120"/>
              <w:rPr>
                <w:rFonts w:ascii="宋体" w:hAnsi="宋体"/>
              </w:rPr>
            </w:pPr>
            <w:r>
              <w:rPr>
                <w:rFonts w:hint="eastAsia" w:ascii="宋体" w:hAnsi="宋体"/>
              </w:rPr>
              <w:t>工种、级别</w:t>
            </w:r>
          </w:p>
        </w:tc>
        <w:tc>
          <w:tcPr>
            <w:tcW w:w="8317" w:type="dxa"/>
            <w:gridSpan w:val="7"/>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jc w:val="center"/>
              <w:rPr>
                <w:rFonts w:ascii="宋体" w:hAnsi="宋体"/>
              </w:rPr>
            </w:pPr>
            <w:r>
              <w:rPr>
                <w:rFonts w:hint="eastAsia" w:ascii="宋体" w:hAnsi="宋体"/>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38"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752"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3"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38"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752"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3"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38"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752"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3"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38"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752"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1"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c>
          <w:tcPr>
            <w:tcW w:w="1263" w:type="dxa"/>
            <w:tcBorders>
              <w:top w:val="outset" w:color="auto" w:sz="6" w:space="0"/>
              <w:left w:val="outset" w:color="auto" w:sz="6" w:space="0"/>
              <w:bottom w:val="outset" w:color="auto" w:sz="6" w:space="0"/>
              <w:right w:val="outset" w:color="auto" w:sz="6" w:space="0"/>
            </w:tcBorders>
            <w:noWrap w:val="0"/>
            <w:vAlign w:val="center"/>
          </w:tcPr>
          <w:p>
            <w:pPr>
              <w:spacing w:before="120"/>
              <w:ind w:firstLine="420" w:firstLineChars="200"/>
              <w:rPr>
                <w:rFonts w:ascii="宋体" w:hAnsi="宋体"/>
              </w:rPr>
            </w:pPr>
          </w:p>
        </w:tc>
      </w:tr>
    </w:tbl>
    <w:p>
      <w:pPr>
        <w:pStyle w:val="44"/>
        <w:keepNext w:val="0"/>
        <w:keepLines w:val="0"/>
        <w:pageBreakBefore w:val="0"/>
        <w:widowControl w:val="0"/>
        <w:kinsoku/>
        <w:wordWrap/>
        <w:overflowPunct/>
        <w:topLinePunct w:val="0"/>
        <w:autoSpaceDE/>
        <w:autoSpaceDN/>
        <w:bidi w:val="0"/>
        <w:adjustRightInd/>
        <w:snapToGrid/>
        <w:spacing w:before="120" w:line="360" w:lineRule="auto"/>
        <w:ind w:left="0"/>
        <w:textAlignment w:val="auto"/>
        <w:rPr>
          <w:rFonts w:ascii="宋体" w:hAnsi="宋体"/>
          <w:b w:val="0"/>
          <w:sz w:val="24"/>
          <w:szCs w:val="24"/>
        </w:rPr>
      </w:pPr>
      <w:r>
        <w:rPr>
          <w:rFonts w:hint="eastAsia" w:ascii="宋体" w:hAnsi="宋体"/>
          <w:b w:val="0"/>
          <w:sz w:val="24"/>
          <w:szCs w:val="24"/>
        </w:rPr>
        <w:t>注：本计划表是以每班八小时工作制为基础的。</w:t>
      </w:r>
    </w:p>
    <w:p>
      <w:pPr>
        <w:keepNext w:val="0"/>
        <w:keepLines w:val="0"/>
        <w:pageBreakBefore w:val="0"/>
        <w:widowControl w:val="0"/>
        <w:kinsoku/>
        <w:wordWrap/>
        <w:overflowPunct/>
        <w:topLinePunct w:val="0"/>
        <w:autoSpaceDE/>
        <w:autoSpaceDN/>
        <w:bidi w:val="0"/>
        <w:adjustRightInd/>
        <w:snapToGrid/>
        <w:spacing w:before="120" w:line="360" w:lineRule="auto"/>
        <w:ind w:firstLine="420" w:firstLineChars="200"/>
        <w:textAlignment w:val="auto"/>
        <w:rPr>
          <w:rFonts w:ascii="宋体" w:hAnsi="宋体"/>
        </w:rPr>
      </w:pPr>
      <w:r>
        <w:rPr>
          <w:rFonts w:hint="eastAsia" w:ascii="宋体" w:hAnsi="宋体"/>
        </w:rPr>
        <w:t>附表三：计划开、竣工日期和施工进度图</w:t>
      </w:r>
    </w:p>
    <w:p>
      <w:pPr>
        <w:keepNext w:val="0"/>
        <w:keepLines w:val="0"/>
        <w:pageBreakBefore w:val="0"/>
        <w:widowControl w:val="0"/>
        <w:kinsoku/>
        <w:wordWrap/>
        <w:overflowPunct/>
        <w:topLinePunct w:val="0"/>
        <w:autoSpaceDE/>
        <w:autoSpaceDN/>
        <w:bidi w:val="0"/>
        <w:adjustRightInd/>
        <w:snapToGrid/>
        <w:spacing w:before="120" w:line="360" w:lineRule="auto"/>
        <w:ind w:firstLine="420" w:firstLineChars="200"/>
        <w:textAlignment w:val="auto"/>
        <w:rPr>
          <w:rFonts w:ascii="宋体" w:hAnsi="宋体"/>
        </w:rPr>
      </w:pPr>
      <w:r>
        <w:rPr>
          <w:rFonts w:hint="eastAsia" w:ascii="宋体" w:hAnsi="宋体"/>
        </w:rPr>
        <w:t>（投标单位自制）</w:t>
      </w:r>
    </w:p>
    <w:p>
      <w:pPr>
        <w:keepNext w:val="0"/>
        <w:keepLines w:val="0"/>
        <w:pageBreakBefore w:val="0"/>
        <w:widowControl w:val="0"/>
        <w:kinsoku/>
        <w:wordWrap/>
        <w:overflowPunct/>
        <w:topLinePunct w:val="0"/>
        <w:autoSpaceDE/>
        <w:autoSpaceDN/>
        <w:bidi w:val="0"/>
        <w:adjustRightInd/>
        <w:snapToGrid/>
        <w:spacing w:before="120" w:line="360" w:lineRule="auto"/>
        <w:ind w:firstLine="420" w:firstLineChars="200"/>
        <w:textAlignment w:val="auto"/>
        <w:rPr>
          <w:rFonts w:ascii="宋体" w:hAnsi="宋体"/>
        </w:rPr>
      </w:pPr>
      <w:r>
        <w:rPr>
          <w:rFonts w:hint="eastAsia" w:ascii="宋体" w:hAnsi="宋体"/>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before="120" w:line="360" w:lineRule="auto"/>
        <w:ind w:firstLine="420" w:firstLineChars="200"/>
        <w:textAlignment w:val="auto"/>
        <w:rPr>
          <w:rFonts w:hint="eastAsia" w:ascii="宋体" w:hAnsi="宋体"/>
        </w:rPr>
      </w:pPr>
      <w:r>
        <w:rPr>
          <w:rFonts w:hint="eastAsia" w:ascii="宋体" w:hAnsi="宋体"/>
        </w:rPr>
        <w:t>（投标单位自制）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b/>
          <w:bCs/>
          <w:color w:val="auto"/>
          <w:kern w:val="2"/>
          <w:sz w:val="24"/>
          <w:szCs w:val="24"/>
          <w:highlight w:val="none"/>
          <w:lang w:val="en-US" w:eastAsia="zh-CN" w:bidi="ar-SA"/>
        </w:rPr>
      </w:pPr>
      <w:r>
        <w:rPr>
          <w:rFonts w:hint="eastAsia" w:ascii="宋体" w:hAnsi="宋体" w:cs="宋体"/>
          <w:b/>
          <w:bCs/>
          <w:sz w:val="24"/>
          <w:szCs w:val="24"/>
          <w:highlight w:val="none"/>
          <w:lang w:val="en-US" w:eastAsia="zh-CN"/>
        </w:rPr>
        <w:t>13、</w:t>
      </w:r>
      <w:r>
        <w:rPr>
          <w:rFonts w:hint="eastAsia" w:hAnsi="宋体" w:cs="宋体"/>
          <w:b/>
          <w:bCs/>
          <w:color w:val="auto"/>
          <w:kern w:val="2"/>
          <w:sz w:val="24"/>
          <w:szCs w:val="24"/>
          <w:highlight w:val="none"/>
          <w:lang w:val="en-US" w:eastAsia="zh-CN" w:bidi="ar-SA"/>
        </w:rPr>
        <w:t>特种设备施工验收要求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以下流程均由施工单位（即乙方）办理。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13.1.</w:t>
      </w:r>
      <w:r>
        <w:rPr>
          <w:rFonts w:hint="eastAsia" w:ascii="宋体" w:hAnsi="宋体" w:eastAsia="宋体" w:cs="宋体"/>
          <w:sz w:val="24"/>
          <w:szCs w:val="24"/>
          <w:highlight w:val="none"/>
          <w:lang w:val="en-US" w:eastAsia="zh-CN"/>
        </w:rPr>
        <w:t>山西省市场监督管理局办理网上《施工告知》。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13.2.</w:t>
      </w:r>
      <w:r>
        <w:rPr>
          <w:rFonts w:hint="eastAsia" w:ascii="宋体" w:hAnsi="宋体" w:eastAsia="宋体" w:cs="宋体"/>
          <w:sz w:val="24"/>
          <w:szCs w:val="24"/>
          <w:highlight w:val="none"/>
          <w:lang w:val="en-US" w:eastAsia="zh-CN"/>
        </w:rPr>
        <w:t>网上告知审核通过后应在一周内到运城市市场监督管理局特设科现场办理线下告知。</w:t>
      </w:r>
    </w:p>
    <w:p>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13.3.</w:t>
      </w:r>
      <w:r>
        <w:rPr>
          <w:rFonts w:hint="eastAsia" w:ascii="宋体" w:hAnsi="宋体" w:eastAsia="宋体" w:cs="宋体"/>
          <w:sz w:val="24"/>
          <w:szCs w:val="24"/>
          <w:highlight w:val="none"/>
          <w:lang w:val="en-US" w:eastAsia="zh-CN"/>
        </w:rPr>
        <w:t>线下告知后去运城市特检所提交以下资料：</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1）特种设备安装告知单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2）特种设备制造许可证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3）特种设备安装改造维修许可证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4）特种设备安装人员作业证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5）设备合格证、数据表、监督检验证明、能效测试报告</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6）如果存在锅炉改造还需增加：需要改造部件合格证，监检证书、与特检机构签订的监检协议书。</w:t>
      </w:r>
    </w:p>
    <w:p>
      <w:pPr>
        <w:keepNext w:val="0"/>
        <w:keepLines w:val="0"/>
        <w:pageBreakBefore w:val="0"/>
        <w:widowControl w:val="0"/>
        <w:kinsoku/>
        <w:wordWrap/>
        <w:overflowPunct/>
        <w:topLinePunct w:val="0"/>
        <w:bidi w:val="0"/>
        <w:snapToGrid/>
        <w:spacing w:before="62" w:beforeLines="20" w:after="62" w:afterLines="20"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13.4.</w:t>
      </w:r>
      <w:r>
        <w:rPr>
          <w:rFonts w:hint="eastAsia" w:ascii="宋体" w:hAnsi="宋体" w:eastAsia="宋体" w:cs="宋体"/>
          <w:sz w:val="24"/>
          <w:szCs w:val="24"/>
          <w:highlight w:val="none"/>
          <w:lang w:val="en-US" w:eastAsia="zh-CN"/>
        </w:rPr>
        <w:t>闻喜县工商质量监督局提交告知单一份。</w:t>
      </w:r>
    </w:p>
    <w:p>
      <w:pPr>
        <w:keepNext w:val="0"/>
        <w:keepLines w:val="0"/>
        <w:pageBreakBefore w:val="0"/>
        <w:widowControl w:val="0"/>
        <w:kinsoku/>
        <w:wordWrap/>
        <w:overflowPunct/>
        <w:topLinePunct w:val="0"/>
        <w:bidi w:val="0"/>
        <w:snapToGrid/>
        <w:spacing w:before="62" w:beforeLines="20" w:after="62" w:afterLines="20"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14、</w:t>
      </w:r>
      <w:r>
        <w:rPr>
          <w:rFonts w:hint="eastAsia" w:ascii="宋体" w:hAnsi="宋体" w:eastAsia="宋体" w:cs="宋体"/>
          <w:b/>
          <w:bCs/>
          <w:sz w:val="24"/>
          <w:szCs w:val="24"/>
          <w:highlight w:val="none"/>
          <w:lang w:val="en-US" w:eastAsia="zh-CN"/>
        </w:rPr>
        <w:t>项目施工安全要求</w:t>
      </w:r>
    </w:p>
    <w:p>
      <w:pPr>
        <w:pStyle w:val="2"/>
        <w:keepNext w:val="0"/>
        <w:keepLines w:val="0"/>
        <w:pageBreakBefore w:val="0"/>
        <w:widowControl w:val="0"/>
        <w:kinsoku/>
        <w:wordWrap/>
        <w:overflowPunct/>
        <w:topLinePunct w:val="0"/>
        <w:bidi w:val="0"/>
        <w:snapToGrid/>
        <w:spacing w:line="360" w:lineRule="auto"/>
        <w:textAlignment w:val="auto"/>
        <w:rPr>
          <w:rStyle w:val="451"/>
          <w:rFonts w:hint="eastAsia"/>
          <w:color w:val="auto"/>
          <w:sz w:val="24"/>
          <w:szCs w:val="24"/>
        </w:rPr>
        <w:sectPr>
          <w:headerReference r:id="rId3" w:type="default"/>
          <w:footerReference r:id="rId4" w:type="default"/>
          <w:pgSz w:w="11907" w:h="16840"/>
          <w:pgMar w:top="1440" w:right="1077" w:bottom="1440" w:left="1474" w:header="720" w:footer="720" w:gutter="0"/>
          <w:cols w:space="720" w:num="1"/>
          <w:docGrid w:linePitch="326" w:charSpace="0"/>
        </w:sect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资质和安全条件审查</w:t>
      </w:r>
      <w:r>
        <w:rPr>
          <w:rFonts w:hint="eastAsia" w:ascii="宋体" w:hAnsi="宋体" w:cs="宋体"/>
          <w:sz w:val="24"/>
          <w:szCs w:val="24"/>
          <w:highlight w:val="none"/>
          <w:lang w:val="en-US" w:eastAsia="zh-CN"/>
        </w:rPr>
        <w:t>要求见</w:t>
      </w:r>
      <w:r>
        <w:rPr>
          <w:rFonts w:hint="eastAsia" w:ascii="宋体" w:hAnsi="宋体" w:eastAsia="宋体" w:cs="宋体"/>
          <w:sz w:val="24"/>
          <w:szCs w:val="24"/>
          <w:highlight w:val="none"/>
          <w:lang w:val="en-US" w:eastAsia="zh-CN"/>
        </w:rPr>
        <w:t>附件</w:t>
      </w:r>
    </w:p>
    <w:p>
      <w:pPr>
        <w:spacing w:line="360" w:lineRule="auto"/>
        <w:rPr>
          <w:rFonts w:ascii="宋体" w:hAnsi="宋体" w:cs="宋体"/>
          <w:color w:val="000000" w:themeColor="text1"/>
          <w:highlight w:val="none"/>
          <w14:textFill>
            <w14:solidFill>
              <w14:schemeClr w14:val="tx1"/>
            </w14:solidFill>
          </w14:textFill>
        </w:rPr>
      </w:pPr>
    </w:p>
    <w:p>
      <w:pPr>
        <w:pStyle w:val="3"/>
        <w:numPr>
          <w:ilvl w:val="0"/>
          <w:numId w:val="0"/>
        </w:numPr>
        <w:spacing w:before="0" w:after="0" w:line="360" w:lineRule="auto"/>
        <w:ind w:firstLine="2209" w:firstLineChars="500"/>
        <w:jc w:val="both"/>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第五章  </w:t>
      </w:r>
      <w:r>
        <w:rPr>
          <w:rFonts w:hint="eastAsia" w:ascii="宋体" w:hAnsi="宋体" w:cs="宋体"/>
          <w:color w:val="000000" w:themeColor="text1"/>
          <w:highlight w:val="none"/>
          <w:lang w:val="zh-CN"/>
          <w14:textFill>
            <w14:solidFill>
              <w14:schemeClr w14:val="tx1"/>
            </w14:solidFill>
          </w14:textFill>
        </w:rPr>
        <w:t>合同主要条款及格式</w:t>
      </w:r>
    </w:p>
    <w:p>
      <w:pPr>
        <w:spacing w:line="360" w:lineRule="auto"/>
        <w:jc w:val="both"/>
        <w:rPr>
          <w:rFonts w:ascii="宋体" w:hAnsi="宋体"/>
          <w:b/>
          <w:sz w:val="36"/>
          <w:szCs w:val="36"/>
          <w:highlight w:val="none"/>
        </w:rPr>
      </w:pPr>
      <w:r>
        <w:rPr>
          <w:rFonts w:hint="eastAsia" w:ascii="仿宋" w:hAnsi="仿宋" w:eastAsia="仿宋" w:cs="仿宋"/>
          <w:b/>
          <w:sz w:val="36"/>
          <w:szCs w:val="36"/>
          <w:highlight w:val="none"/>
        </w:rPr>
        <w:t>合同文本</w:t>
      </w:r>
    </w:p>
    <w:p>
      <w:pPr>
        <w:snapToGrid w:val="0"/>
        <w:spacing w:line="480" w:lineRule="auto"/>
        <w:ind w:firstLine="420"/>
        <w:contextualSpacing/>
        <w:rPr>
          <w:rFonts w:ascii="宋体" w:hAnsi="宋体"/>
          <w:highlight w:val="none"/>
        </w:rPr>
      </w:pPr>
      <w:r>
        <w:rPr>
          <w:rFonts w:hint="eastAsia" w:ascii="宋体" w:hAnsi="宋体"/>
          <w:highlight w:val="none"/>
        </w:rPr>
        <w:t>以下为中标后签定本项目合同的通用条款，中标</w:t>
      </w:r>
      <w:r>
        <w:rPr>
          <w:rFonts w:hint="eastAsia" w:ascii="宋体" w:hAnsi="宋体"/>
          <w:highlight w:val="none"/>
          <w:lang w:eastAsia="zh-CN"/>
        </w:rPr>
        <w:t>乙方</w:t>
      </w:r>
      <w:r>
        <w:rPr>
          <w:rFonts w:hint="eastAsia" w:ascii="宋体" w:hAnsi="宋体"/>
          <w:highlight w:val="none"/>
        </w:rPr>
        <w:t>不得提出实质性的修改，关于专用条款将由采购人与中标</w:t>
      </w:r>
      <w:r>
        <w:rPr>
          <w:rFonts w:hint="eastAsia" w:ascii="宋体" w:hAnsi="宋体"/>
          <w:highlight w:val="none"/>
          <w:lang w:eastAsia="zh-CN"/>
        </w:rPr>
        <w:t>乙方</w:t>
      </w:r>
      <w:r>
        <w:rPr>
          <w:rFonts w:hint="eastAsia" w:ascii="宋体" w:hAnsi="宋体"/>
          <w:highlight w:val="none"/>
        </w:rPr>
        <w:t>结合本项目具体情况协商后签订。</w:t>
      </w:r>
    </w:p>
    <w:p>
      <w:pPr>
        <w:ind w:firstLine="3240" w:firstLineChars="900"/>
        <w:rPr>
          <w:rFonts w:hint="eastAsia" w:eastAsia="黑体"/>
          <w:sz w:val="36"/>
          <w:highlight w:val="none"/>
        </w:rPr>
      </w:pPr>
      <w:r>
        <w:rPr>
          <w:rFonts w:hint="eastAsia" w:eastAsia="黑体"/>
          <w:sz w:val="36"/>
          <w:highlight w:val="none"/>
        </w:rPr>
        <w:t>技术研发（委托）合同</w:t>
      </w:r>
    </w:p>
    <w:p>
      <w:pPr>
        <w:spacing w:line="560" w:lineRule="exact"/>
        <w:rPr>
          <w:rFonts w:hint="eastAsia"/>
          <w:sz w:val="28"/>
          <w:szCs w:val="28"/>
          <w:highlight w:val="none"/>
          <w:u w:val="single"/>
        </w:rPr>
      </w:pPr>
      <w:r>
        <w:rPr>
          <w:rFonts w:hint="eastAsia"/>
          <w:color w:val="0000FF"/>
          <w:sz w:val="28"/>
          <w:highlight w:val="none"/>
        </w:rPr>
        <w:t xml:space="preserve">  </w:t>
      </w:r>
      <w:r>
        <w:rPr>
          <w:rFonts w:hint="eastAsia"/>
          <w:sz w:val="28"/>
          <w:szCs w:val="28"/>
          <w:highlight w:val="none"/>
        </w:rPr>
        <w:t xml:space="preserve"> 甲方（委托方）： </w:t>
      </w:r>
      <w:r>
        <w:rPr>
          <w:rFonts w:hint="eastAsia"/>
          <w:sz w:val="28"/>
          <w:szCs w:val="28"/>
          <w:highlight w:val="none"/>
          <w:u w:val="single"/>
        </w:rPr>
        <w:t xml:space="preserve">  冀东海天水泥闻喜有限责任公司</w:t>
      </w:r>
      <w:r>
        <w:rPr>
          <w:sz w:val="28"/>
          <w:szCs w:val="28"/>
          <w:highlight w:val="none"/>
          <w:u w:val="single"/>
        </w:rPr>
        <w:t xml:space="preserve"> </w:t>
      </w:r>
      <w:r>
        <w:rPr>
          <w:rFonts w:hint="eastAsia"/>
          <w:sz w:val="28"/>
          <w:szCs w:val="28"/>
          <w:highlight w:val="none"/>
          <w:u w:val="single"/>
        </w:rPr>
        <w:t xml:space="preserve"> </w:t>
      </w:r>
    </w:p>
    <w:p>
      <w:pPr>
        <w:spacing w:line="520" w:lineRule="exact"/>
        <w:rPr>
          <w:rFonts w:hint="eastAsia"/>
          <w:sz w:val="28"/>
          <w:szCs w:val="28"/>
          <w:highlight w:val="none"/>
        </w:rPr>
      </w:pPr>
      <w:r>
        <w:rPr>
          <w:rFonts w:hint="eastAsia"/>
          <w:sz w:val="28"/>
          <w:szCs w:val="28"/>
          <w:highlight w:val="none"/>
        </w:rPr>
        <w:t xml:space="preserve">      住  所  地：</w:t>
      </w:r>
      <w:r>
        <w:rPr>
          <w:rFonts w:hint="eastAsia"/>
          <w:sz w:val="28"/>
          <w:szCs w:val="28"/>
          <w:highlight w:val="none"/>
          <w:u w:val="single"/>
        </w:rPr>
        <w:t xml:space="preserve">  </w:t>
      </w:r>
      <w:r>
        <w:rPr>
          <w:rFonts w:hint="eastAsia" w:ascii="宋体"/>
          <w:sz w:val="28"/>
          <w:szCs w:val="28"/>
          <w:highlight w:val="none"/>
          <w:u w:val="single"/>
        </w:rPr>
        <w:t>山西省闻喜县侯村乡西阳村村西</w:t>
      </w:r>
      <w:r>
        <w:rPr>
          <w:rFonts w:hint="eastAsia"/>
          <w:sz w:val="28"/>
          <w:szCs w:val="28"/>
          <w:highlight w:val="none"/>
        </w:rPr>
        <w:t xml:space="preserve"> </w:t>
      </w:r>
    </w:p>
    <w:p>
      <w:pPr>
        <w:spacing w:line="560" w:lineRule="exact"/>
        <w:rPr>
          <w:rFonts w:hint="eastAsia"/>
          <w:sz w:val="28"/>
          <w:szCs w:val="28"/>
          <w:highlight w:val="none"/>
          <w:u w:val="single"/>
        </w:rPr>
      </w:pPr>
      <w:r>
        <w:rPr>
          <w:rFonts w:hint="eastAsia"/>
          <w:sz w:val="28"/>
          <w:szCs w:val="28"/>
          <w:highlight w:val="none"/>
        </w:rPr>
        <w:t xml:space="preserve">      法定代表人：</w:t>
      </w:r>
      <w:r>
        <w:rPr>
          <w:rFonts w:hint="eastAsia"/>
          <w:sz w:val="28"/>
          <w:szCs w:val="28"/>
          <w:highlight w:val="none"/>
          <w:u w:val="single"/>
        </w:rPr>
        <w:t xml:space="preserve">           </w:t>
      </w:r>
    </w:p>
    <w:p>
      <w:pPr>
        <w:spacing w:line="560" w:lineRule="exact"/>
        <w:rPr>
          <w:rFonts w:hint="eastAsia"/>
          <w:sz w:val="28"/>
          <w:szCs w:val="28"/>
          <w:highlight w:val="none"/>
          <w:u w:val="single"/>
        </w:rPr>
      </w:pPr>
      <w:r>
        <w:rPr>
          <w:rFonts w:hint="eastAsia"/>
          <w:sz w:val="28"/>
          <w:szCs w:val="28"/>
          <w:highlight w:val="none"/>
        </w:rPr>
        <w:t xml:space="preserve">      项目联系人：</w:t>
      </w:r>
      <w:r>
        <w:rPr>
          <w:rFonts w:hint="eastAsia"/>
          <w:sz w:val="28"/>
          <w:szCs w:val="28"/>
          <w:highlight w:val="none"/>
          <w:u w:val="single"/>
        </w:rPr>
        <w:t xml:space="preserve">         </w:t>
      </w:r>
      <w:r>
        <w:rPr>
          <w:rFonts w:hint="eastAsia"/>
          <w:sz w:val="28"/>
          <w:szCs w:val="28"/>
          <w:highlight w:val="none"/>
        </w:rPr>
        <w:t xml:space="preserve"> </w:t>
      </w:r>
    </w:p>
    <w:p>
      <w:pPr>
        <w:spacing w:line="560" w:lineRule="exact"/>
        <w:rPr>
          <w:sz w:val="28"/>
          <w:szCs w:val="28"/>
          <w:highlight w:val="none"/>
        </w:rPr>
      </w:pPr>
      <w:r>
        <w:rPr>
          <w:rFonts w:hint="eastAsia"/>
          <w:sz w:val="28"/>
          <w:szCs w:val="28"/>
          <w:highlight w:val="none"/>
        </w:rPr>
        <w:t xml:space="preserve">      联系方式 ： </w:t>
      </w:r>
    </w:p>
    <w:p>
      <w:pPr>
        <w:tabs>
          <w:tab w:val="left" w:pos="8100"/>
        </w:tabs>
        <w:spacing w:line="560" w:lineRule="exact"/>
        <w:rPr>
          <w:sz w:val="28"/>
          <w:szCs w:val="28"/>
          <w:highlight w:val="none"/>
          <w:u w:val="single"/>
        </w:rPr>
      </w:pPr>
      <w:r>
        <w:rPr>
          <w:rFonts w:hint="eastAsia"/>
          <w:sz w:val="28"/>
          <w:szCs w:val="28"/>
          <w:highlight w:val="none"/>
        </w:rPr>
        <w:t xml:space="preserve">      通讯地址：</w:t>
      </w:r>
      <w:r>
        <w:rPr>
          <w:rFonts w:hint="eastAsia"/>
          <w:sz w:val="28"/>
          <w:szCs w:val="28"/>
          <w:highlight w:val="none"/>
          <w:u w:val="single"/>
        </w:rPr>
        <w:t xml:space="preserve"> 冀东海天水泥闻喜有限责任公司 </w:t>
      </w:r>
    </w:p>
    <w:p>
      <w:pPr>
        <w:spacing w:line="560" w:lineRule="exact"/>
        <w:rPr>
          <w:rFonts w:hint="eastAsia"/>
          <w:sz w:val="28"/>
          <w:szCs w:val="28"/>
          <w:highlight w:val="none"/>
          <w:u w:val="single"/>
        </w:rPr>
      </w:pPr>
      <w:r>
        <w:rPr>
          <w:rFonts w:hint="eastAsia"/>
          <w:sz w:val="28"/>
          <w:szCs w:val="28"/>
          <w:highlight w:val="none"/>
        </w:rPr>
        <w:t xml:space="preserve">      电话：</w:t>
      </w:r>
      <w:r>
        <w:rPr>
          <w:rFonts w:hint="eastAsia"/>
          <w:sz w:val="28"/>
          <w:szCs w:val="28"/>
          <w:highlight w:val="none"/>
          <w:u w:val="single"/>
        </w:rPr>
        <w:t xml:space="preserve">               </w:t>
      </w:r>
      <w:r>
        <w:rPr>
          <w:rFonts w:hint="eastAsia"/>
          <w:sz w:val="28"/>
          <w:szCs w:val="28"/>
          <w:highlight w:val="none"/>
        </w:rPr>
        <w:t xml:space="preserve"> 传真：</w:t>
      </w:r>
      <w:r>
        <w:rPr>
          <w:rFonts w:hint="eastAsia"/>
          <w:sz w:val="28"/>
          <w:szCs w:val="28"/>
          <w:highlight w:val="none"/>
          <w:u w:val="single"/>
        </w:rPr>
        <w:t xml:space="preserve">                    </w:t>
      </w:r>
      <w:r>
        <w:rPr>
          <w:sz w:val="28"/>
          <w:szCs w:val="28"/>
          <w:highlight w:val="none"/>
          <w:u w:val="single"/>
        </w:rPr>
        <w:t xml:space="preserve"> </w:t>
      </w:r>
    </w:p>
    <w:p>
      <w:pPr>
        <w:spacing w:line="560" w:lineRule="exact"/>
        <w:rPr>
          <w:rFonts w:hint="eastAsia"/>
          <w:sz w:val="28"/>
          <w:szCs w:val="28"/>
          <w:highlight w:val="none"/>
        </w:rPr>
      </w:pPr>
      <w:r>
        <w:rPr>
          <w:rFonts w:hint="eastAsia"/>
          <w:sz w:val="28"/>
          <w:szCs w:val="28"/>
          <w:highlight w:val="none"/>
        </w:rPr>
        <w:t xml:space="preserve">      电子信箱：  </w:t>
      </w:r>
      <w:r>
        <w:rPr>
          <w:rFonts w:hint="eastAsia"/>
          <w:sz w:val="28"/>
          <w:szCs w:val="28"/>
          <w:highlight w:val="none"/>
          <w:u w:val="single"/>
        </w:rPr>
        <w:t xml:space="preserve">            </w:t>
      </w:r>
      <w:r>
        <w:rPr>
          <w:rFonts w:hint="eastAsia"/>
          <w:sz w:val="28"/>
          <w:szCs w:val="28"/>
          <w:highlight w:val="none"/>
        </w:rPr>
        <w:t xml:space="preserve">    </w:t>
      </w:r>
    </w:p>
    <w:p>
      <w:pPr>
        <w:spacing w:line="560" w:lineRule="exact"/>
        <w:rPr>
          <w:rFonts w:hint="eastAsia"/>
          <w:sz w:val="28"/>
          <w:szCs w:val="28"/>
          <w:highlight w:val="none"/>
          <w:u w:val="single"/>
        </w:rPr>
      </w:pPr>
      <w:r>
        <w:rPr>
          <w:rFonts w:hint="eastAsia"/>
          <w:sz w:val="28"/>
          <w:szCs w:val="28"/>
          <w:highlight w:val="none"/>
        </w:rPr>
        <w:t xml:space="preserve">    乙方（受托方）：</w:t>
      </w:r>
      <w:r>
        <w:rPr>
          <w:rFonts w:hint="eastAsia"/>
          <w:sz w:val="28"/>
          <w:szCs w:val="28"/>
          <w:highlight w:val="none"/>
          <w:u w:val="single"/>
        </w:rPr>
        <w:t xml:space="preserve">    </w:t>
      </w:r>
      <w:r>
        <w:rPr>
          <w:rFonts w:hint="eastAsia"/>
          <w:sz w:val="28"/>
          <w:szCs w:val="28"/>
          <w:highlight w:val="none"/>
          <w:u w:val="single"/>
          <w:lang w:val="en-US" w:eastAsia="zh-CN"/>
        </w:rPr>
        <w:t xml:space="preserve">                     </w:t>
      </w:r>
      <w:r>
        <w:rPr>
          <w:rFonts w:hint="eastAsia"/>
          <w:sz w:val="28"/>
          <w:szCs w:val="28"/>
          <w:highlight w:val="none"/>
          <w:u w:val="single"/>
        </w:rPr>
        <w:t xml:space="preserve"> </w:t>
      </w:r>
    </w:p>
    <w:p>
      <w:pPr>
        <w:spacing w:line="560" w:lineRule="exact"/>
        <w:rPr>
          <w:rFonts w:hint="eastAsia"/>
          <w:sz w:val="28"/>
          <w:szCs w:val="28"/>
          <w:highlight w:val="none"/>
        </w:rPr>
      </w:pPr>
      <w:r>
        <w:rPr>
          <w:rFonts w:hint="eastAsia"/>
          <w:sz w:val="28"/>
          <w:szCs w:val="28"/>
          <w:highlight w:val="none"/>
        </w:rPr>
        <w:t xml:space="preserve">      住  所  地：</w:t>
      </w:r>
      <w:r>
        <w:rPr>
          <w:rFonts w:hint="eastAsia"/>
          <w:sz w:val="28"/>
          <w:szCs w:val="28"/>
          <w:highlight w:val="none"/>
          <w:u w:val="single"/>
        </w:rPr>
        <w:t xml:space="preserve">                                     </w:t>
      </w:r>
      <w:r>
        <w:rPr>
          <w:rFonts w:hint="eastAsia"/>
          <w:sz w:val="28"/>
          <w:szCs w:val="28"/>
          <w:highlight w:val="none"/>
        </w:rPr>
        <w:t xml:space="preserve">  </w:t>
      </w:r>
    </w:p>
    <w:p>
      <w:pPr>
        <w:spacing w:line="560" w:lineRule="exact"/>
        <w:rPr>
          <w:rFonts w:hint="eastAsia"/>
          <w:sz w:val="28"/>
          <w:szCs w:val="28"/>
          <w:highlight w:val="none"/>
          <w:u w:val="single"/>
        </w:rPr>
      </w:pPr>
      <w:r>
        <w:rPr>
          <w:rFonts w:hint="eastAsia"/>
          <w:sz w:val="28"/>
          <w:szCs w:val="28"/>
          <w:highlight w:val="none"/>
        </w:rPr>
        <w:t xml:space="preserve">      法定代表人：</w:t>
      </w:r>
      <w:r>
        <w:rPr>
          <w:rFonts w:hint="eastAsia"/>
          <w:sz w:val="28"/>
          <w:szCs w:val="28"/>
          <w:highlight w:val="none"/>
          <w:u w:val="single"/>
        </w:rPr>
        <w:t xml:space="preserve">         </w:t>
      </w:r>
    </w:p>
    <w:p>
      <w:pPr>
        <w:spacing w:line="560" w:lineRule="exact"/>
        <w:rPr>
          <w:rFonts w:hint="eastAsia"/>
          <w:sz w:val="28"/>
          <w:szCs w:val="28"/>
          <w:highlight w:val="none"/>
          <w:u w:val="single"/>
        </w:rPr>
      </w:pPr>
      <w:r>
        <w:rPr>
          <w:rFonts w:hint="eastAsia"/>
          <w:sz w:val="28"/>
          <w:szCs w:val="28"/>
          <w:highlight w:val="none"/>
        </w:rPr>
        <w:t xml:space="preserve">      项目联系人：</w:t>
      </w:r>
      <w:r>
        <w:rPr>
          <w:rFonts w:hint="eastAsia"/>
          <w:sz w:val="28"/>
          <w:szCs w:val="28"/>
          <w:highlight w:val="none"/>
          <w:u w:val="single"/>
        </w:rPr>
        <w:t xml:space="preserve">        </w:t>
      </w:r>
    </w:p>
    <w:p>
      <w:pPr>
        <w:spacing w:line="560" w:lineRule="exact"/>
        <w:rPr>
          <w:sz w:val="28"/>
          <w:szCs w:val="28"/>
          <w:highlight w:val="none"/>
          <w:u w:val="single"/>
        </w:rPr>
      </w:pPr>
      <w:r>
        <w:rPr>
          <w:rFonts w:hint="eastAsia"/>
          <w:sz w:val="28"/>
          <w:szCs w:val="28"/>
          <w:highlight w:val="none"/>
        </w:rPr>
        <w:t xml:space="preserve">      联系方式 ： </w:t>
      </w:r>
      <w:r>
        <w:rPr>
          <w:rFonts w:hint="eastAsia"/>
          <w:sz w:val="28"/>
          <w:szCs w:val="28"/>
          <w:highlight w:val="none"/>
          <w:u w:val="single"/>
        </w:rPr>
        <w:t xml:space="preserve">              </w:t>
      </w:r>
    </w:p>
    <w:p>
      <w:pPr>
        <w:tabs>
          <w:tab w:val="left" w:pos="8100"/>
        </w:tabs>
        <w:spacing w:line="560" w:lineRule="exact"/>
        <w:rPr>
          <w:rFonts w:hint="eastAsia"/>
          <w:sz w:val="28"/>
          <w:szCs w:val="28"/>
          <w:highlight w:val="none"/>
          <w:u w:val="single"/>
        </w:rPr>
      </w:pPr>
      <w:r>
        <w:rPr>
          <w:rFonts w:hint="eastAsia"/>
          <w:sz w:val="28"/>
          <w:szCs w:val="28"/>
          <w:highlight w:val="none"/>
        </w:rPr>
        <w:t xml:space="preserve">      通讯地址：</w:t>
      </w:r>
      <w:r>
        <w:rPr>
          <w:rFonts w:hint="eastAsia"/>
          <w:sz w:val="28"/>
          <w:szCs w:val="28"/>
          <w:highlight w:val="none"/>
          <w:u w:val="single"/>
        </w:rPr>
        <w:t xml:space="preserve">                               </w:t>
      </w:r>
      <w:r>
        <w:rPr>
          <w:sz w:val="28"/>
          <w:szCs w:val="28"/>
          <w:highlight w:val="none"/>
          <w:u w:val="single"/>
        </w:rPr>
        <w:t xml:space="preserve">   </w:t>
      </w:r>
    </w:p>
    <w:p>
      <w:pPr>
        <w:spacing w:line="560" w:lineRule="exact"/>
        <w:rPr>
          <w:rFonts w:hint="eastAsia"/>
          <w:sz w:val="28"/>
          <w:szCs w:val="28"/>
          <w:highlight w:val="none"/>
          <w:u w:val="single"/>
        </w:rPr>
      </w:pPr>
      <w:r>
        <w:rPr>
          <w:rFonts w:hint="eastAsia"/>
          <w:sz w:val="28"/>
          <w:szCs w:val="28"/>
          <w:highlight w:val="none"/>
        </w:rPr>
        <w:t xml:space="preserve">      电话：</w:t>
      </w:r>
      <w:r>
        <w:rPr>
          <w:rFonts w:hint="eastAsia"/>
          <w:sz w:val="28"/>
          <w:szCs w:val="28"/>
          <w:highlight w:val="none"/>
          <w:u w:val="single"/>
        </w:rPr>
        <w:t xml:space="preserve">       </w:t>
      </w:r>
      <w:r>
        <w:rPr>
          <w:rFonts w:hint="eastAsia"/>
          <w:sz w:val="28"/>
          <w:szCs w:val="28"/>
          <w:highlight w:val="none"/>
        </w:rPr>
        <w:t xml:space="preserve"> 传真：</w:t>
      </w:r>
      <w:r>
        <w:rPr>
          <w:rFonts w:hint="eastAsia"/>
          <w:sz w:val="28"/>
          <w:szCs w:val="28"/>
          <w:highlight w:val="none"/>
          <w:u w:val="single"/>
        </w:rPr>
        <w:t xml:space="preserve">        </w:t>
      </w:r>
    </w:p>
    <w:p>
      <w:pPr>
        <w:spacing w:line="520" w:lineRule="exact"/>
        <w:rPr>
          <w:rFonts w:ascii="仿宋_GB2312" w:eastAsia="仿宋_GB2312"/>
          <w:sz w:val="28"/>
          <w:szCs w:val="28"/>
          <w:highlight w:val="none"/>
        </w:rPr>
      </w:pPr>
      <w:r>
        <w:rPr>
          <w:rFonts w:hint="eastAsia"/>
          <w:sz w:val="28"/>
          <w:szCs w:val="28"/>
          <w:highlight w:val="none"/>
        </w:rPr>
        <w:t xml:space="preserve">      电子信箱：</w:t>
      </w:r>
      <w:r>
        <w:rPr>
          <w:rFonts w:hint="eastAsia"/>
          <w:sz w:val="28"/>
          <w:szCs w:val="28"/>
          <w:highlight w:val="none"/>
          <w:u w:val="single"/>
        </w:rPr>
        <w:t xml:space="preserve">          </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本合同甲方委托乙方科技研发</w:t>
      </w:r>
      <w:r>
        <w:rPr>
          <w:rFonts w:hint="eastAsia" w:ascii="仿宋" w:hAnsi="仿宋" w:eastAsia="仿宋" w:cs="仿宋"/>
          <w:sz w:val="28"/>
          <w:szCs w:val="28"/>
          <w:highlight w:val="none"/>
          <w:u w:val="single"/>
        </w:rPr>
        <w:t xml:space="preserve"> 【</w:t>
      </w:r>
      <w:r>
        <w:rPr>
          <w:rFonts w:hint="eastAsia" w:ascii="仿宋_GB2312" w:hAnsi="宋体" w:eastAsia="仿宋_GB2312" w:cs="宋体"/>
          <w:sz w:val="28"/>
          <w:szCs w:val="28"/>
          <w:highlight w:val="none"/>
          <w:u w:val="single"/>
          <w:lang w:eastAsia="zh-CN"/>
        </w:rPr>
        <w:t>水泥回转窑筒体余热回收发电技术研发</w:t>
      </w:r>
      <w:r>
        <w:rPr>
          <w:rFonts w:hint="eastAsia" w:ascii="仿宋" w:hAnsi="仿宋" w:eastAsia="仿宋" w:cs="仿宋"/>
          <w:sz w:val="28"/>
          <w:szCs w:val="28"/>
          <w:highlight w:val="none"/>
          <w:u w:val="single"/>
        </w:rPr>
        <w:t>】</w:t>
      </w:r>
      <w:r>
        <w:rPr>
          <w:rFonts w:hint="eastAsia" w:ascii="仿宋_GB2312" w:hAnsi="宋体" w:eastAsia="仿宋_GB2312" w:cs="宋体"/>
          <w:sz w:val="28"/>
          <w:szCs w:val="28"/>
          <w:highlight w:val="none"/>
          <w:u w:val="single"/>
          <w:lang w:eastAsia="zh-CN"/>
        </w:rPr>
        <w:t>项目</w:t>
      </w:r>
      <w:r>
        <w:rPr>
          <w:rFonts w:hint="eastAsia" w:ascii="仿宋" w:hAnsi="仿宋" w:eastAsia="仿宋" w:cs="仿宋"/>
          <w:sz w:val="28"/>
          <w:szCs w:val="28"/>
          <w:highlight w:val="none"/>
          <w:u w:val="single"/>
        </w:rPr>
        <w:t>（项目号</w:t>
      </w:r>
      <w:r>
        <w:rPr>
          <w:rFonts w:hint="eastAsia" w:ascii="仿宋" w:hAnsi="仿宋" w:eastAsia="仿宋" w:cs="仿宋"/>
          <w:sz w:val="28"/>
          <w:szCs w:val="28"/>
          <w:highlight w:val="none"/>
          <w:u w:val="single"/>
          <w:lang w:val="en-US" w:eastAsia="zh-CN"/>
        </w:rPr>
        <w:t>000000</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支付</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相应科技研发经费, 乙方接受委托并进行此项科技研发工作。双方经过平等协商，在真实、充分地表达各自意愿的基础上，根据《中华人民共和国民法典》的规定，达成如下协议，并由双方共同恪守。</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第一条</w:t>
      </w:r>
      <w:r>
        <w:rPr>
          <w:rFonts w:hint="eastAsia" w:ascii="仿宋" w:hAnsi="仿宋" w:eastAsia="仿宋" w:cs="仿宋"/>
          <w:sz w:val="28"/>
          <w:szCs w:val="28"/>
          <w:highlight w:val="none"/>
        </w:rPr>
        <w:t xml:space="preserve"> 本合同科技研发项目的要求如下：</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1．技术内容：</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2．技术目标：</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3.技术方法和路线：</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4.创新点：</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第二条 </w:t>
      </w:r>
      <w:r>
        <w:rPr>
          <w:rFonts w:hint="eastAsia" w:ascii="仿宋" w:hAnsi="仿宋" w:eastAsia="仿宋" w:cs="仿宋"/>
          <w:sz w:val="28"/>
          <w:szCs w:val="28"/>
          <w:highlight w:val="none"/>
        </w:rPr>
        <w:t>乙方应在本合同生效后5日内向甲方提交科技研发计划，科技研发计划应包括以下主要内容：</w:t>
      </w:r>
    </w:p>
    <w:p>
      <w:pPr>
        <w:keepNext w:val="0"/>
        <w:keepLines w:val="0"/>
        <w:pageBreakBefore w:val="0"/>
        <w:widowControl w:val="0"/>
        <w:numPr>
          <w:ilvl w:val="0"/>
          <w:numId w:val="7"/>
        </w:numPr>
        <w:kinsoku/>
        <w:wordWrap/>
        <w:overflowPunct/>
        <w:topLinePunct w:val="0"/>
        <w:bidi w:val="0"/>
        <w:adjustRightInd/>
        <w:snapToGrid/>
        <w:spacing w:line="5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科技研发的技术目标；</w:t>
      </w:r>
    </w:p>
    <w:p>
      <w:pPr>
        <w:keepNext w:val="0"/>
        <w:keepLines w:val="0"/>
        <w:pageBreakBefore w:val="0"/>
        <w:widowControl w:val="0"/>
        <w:kinsoku/>
        <w:wordWrap/>
        <w:overflowPunct/>
        <w:topLinePunct w:val="0"/>
        <w:bidi w:val="0"/>
        <w:adjustRightInd/>
        <w:snapToGrid/>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 科技研发的技术内容；        </w:t>
      </w:r>
    </w:p>
    <w:p>
      <w:pPr>
        <w:keepNext w:val="0"/>
        <w:keepLines w:val="0"/>
        <w:pageBreakBefore w:val="0"/>
        <w:widowControl w:val="0"/>
        <w:kinsoku/>
        <w:wordWrap/>
        <w:overflowPunct/>
        <w:topLinePunct w:val="0"/>
        <w:bidi w:val="0"/>
        <w:adjustRightInd/>
        <w:snapToGrid/>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 科技研发的方法和路线；</w:t>
      </w:r>
    </w:p>
    <w:p>
      <w:pPr>
        <w:keepNext w:val="0"/>
        <w:keepLines w:val="0"/>
        <w:pageBreakBefore w:val="0"/>
        <w:widowControl w:val="0"/>
        <w:tabs>
          <w:tab w:val="left" w:pos="789"/>
        </w:tabs>
        <w:kinsoku/>
        <w:wordWrap/>
        <w:overflowPunct/>
        <w:topLinePunct w:val="0"/>
        <w:bidi w:val="0"/>
        <w:adjustRightInd/>
        <w:snapToGrid/>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4. 科技研发的进度表；</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 xml:space="preserve">第三条 </w:t>
      </w:r>
      <w:r>
        <w:rPr>
          <w:rFonts w:hint="eastAsia" w:ascii="仿宋" w:hAnsi="仿宋" w:eastAsia="仿宋" w:cs="仿宋"/>
          <w:sz w:val="28"/>
          <w:szCs w:val="28"/>
          <w:highlight w:val="none"/>
          <w:lang w:val="en-US" w:eastAsia="zh-CN"/>
        </w:rPr>
        <w:t>研发进度：</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乙方应在保证安全、环保的前提下，按照甲方确认的目标、内容、方法和路线进行研发工作，并按下列进度完成研发工作：</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1. 合同生效后10天内提供【</w:t>
      </w:r>
      <w:r>
        <w:rPr>
          <w:rFonts w:hint="eastAsia" w:ascii="仿宋_GB2312" w:hAnsi="宋体" w:eastAsia="仿宋_GB2312" w:cs="宋体"/>
          <w:sz w:val="28"/>
          <w:szCs w:val="28"/>
          <w:highlight w:val="none"/>
          <w:lang w:eastAsia="zh-CN"/>
        </w:rPr>
        <w:t>水泥回转窑筒体余热回收发电技术研发</w:t>
      </w:r>
      <w:r>
        <w:rPr>
          <w:rFonts w:hint="eastAsia" w:ascii="仿宋" w:hAnsi="仿宋" w:eastAsia="仿宋" w:cs="仿宋"/>
          <w:sz w:val="28"/>
          <w:szCs w:val="28"/>
          <w:highlight w:val="none"/>
        </w:rPr>
        <w:t>】</w:t>
      </w:r>
      <w:r>
        <w:rPr>
          <w:rFonts w:hint="eastAsia" w:ascii="仿宋_GB2312" w:hAnsi="宋体" w:eastAsia="仿宋_GB2312" w:cs="宋体"/>
          <w:sz w:val="28"/>
          <w:szCs w:val="28"/>
          <w:highlight w:val="none"/>
          <w:lang w:eastAsia="zh-CN"/>
        </w:rPr>
        <w:t>项目</w:t>
      </w:r>
      <w:r>
        <w:rPr>
          <w:rFonts w:hint="eastAsia" w:ascii="仿宋" w:hAnsi="仿宋" w:eastAsia="仿宋" w:cs="仿宋"/>
          <w:sz w:val="28"/>
          <w:szCs w:val="28"/>
          <w:highlight w:val="none"/>
        </w:rPr>
        <w:t>的研发计划。</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2.完成第一项内容后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天内完成【</w:t>
      </w:r>
      <w:r>
        <w:rPr>
          <w:rFonts w:hint="eastAsia" w:ascii="仿宋_GB2312" w:hAnsi="宋体" w:eastAsia="仿宋_GB2312" w:cs="宋体"/>
          <w:sz w:val="28"/>
          <w:szCs w:val="28"/>
          <w:highlight w:val="none"/>
          <w:lang w:eastAsia="zh-CN"/>
        </w:rPr>
        <w:t>水泥回转窑筒体余热回收发电技术研发</w:t>
      </w:r>
      <w:r>
        <w:rPr>
          <w:rFonts w:hint="eastAsia" w:ascii="仿宋" w:hAnsi="仿宋" w:eastAsia="仿宋" w:cs="仿宋"/>
          <w:sz w:val="28"/>
          <w:szCs w:val="28"/>
          <w:highlight w:val="none"/>
        </w:rPr>
        <w:t>】</w:t>
      </w:r>
      <w:r>
        <w:rPr>
          <w:rFonts w:hint="eastAsia" w:ascii="仿宋_GB2312" w:hAnsi="宋体" w:eastAsia="仿宋_GB2312" w:cs="宋体"/>
          <w:sz w:val="28"/>
          <w:szCs w:val="28"/>
          <w:highlight w:val="none"/>
          <w:lang w:eastAsia="zh-CN"/>
        </w:rPr>
        <w:t>项目</w:t>
      </w:r>
      <w:r>
        <w:rPr>
          <w:rFonts w:hint="eastAsia" w:ascii="仿宋" w:hAnsi="仿宋" w:eastAsia="仿宋" w:cs="仿宋"/>
          <w:sz w:val="28"/>
          <w:szCs w:val="28"/>
          <w:highlight w:val="none"/>
        </w:rPr>
        <w:t>的整套</w:t>
      </w:r>
      <w:r>
        <w:rPr>
          <w:rFonts w:hint="eastAsia" w:ascii="仿宋" w:hAnsi="仿宋" w:eastAsia="仿宋" w:cs="仿宋"/>
          <w:sz w:val="28"/>
          <w:szCs w:val="28"/>
          <w:highlight w:val="none"/>
          <w:lang w:val="en-US" w:eastAsia="zh-CN"/>
        </w:rPr>
        <w:t>技术方案。</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3.完成第二项任务后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天内完成</w:t>
      </w:r>
      <w:r>
        <w:rPr>
          <w:rFonts w:hint="eastAsia" w:ascii="仿宋" w:hAnsi="仿宋" w:eastAsia="仿宋" w:cs="仿宋"/>
          <w:sz w:val="28"/>
          <w:szCs w:val="28"/>
          <w:highlight w:val="none"/>
          <w:lang w:val="en-US" w:eastAsia="zh-CN"/>
        </w:rPr>
        <w:t>研发设备制作，研发部件</w:t>
      </w:r>
      <w:r>
        <w:rPr>
          <w:rFonts w:hint="eastAsia" w:ascii="仿宋" w:hAnsi="仿宋" w:eastAsia="仿宋" w:cs="仿宋"/>
          <w:sz w:val="28"/>
          <w:szCs w:val="28"/>
          <w:highlight w:val="none"/>
        </w:rPr>
        <w:t>安装、调试</w:t>
      </w:r>
      <w:r>
        <w:rPr>
          <w:rFonts w:hint="eastAsia" w:ascii="仿宋" w:hAnsi="仿宋" w:eastAsia="仿宋" w:cs="仿宋"/>
          <w:sz w:val="28"/>
          <w:szCs w:val="28"/>
          <w:highlight w:val="none"/>
          <w:lang w:val="en-US" w:eastAsia="zh-CN"/>
        </w:rPr>
        <w:t>系统</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系统运行</w:t>
      </w:r>
      <w:r>
        <w:rPr>
          <w:rFonts w:hint="eastAsia" w:ascii="仿宋" w:hAnsi="仿宋" w:eastAsia="仿宋" w:cs="仿宋"/>
          <w:sz w:val="28"/>
          <w:szCs w:val="28"/>
          <w:highlight w:val="none"/>
        </w:rPr>
        <w:t>效果的</w:t>
      </w:r>
      <w:r>
        <w:rPr>
          <w:rFonts w:hint="eastAsia" w:ascii="仿宋" w:hAnsi="仿宋" w:eastAsia="仿宋" w:cs="仿宋"/>
          <w:sz w:val="28"/>
          <w:szCs w:val="28"/>
          <w:highlight w:val="none"/>
          <w:lang w:val="en-US" w:eastAsia="zh-CN"/>
        </w:rPr>
        <w:t>试</w:t>
      </w:r>
      <w:r>
        <w:rPr>
          <w:rFonts w:hint="eastAsia" w:ascii="仿宋" w:hAnsi="仿宋" w:eastAsia="仿宋" w:cs="仿宋"/>
          <w:sz w:val="28"/>
          <w:szCs w:val="28"/>
          <w:highlight w:val="none"/>
        </w:rPr>
        <w:t>验（因甲方现场</w:t>
      </w:r>
      <w:r>
        <w:rPr>
          <w:rFonts w:hint="eastAsia" w:ascii="仿宋" w:hAnsi="仿宋" w:eastAsia="仿宋" w:cs="仿宋"/>
          <w:sz w:val="28"/>
          <w:szCs w:val="28"/>
          <w:highlight w:val="none"/>
          <w:lang w:val="en-US" w:eastAsia="zh-CN"/>
        </w:rPr>
        <w:t>试验</w:t>
      </w:r>
      <w:r>
        <w:rPr>
          <w:rFonts w:hint="eastAsia" w:ascii="仿宋" w:hAnsi="仿宋" w:eastAsia="仿宋" w:cs="仿宋"/>
          <w:sz w:val="28"/>
          <w:szCs w:val="28"/>
          <w:highlight w:val="none"/>
        </w:rPr>
        <w:t>条件不具备的原因不能按时完成则时间顺延）；每次研发试验前，要有详细的技术项目设计书和试验后要有针对性的总结和改进方案。</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 xml:space="preserve">第四条 </w:t>
      </w:r>
      <w:r>
        <w:rPr>
          <w:rFonts w:hint="eastAsia" w:ascii="仿宋" w:hAnsi="仿宋" w:eastAsia="仿宋" w:cs="仿宋"/>
          <w:sz w:val="28"/>
          <w:szCs w:val="28"/>
          <w:highlight w:val="none"/>
          <w:lang w:val="en-US" w:eastAsia="zh-CN"/>
        </w:rPr>
        <w:t>安全责任：</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1、乙方自带工具以及劳动保护用品；</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2、乙方应严格遵循安全</w:t>
      </w:r>
      <w:r>
        <w:rPr>
          <w:rFonts w:hint="eastAsia" w:ascii="仿宋" w:hAnsi="仿宋" w:eastAsia="仿宋" w:cs="仿宋"/>
          <w:sz w:val="28"/>
          <w:szCs w:val="28"/>
          <w:highlight w:val="none"/>
          <w:lang w:val="en-US" w:eastAsia="zh-CN"/>
        </w:rPr>
        <w:t>工作</w:t>
      </w:r>
      <w:r>
        <w:rPr>
          <w:rFonts w:hint="eastAsia" w:ascii="仿宋" w:hAnsi="仿宋" w:eastAsia="仿宋" w:cs="仿宋"/>
          <w:sz w:val="28"/>
          <w:szCs w:val="28"/>
          <w:highlight w:val="none"/>
        </w:rPr>
        <w:t>条例，</w:t>
      </w:r>
      <w:r>
        <w:rPr>
          <w:rFonts w:hint="eastAsia" w:ascii="仿宋" w:hAnsi="仿宋" w:eastAsia="仿宋" w:cs="仿宋"/>
          <w:sz w:val="28"/>
          <w:szCs w:val="28"/>
          <w:highlight w:val="none"/>
          <w:lang w:val="en-US" w:eastAsia="zh-CN"/>
        </w:rPr>
        <w:t>在研发活动中须</w:t>
      </w:r>
      <w:r>
        <w:rPr>
          <w:rFonts w:hint="eastAsia" w:ascii="仿宋" w:hAnsi="仿宋" w:eastAsia="仿宋" w:cs="仿宋"/>
          <w:sz w:val="28"/>
          <w:szCs w:val="28"/>
          <w:highlight w:val="none"/>
        </w:rPr>
        <w:t>遵守甲方厂规厂纪，否则按甲方规定处理；</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需在进场3天前办理完成入厂相关手续（安全协议及相关资料），如因未办理完成入厂手续导致的误工及工期延误责任由</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承担。必须持有相关特种作业证方可开始作业，作业中要安排专人负责现场施工的安全检查工作。</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乙方应加强</w:t>
      </w:r>
      <w:r>
        <w:rPr>
          <w:rFonts w:hint="eastAsia" w:ascii="仿宋" w:hAnsi="仿宋" w:eastAsia="仿宋" w:cs="仿宋"/>
          <w:sz w:val="28"/>
          <w:szCs w:val="28"/>
          <w:highlight w:val="none"/>
          <w:lang w:val="en-US" w:eastAsia="zh-CN"/>
        </w:rPr>
        <w:t>工作</w:t>
      </w:r>
      <w:r>
        <w:rPr>
          <w:rFonts w:hint="eastAsia" w:ascii="仿宋" w:hAnsi="仿宋" w:eastAsia="仿宋" w:cs="仿宋"/>
          <w:sz w:val="28"/>
          <w:szCs w:val="28"/>
          <w:highlight w:val="none"/>
        </w:rPr>
        <w:t>现场管理及职工素质教育与安全教育。采取必要的安全防护措施，消除事故隐患，确保</w:t>
      </w:r>
      <w:r>
        <w:rPr>
          <w:rFonts w:hint="eastAsia" w:ascii="仿宋" w:hAnsi="仿宋" w:eastAsia="仿宋" w:cs="仿宋"/>
          <w:sz w:val="28"/>
          <w:szCs w:val="28"/>
          <w:highlight w:val="none"/>
          <w:lang w:val="en-US" w:eastAsia="zh-CN"/>
        </w:rPr>
        <w:t>研发红豆</w:t>
      </w:r>
      <w:r>
        <w:rPr>
          <w:rFonts w:hint="eastAsia" w:ascii="仿宋" w:hAnsi="仿宋" w:eastAsia="仿宋" w:cs="仿宋"/>
          <w:sz w:val="28"/>
          <w:szCs w:val="28"/>
          <w:highlight w:val="none"/>
        </w:rPr>
        <w:t>安全。由于乙方安全措施不力造成事故的责任和因此发生的费用，由乙方负责承担。</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、乙方应严格按照操作规程办事，乙方在现场，应指定专（兼）职安全员，佩带专用标志及时与甲方安全负责人联系，做好现场的安全工作。</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、乙方必须按照国家规定为</w:t>
      </w:r>
      <w:r>
        <w:rPr>
          <w:rFonts w:hint="eastAsia" w:ascii="仿宋" w:hAnsi="仿宋" w:eastAsia="仿宋" w:cs="仿宋"/>
          <w:sz w:val="28"/>
          <w:szCs w:val="28"/>
          <w:highlight w:val="none"/>
          <w:lang w:val="en-US" w:eastAsia="zh-CN"/>
        </w:rPr>
        <w:t>工作</w:t>
      </w:r>
      <w:r>
        <w:rPr>
          <w:rFonts w:hint="eastAsia" w:ascii="仿宋" w:hAnsi="仿宋" w:eastAsia="仿宋" w:cs="仿宋"/>
          <w:sz w:val="28"/>
          <w:szCs w:val="28"/>
          <w:highlight w:val="none"/>
        </w:rPr>
        <w:t>人员缴纳社会保险或商业保险（不低于1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0万元），费用由乙方自行承担；乙方保证安排的</w:t>
      </w:r>
      <w:r>
        <w:rPr>
          <w:rFonts w:hint="eastAsia" w:ascii="仿宋" w:hAnsi="仿宋" w:eastAsia="仿宋" w:cs="仿宋"/>
          <w:sz w:val="28"/>
          <w:szCs w:val="28"/>
          <w:highlight w:val="none"/>
          <w:lang w:val="en-US" w:eastAsia="zh-CN"/>
        </w:rPr>
        <w:t>工作</w:t>
      </w:r>
      <w:r>
        <w:rPr>
          <w:rFonts w:hint="eastAsia" w:ascii="仿宋" w:hAnsi="仿宋" w:eastAsia="仿宋" w:cs="仿宋"/>
          <w:sz w:val="28"/>
          <w:szCs w:val="28"/>
          <w:highlight w:val="none"/>
        </w:rPr>
        <w:t>人员年龄不得超过55周岁；特殊作业人员需要提供特殊作业人员相关的作业证或操作证；安全考核执行甲方安全管理协议中的约定，对违反规定的给予500-1000元的处罚。</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b/>
          <w:sz w:val="28"/>
          <w:szCs w:val="28"/>
          <w:highlight w:val="none"/>
        </w:rPr>
        <w:t>第五条</w:t>
      </w:r>
      <w:r>
        <w:rPr>
          <w:rFonts w:hint="eastAsia" w:ascii="仿宋" w:hAnsi="仿宋" w:eastAsia="仿宋" w:cs="仿宋"/>
          <w:sz w:val="28"/>
          <w:szCs w:val="28"/>
          <w:highlight w:val="none"/>
        </w:rPr>
        <w:t xml:space="preserve"> 甲方应按以下方式支付科技研发经费和报酬：</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1．项目科</w:t>
      </w:r>
      <w:r>
        <w:rPr>
          <w:rFonts w:hint="eastAsia" w:ascii="仿宋" w:hAnsi="仿宋" w:eastAsia="仿宋" w:cs="仿宋"/>
          <w:b w:val="0"/>
          <w:bCs w:val="0"/>
          <w:sz w:val="28"/>
          <w:szCs w:val="28"/>
          <w:highlight w:val="none"/>
        </w:rPr>
        <w:t>技研发费用总额为¥</w:t>
      </w:r>
      <w:r>
        <w:rPr>
          <w:rFonts w:hint="eastAsia" w:ascii="仿宋" w:hAnsi="仿宋" w:eastAsia="仿宋" w:cs="仿宋"/>
          <w:b w:val="0"/>
          <w:bCs w:val="0"/>
          <w:sz w:val="28"/>
          <w:szCs w:val="28"/>
          <w:highlight w:val="none"/>
          <w:u w:val="single"/>
        </w:rPr>
        <w:t xml:space="preserve">     </w:t>
      </w:r>
      <w:r>
        <w:rPr>
          <w:rFonts w:hint="eastAsia" w:ascii="仿宋" w:hAnsi="仿宋" w:eastAsia="仿宋" w:cs="仿宋"/>
          <w:b w:val="0"/>
          <w:bCs w:val="0"/>
          <w:sz w:val="28"/>
          <w:szCs w:val="28"/>
          <w:highlight w:val="none"/>
        </w:rPr>
        <w:t>元整 ，大写：</w:t>
      </w:r>
      <w:r>
        <w:rPr>
          <w:rFonts w:hint="eastAsia" w:ascii="仿宋" w:hAnsi="仿宋" w:eastAsia="仿宋" w:cs="仿宋"/>
          <w:b w:val="0"/>
          <w:bCs w:val="0"/>
          <w:sz w:val="28"/>
          <w:szCs w:val="28"/>
          <w:highlight w:val="none"/>
          <w:u w:val="single"/>
        </w:rPr>
        <w:t xml:space="preserve">    </w:t>
      </w:r>
      <w:r>
        <w:rPr>
          <w:rFonts w:hint="eastAsia" w:ascii="仿宋" w:hAnsi="仿宋" w:eastAsia="仿宋" w:cs="仿宋"/>
          <w:b w:val="0"/>
          <w:bCs w:val="0"/>
          <w:sz w:val="28"/>
          <w:szCs w:val="28"/>
          <w:highlight w:val="none"/>
        </w:rPr>
        <w:t>整（含6%增值税</w:t>
      </w:r>
      <w:r>
        <w:rPr>
          <w:rFonts w:hint="eastAsia" w:ascii="仿宋" w:hAnsi="仿宋" w:eastAsia="仿宋" w:cs="仿宋"/>
          <w:b w:val="0"/>
          <w:bCs w:val="0"/>
          <w:sz w:val="28"/>
          <w:szCs w:val="28"/>
          <w:highlight w:val="none"/>
          <w:lang w:val="en-US" w:eastAsia="zh-CN"/>
        </w:rPr>
        <w:t>专用发票</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不含税金额为</w:t>
      </w:r>
      <w:r>
        <w:rPr>
          <w:rFonts w:hint="eastAsia" w:ascii="仿宋" w:hAnsi="仿宋" w:eastAsia="仿宋" w:cs="仿宋"/>
          <w:b w:val="0"/>
          <w:bCs w:val="0"/>
          <w:sz w:val="28"/>
          <w:szCs w:val="28"/>
          <w:highlight w:val="none"/>
          <w:u w:val="single"/>
        </w:rPr>
        <w:t xml:space="preserve">     </w:t>
      </w:r>
      <w:r>
        <w:rPr>
          <w:rFonts w:hint="eastAsia" w:ascii="仿宋" w:hAnsi="仿宋" w:eastAsia="仿宋" w:cs="仿宋"/>
          <w:b w:val="0"/>
          <w:bCs w:val="0"/>
          <w:sz w:val="28"/>
          <w:szCs w:val="28"/>
          <w:highlight w:val="none"/>
        </w:rPr>
        <w:t>元整。特殊情况：因国家税收政策性调整</w:t>
      </w:r>
      <w:r>
        <w:rPr>
          <w:rFonts w:hint="eastAsia" w:ascii="仿宋" w:hAnsi="仿宋" w:eastAsia="仿宋" w:cs="仿宋"/>
          <w:b w:val="0"/>
          <w:bCs w:val="0"/>
          <w:sz w:val="28"/>
          <w:szCs w:val="28"/>
          <w:highlight w:val="none"/>
          <w:lang w:val="en-US" w:eastAsia="zh-CN"/>
        </w:rPr>
        <w:t>变动</w:t>
      </w:r>
      <w:r>
        <w:rPr>
          <w:rFonts w:hint="eastAsia" w:ascii="仿宋" w:hAnsi="仿宋" w:eastAsia="仿宋" w:cs="仿宋"/>
          <w:b w:val="0"/>
          <w:bCs w:val="0"/>
          <w:sz w:val="28"/>
          <w:szCs w:val="28"/>
          <w:highlight w:val="none"/>
        </w:rPr>
        <w:t xml:space="preserve">，税率发生变化，则以不含税单价为基准加相应的税率予以结算。 </w:t>
      </w:r>
    </w:p>
    <w:p>
      <w:pPr>
        <w:keepNext w:val="0"/>
        <w:keepLines w:val="0"/>
        <w:pageBreakBefore w:val="0"/>
        <w:widowControl w:val="0"/>
        <w:kinsoku/>
        <w:wordWrap/>
        <w:overflowPunct/>
        <w:topLinePunct w:val="0"/>
        <w:bidi w:val="0"/>
        <w:adjustRightInd/>
        <w:snapToGrid/>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其中：因乙方因素造成连续</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次不能及时完成【</w:t>
      </w:r>
      <w:r>
        <w:rPr>
          <w:rFonts w:hint="eastAsia" w:ascii="仿宋_GB2312" w:hAnsi="宋体" w:eastAsia="仿宋_GB2312" w:cs="宋体"/>
          <w:sz w:val="28"/>
          <w:szCs w:val="28"/>
          <w:highlight w:val="none"/>
          <w:lang w:eastAsia="zh-CN"/>
        </w:rPr>
        <w:t>水泥回转窑筒体余热回收发电技术研发</w:t>
      </w:r>
      <w:r>
        <w:rPr>
          <w:rFonts w:hint="eastAsia" w:ascii="仿宋" w:hAnsi="仿宋" w:eastAsia="仿宋" w:cs="仿宋"/>
          <w:sz w:val="28"/>
          <w:szCs w:val="28"/>
          <w:highlight w:val="none"/>
        </w:rPr>
        <w:t>】</w:t>
      </w:r>
      <w:r>
        <w:rPr>
          <w:rFonts w:hint="eastAsia" w:ascii="仿宋_GB2312" w:hAnsi="宋体" w:eastAsia="仿宋_GB2312" w:cs="宋体"/>
          <w:sz w:val="28"/>
          <w:szCs w:val="28"/>
          <w:highlight w:val="none"/>
          <w:lang w:eastAsia="zh-CN"/>
        </w:rPr>
        <w:t>项目</w:t>
      </w:r>
      <w:r>
        <w:rPr>
          <w:rFonts w:hint="eastAsia" w:ascii="仿宋" w:hAnsi="仿宋" w:eastAsia="仿宋" w:cs="仿宋"/>
          <w:sz w:val="28"/>
          <w:szCs w:val="28"/>
          <w:highlight w:val="none"/>
        </w:rPr>
        <w:t>技术研发，甲方有权停止研发项目费用支付，并终止本协议。</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 </w:t>
      </w:r>
      <w:r>
        <w:rPr>
          <w:rFonts w:hint="eastAsia" w:ascii="仿宋" w:hAnsi="仿宋" w:eastAsia="仿宋" w:cs="仿宋"/>
          <w:sz w:val="28"/>
          <w:szCs w:val="28"/>
          <w:highlight w:val="none"/>
          <w:lang w:val="en-US" w:eastAsia="zh-CN"/>
        </w:rPr>
        <w:t>项</w:t>
      </w:r>
      <w:r>
        <w:rPr>
          <w:rFonts w:hint="eastAsia" w:ascii="仿宋" w:hAnsi="仿宋" w:eastAsia="仿宋" w:cs="仿宋"/>
          <w:sz w:val="28"/>
          <w:szCs w:val="28"/>
          <w:highlight w:val="none"/>
        </w:rPr>
        <w:t>目研发经费由甲方分</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期支付乙方。具体支付方式和时间如下：</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第一期：</w:t>
      </w:r>
      <w:r>
        <w:rPr>
          <w:rFonts w:hint="eastAsia" w:ascii="仿宋" w:hAnsi="仿宋" w:eastAsia="仿宋" w:cs="仿宋"/>
          <w:sz w:val="28"/>
          <w:szCs w:val="28"/>
          <w:highlight w:val="yellow"/>
        </w:rPr>
        <w:t>经甲方核对乙方提供的科技研发</w:t>
      </w:r>
      <w:r>
        <w:rPr>
          <w:rFonts w:hint="eastAsia" w:ascii="仿宋" w:hAnsi="仿宋" w:eastAsia="仿宋" w:cs="仿宋"/>
          <w:sz w:val="28"/>
          <w:szCs w:val="28"/>
          <w:highlight w:val="yellow"/>
          <w:lang w:val="en-US" w:eastAsia="zh-CN"/>
        </w:rPr>
        <w:t>方案</w:t>
      </w:r>
      <w:r>
        <w:rPr>
          <w:rFonts w:hint="eastAsia" w:ascii="仿宋" w:hAnsi="仿宋" w:eastAsia="仿宋" w:cs="仿宋"/>
          <w:sz w:val="28"/>
          <w:szCs w:val="28"/>
          <w:highlight w:val="yellow"/>
        </w:rPr>
        <w:t>无误，且乙方提供技术合同</w:t>
      </w:r>
      <w:r>
        <w:rPr>
          <w:rFonts w:hint="eastAsia" w:ascii="仿宋" w:hAnsi="仿宋" w:eastAsia="仿宋" w:cs="仿宋"/>
          <w:sz w:val="28"/>
          <w:szCs w:val="28"/>
          <w:highlight w:val="yellow"/>
          <w:lang w:val="en-US" w:eastAsia="zh-CN"/>
        </w:rPr>
        <w:t>认定</w:t>
      </w:r>
      <w:r>
        <w:rPr>
          <w:rFonts w:hint="eastAsia" w:ascii="仿宋" w:hAnsi="仿宋" w:eastAsia="仿宋" w:cs="仿宋"/>
          <w:sz w:val="28"/>
          <w:szCs w:val="28"/>
          <w:highlight w:val="yellow"/>
        </w:rPr>
        <w:t>备案原件</w:t>
      </w:r>
      <w:r>
        <w:rPr>
          <w:rFonts w:hint="eastAsia" w:ascii="仿宋" w:hAnsi="仿宋" w:eastAsia="仿宋" w:cs="仿宋"/>
          <w:sz w:val="28"/>
          <w:szCs w:val="28"/>
          <w:highlight w:val="yellow"/>
          <w:lang w:val="en-US" w:eastAsia="zh-CN"/>
        </w:rPr>
        <w:t>后甲方支付乙方</w:t>
      </w:r>
      <w:r>
        <w:rPr>
          <w:rFonts w:hint="eastAsia" w:ascii="仿宋" w:hAnsi="仿宋" w:eastAsia="仿宋" w:cs="仿宋"/>
          <w:sz w:val="28"/>
          <w:szCs w:val="28"/>
          <w:highlight w:val="yellow"/>
        </w:rPr>
        <w:t>项目科技研发费用</w:t>
      </w:r>
      <w:bookmarkStart w:id="48" w:name="_GoBack"/>
      <w:bookmarkEnd w:id="48"/>
      <w:r>
        <w:rPr>
          <w:rFonts w:hint="eastAsia" w:ascii="仿宋" w:hAnsi="仿宋" w:eastAsia="仿宋" w:cs="仿宋"/>
          <w:sz w:val="28"/>
          <w:szCs w:val="28"/>
          <w:highlight w:val="yellow"/>
        </w:rPr>
        <w:t>的</w:t>
      </w:r>
      <w:r>
        <w:rPr>
          <w:rFonts w:hint="eastAsia" w:ascii="仿宋" w:hAnsi="仿宋" w:eastAsia="仿宋" w:cs="仿宋"/>
          <w:sz w:val="28"/>
          <w:szCs w:val="28"/>
          <w:highlight w:val="yellow"/>
          <w:u w:val="single"/>
          <w:lang w:val="en-US" w:eastAsia="zh-CN"/>
        </w:rPr>
        <w:t>30</w:t>
      </w:r>
      <w:r>
        <w:rPr>
          <w:rFonts w:hint="eastAsia" w:ascii="仿宋" w:hAnsi="仿宋" w:eastAsia="仿宋" w:cs="仿宋"/>
          <w:sz w:val="28"/>
          <w:szCs w:val="28"/>
          <w:highlight w:val="yellow"/>
        </w:rPr>
        <w:t>%</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（乙方</w:t>
      </w:r>
      <w:r>
        <w:rPr>
          <w:rFonts w:hint="eastAsia" w:ascii="仿宋" w:hAnsi="仿宋" w:eastAsia="仿宋" w:cs="仿宋"/>
          <w:color w:val="000000"/>
          <w:sz w:val="28"/>
          <w:szCs w:val="28"/>
          <w:highlight w:val="yellow"/>
        </w:rPr>
        <w:t>开具</w:t>
      </w:r>
      <w:r>
        <w:rPr>
          <w:rFonts w:hint="eastAsia" w:ascii="仿宋" w:hAnsi="仿宋" w:eastAsia="仿宋" w:cs="仿宋"/>
          <w:color w:val="000000"/>
          <w:sz w:val="28"/>
          <w:szCs w:val="28"/>
          <w:highlight w:val="yellow"/>
          <w:lang w:val="en-US" w:eastAsia="zh-CN"/>
        </w:rPr>
        <w:t>全</w:t>
      </w:r>
      <w:r>
        <w:rPr>
          <w:rFonts w:hint="eastAsia" w:ascii="仿宋" w:hAnsi="仿宋" w:eastAsia="仿宋" w:cs="仿宋"/>
          <w:color w:val="000000"/>
          <w:sz w:val="28"/>
          <w:szCs w:val="28"/>
          <w:highlight w:val="yellow"/>
        </w:rPr>
        <w:t>额</w:t>
      </w:r>
      <w:r>
        <w:rPr>
          <w:rFonts w:hint="eastAsia" w:ascii="仿宋" w:hAnsi="仿宋" w:eastAsia="仿宋" w:cs="仿宋"/>
          <w:sz w:val="28"/>
          <w:szCs w:val="28"/>
          <w:highlight w:val="yellow"/>
        </w:rPr>
        <w:t>增值税专用发票</w:t>
      </w:r>
      <w:r>
        <w:rPr>
          <w:rFonts w:hint="eastAsia" w:ascii="仿宋" w:hAnsi="仿宋" w:eastAsia="仿宋" w:cs="仿宋"/>
          <w:color w:val="000000"/>
          <w:sz w:val="28"/>
          <w:szCs w:val="28"/>
          <w:highlight w:val="yellow"/>
        </w:rPr>
        <w:t>，税率为</w:t>
      </w:r>
      <w:r>
        <w:rPr>
          <w:rFonts w:hint="eastAsia" w:ascii="仿宋" w:hAnsi="仿宋" w:eastAsia="仿宋" w:cs="仿宋"/>
          <w:sz w:val="28"/>
          <w:szCs w:val="28"/>
          <w:highlight w:val="yellow"/>
        </w:rPr>
        <w:t>6%）；</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第二期：乙方主要研发设备到厂，经甲方确认无误后支付乙方</w:t>
      </w:r>
      <w:r>
        <w:rPr>
          <w:rFonts w:hint="eastAsia" w:ascii="仿宋" w:hAnsi="仿宋" w:eastAsia="仿宋" w:cs="仿宋"/>
          <w:sz w:val="28"/>
          <w:szCs w:val="28"/>
          <w:highlight w:val="yellow"/>
        </w:rPr>
        <w:t>项目科技研发费用的</w:t>
      </w:r>
      <w:r>
        <w:rPr>
          <w:rFonts w:hint="eastAsia" w:ascii="仿宋" w:hAnsi="仿宋" w:eastAsia="仿宋" w:cs="仿宋"/>
          <w:sz w:val="28"/>
          <w:szCs w:val="28"/>
          <w:highlight w:val="yellow"/>
          <w:u w:val="single"/>
          <w:lang w:val="en-US" w:eastAsia="zh-CN"/>
        </w:rPr>
        <w:t>15</w:t>
      </w:r>
      <w:r>
        <w:rPr>
          <w:rFonts w:hint="eastAsia" w:ascii="仿宋" w:hAnsi="仿宋" w:eastAsia="仿宋" w:cs="仿宋"/>
          <w:sz w:val="28"/>
          <w:szCs w:val="28"/>
          <w:highlight w:val="yellow"/>
        </w:rPr>
        <w:t>%</w:t>
      </w:r>
      <w:r>
        <w:rPr>
          <w:rFonts w:hint="eastAsia" w:ascii="仿宋" w:hAnsi="仿宋" w:eastAsia="仿宋" w:cs="仿宋"/>
          <w:sz w:val="28"/>
          <w:szCs w:val="28"/>
          <w:highlight w:val="yellow"/>
          <w:lang w:eastAsia="zh-CN"/>
        </w:rPr>
        <w:t>。</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yellow"/>
        </w:rPr>
      </w:pP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第三期：</w:t>
      </w:r>
      <w:r>
        <w:rPr>
          <w:rFonts w:hint="eastAsia" w:ascii="仿宋" w:hAnsi="仿宋" w:eastAsia="仿宋" w:cs="仿宋"/>
          <w:sz w:val="28"/>
          <w:szCs w:val="28"/>
          <w:highlight w:val="yellow"/>
        </w:rPr>
        <w:t>乙方项目研发完成后，</w:t>
      </w:r>
      <w:r>
        <w:rPr>
          <w:rFonts w:hint="eastAsia" w:ascii="仿宋" w:hAnsi="仿宋" w:eastAsia="仿宋" w:cs="仿宋"/>
          <w:kern w:val="10"/>
          <w:sz w:val="28"/>
          <w:szCs w:val="28"/>
          <w:highlight w:val="yellow"/>
        </w:rPr>
        <w:t>调试</w:t>
      </w:r>
      <w:r>
        <w:rPr>
          <w:rFonts w:hint="eastAsia" w:ascii="仿宋" w:hAnsi="仿宋" w:eastAsia="仿宋" w:cs="仿宋"/>
          <w:kern w:val="10"/>
          <w:sz w:val="28"/>
          <w:szCs w:val="28"/>
          <w:highlight w:val="yellow"/>
          <w:lang w:val="en-US" w:eastAsia="zh-CN"/>
        </w:rPr>
        <w:t>后可</w:t>
      </w:r>
      <w:r>
        <w:rPr>
          <w:rFonts w:hint="eastAsia" w:ascii="仿宋" w:hAnsi="仿宋" w:eastAsia="仿宋" w:cs="仿宋"/>
          <w:kern w:val="10"/>
          <w:sz w:val="28"/>
          <w:szCs w:val="28"/>
          <w:highlight w:val="yellow"/>
        </w:rPr>
        <w:t>稳定运行连续达</w:t>
      </w:r>
      <w:r>
        <w:rPr>
          <w:rFonts w:hint="eastAsia" w:ascii="仿宋" w:hAnsi="仿宋" w:eastAsia="仿宋" w:cs="仿宋"/>
          <w:kern w:val="10"/>
          <w:sz w:val="28"/>
          <w:szCs w:val="28"/>
          <w:highlight w:val="yellow"/>
          <w:lang w:val="en-US" w:eastAsia="zh-CN"/>
        </w:rPr>
        <w:t>到研发目标</w:t>
      </w:r>
      <w:r>
        <w:rPr>
          <w:rFonts w:hint="eastAsia" w:ascii="仿宋" w:hAnsi="仿宋" w:eastAsia="仿宋" w:cs="仿宋"/>
          <w:kern w:val="10"/>
          <w:sz w:val="28"/>
          <w:szCs w:val="28"/>
          <w:highlight w:val="yellow"/>
        </w:rPr>
        <w:t>后</w:t>
      </w:r>
      <w:r>
        <w:rPr>
          <w:rFonts w:hint="eastAsia" w:ascii="仿宋" w:hAnsi="仿宋" w:eastAsia="仿宋" w:cs="仿宋"/>
          <w:kern w:val="10"/>
          <w:sz w:val="28"/>
          <w:szCs w:val="28"/>
          <w:highlight w:val="yellow"/>
          <w:lang w:eastAsia="zh-CN"/>
        </w:rPr>
        <w:t>，</w:t>
      </w:r>
      <w:r>
        <w:rPr>
          <w:rFonts w:hint="eastAsia" w:ascii="仿宋" w:hAnsi="仿宋" w:eastAsia="仿宋" w:cs="仿宋"/>
          <w:sz w:val="28"/>
          <w:szCs w:val="28"/>
          <w:highlight w:val="yellow"/>
        </w:rPr>
        <w:t>研发项目经甲方验收合格后甲方支付乙方项目科技研发费用的</w:t>
      </w:r>
      <w:r>
        <w:rPr>
          <w:rFonts w:hint="eastAsia" w:ascii="仿宋" w:hAnsi="仿宋" w:eastAsia="仿宋" w:cs="仿宋"/>
          <w:sz w:val="28"/>
          <w:szCs w:val="28"/>
          <w:highlight w:val="yellow"/>
          <w:lang w:val="en-US" w:eastAsia="zh-CN"/>
        </w:rPr>
        <w:t xml:space="preserve"> </w:t>
      </w:r>
      <w:r>
        <w:rPr>
          <w:rFonts w:hint="eastAsia" w:ascii="仿宋" w:hAnsi="仿宋" w:eastAsia="仿宋" w:cs="仿宋"/>
          <w:sz w:val="28"/>
          <w:szCs w:val="28"/>
          <w:highlight w:val="yellow"/>
          <w:u w:val="single"/>
          <w:lang w:val="en-US" w:eastAsia="zh-CN"/>
        </w:rPr>
        <w:t xml:space="preserve">45 </w:t>
      </w:r>
      <w:r>
        <w:rPr>
          <w:rFonts w:hint="eastAsia" w:ascii="仿宋" w:hAnsi="仿宋" w:eastAsia="仿宋" w:cs="仿宋"/>
          <w:sz w:val="28"/>
          <w:szCs w:val="28"/>
          <w:highlight w:val="yellow"/>
        </w:rPr>
        <w:t>%；</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yellow"/>
          <w:lang w:eastAsia="zh-CN"/>
        </w:rPr>
      </w:pPr>
      <w:r>
        <w:rPr>
          <w:rFonts w:hint="eastAsia" w:ascii="仿宋" w:hAnsi="仿宋" w:eastAsia="仿宋" w:cs="仿宋"/>
          <w:color w:val="000000"/>
          <w:kern w:val="0"/>
          <w:sz w:val="28"/>
          <w:szCs w:val="28"/>
          <w:highlight w:val="yellow"/>
          <w:shd w:val="clear" w:color="auto" w:fill="FFFFFF"/>
          <w:lang w:val="en-US" w:eastAsia="zh-CN" w:bidi="ar-SA"/>
        </w:rPr>
        <w:t>（4）第四期：本技术合同总额的</w:t>
      </w:r>
      <w:r>
        <w:rPr>
          <w:rFonts w:hint="eastAsia" w:ascii="仿宋" w:hAnsi="仿宋" w:eastAsia="仿宋" w:cs="仿宋"/>
          <w:sz w:val="28"/>
          <w:szCs w:val="28"/>
          <w:highlight w:val="yellow"/>
          <w:u w:val="single"/>
          <w:lang w:val="en-US" w:eastAsia="zh-CN"/>
        </w:rPr>
        <w:t>10</w:t>
      </w:r>
      <w:r>
        <w:rPr>
          <w:rFonts w:hint="eastAsia" w:ascii="仿宋" w:hAnsi="仿宋" w:eastAsia="仿宋" w:cs="仿宋"/>
          <w:sz w:val="28"/>
          <w:szCs w:val="28"/>
          <w:highlight w:val="yellow"/>
        </w:rPr>
        <w:t>%</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12个月后</w:t>
      </w:r>
      <w:r>
        <w:rPr>
          <w:rFonts w:hint="eastAsia" w:ascii="仿宋" w:hAnsi="仿宋" w:eastAsia="仿宋" w:cs="仿宋"/>
          <w:color w:val="000000"/>
          <w:kern w:val="0"/>
          <w:sz w:val="28"/>
          <w:szCs w:val="28"/>
          <w:highlight w:val="yellow"/>
          <w:shd w:val="clear" w:color="auto" w:fill="FFFFFF"/>
          <w:lang w:val="en-US" w:eastAsia="zh-CN" w:bidi="ar-SA"/>
        </w:rPr>
        <w:t>无项目研发质量问题，</w:t>
      </w:r>
      <w:r>
        <w:rPr>
          <w:rFonts w:hint="eastAsia" w:ascii="仿宋" w:hAnsi="仿宋" w:eastAsia="仿宋" w:cs="仿宋"/>
          <w:sz w:val="28"/>
          <w:szCs w:val="28"/>
          <w:highlight w:val="yellow"/>
        </w:rPr>
        <w:t>甲方</w:t>
      </w:r>
      <w:r>
        <w:rPr>
          <w:rFonts w:hint="eastAsia" w:ascii="仿宋" w:hAnsi="仿宋" w:eastAsia="仿宋" w:cs="仿宋"/>
          <w:color w:val="000000"/>
          <w:kern w:val="0"/>
          <w:sz w:val="28"/>
          <w:szCs w:val="28"/>
          <w:highlight w:val="yellow"/>
          <w:shd w:val="clear" w:color="auto" w:fill="FFFFFF"/>
          <w:lang w:val="en-US" w:eastAsia="zh-CN" w:bidi="ar-SA"/>
        </w:rPr>
        <w:t>一次无息付清</w:t>
      </w:r>
      <w:r>
        <w:rPr>
          <w:rFonts w:hint="eastAsia" w:ascii="仿宋" w:hAnsi="仿宋" w:eastAsia="仿宋" w:cs="仿宋"/>
          <w:sz w:val="28"/>
          <w:szCs w:val="28"/>
          <w:highlight w:val="yellow"/>
          <w:lang w:eastAsia="zh-CN"/>
        </w:rPr>
        <w:t>。</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）结算方式：电汇支付。</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）若乙方未按甲方研发计划的进度进行，扣除科技研发费的5％。</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b w:val="0"/>
          <w:bCs w:val="0"/>
          <w:color w:val="0000FF"/>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val="0"/>
          <w:bCs w:val="0"/>
          <w:sz w:val="28"/>
          <w:szCs w:val="28"/>
          <w:highlight w:val="none"/>
          <w:lang w:val="en-US" w:eastAsia="zh-CN"/>
        </w:rPr>
        <w:t>7</w:t>
      </w:r>
      <w:r>
        <w:rPr>
          <w:rFonts w:hint="eastAsia" w:ascii="仿宋" w:hAnsi="仿宋" w:eastAsia="仿宋" w:cs="仿宋"/>
          <w:b w:val="0"/>
          <w:bCs w:val="0"/>
          <w:sz w:val="28"/>
          <w:szCs w:val="28"/>
          <w:highlight w:val="none"/>
        </w:rPr>
        <w:t>）项目</w:t>
      </w:r>
      <w:r>
        <w:rPr>
          <w:rFonts w:hint="eastAsia" w:ascii="仿宋" w:hAnsi="仿宋" w:eastAsia="仿宋" w:cs="仿宋"/>
          <w:b w:val="0"/>
          <w:bCs w:val="0"/>
          <w:sz w:val="28"/>
          <w:szCs w:val="28"/>
          <w:highlight w:val="none"/>
          <w:lang w:val="en-US" w:eastAsia="zh-CN"/>
        </w:rPr>
        <w:t>验收时实际研发指标</w:t>
      </w:r>
      <w:r>
        <w:rPr>
          <w:rFonts w:hint="eastAsia" w:ascii="仿宋" w:hAnsi="仿宋" w:eastAsia="仿宋" w:cs="仿宋"/>
          <w:b w:val="0"/>
          <w:bCs w:val="0"/>
          <w:sz w:val="28"/>
          <w:szCs w:val="28"/>
          <w:highlight w:val="none"/>
        </w:rPr>
        <w:t>达不到甲方</w:t>
      </w:r>
      <w:r>
        <w:rPr>
          <w:rFonts w:hint="eastAsia" w:ascii="仿宋" w:hAnsi="仿宋" w:eastAsia="仿宋" w:cs="仿宋"/>
          <w:b w:val="0"/>
          <w:bCs w:val="0"/>
          <w:sz w:val="28"/>
          <w:szCs w:val="28"/>
          <w:highlight w:val="none"/>
          <w:lang w:val="en-US" w:eastAsia="zh-CN"/>
        </w:rPr>
        <w:t>项目研发指标</w:t>
      </w:r>
      <w:r>
        <w:rPr>
          <w:rFonts w:hint="eastAsia" w:ascii="仿宋" w:hAnsi="仿宋" w:eastAsia="仿宋" w:cs="仿宋"/>
          <w:b w:val="0"/>
          <w:bCs w:val="0"/>
          <w:sz w:val="28"/>
          <w:szCs w:val="28"/>
          <w:highlight w:val="none"/>
        </w:rPr>
        <w:t>要求，允许乙方整改</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yellow"/>
          <w:lang w:val="en-US" w:eastAsia="zh-CN"/>
        </w:rPr>
        <w:t>整改最长期限6个月</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若整改后仍达不到甲方要求，</w:t>
      </w:r>
      <w:r>
        <w:rPr>
          <w:rFonts w:hint="eastAsia" w:ascii="仿宋" w:hAnsi="仿宋" w:eastAsia="仿宋" w:cs="仿宋"/>
          <w:b w:val="0"/>
          <w:bCs w:val="0"/>
          <w:sz w:val="28"/>
          <w:szCs w:val="28"/>
          <w:highlight w:val="yellow"/>
          <w:lang w:val="en-US" w:eastAsia="zh-CN"/>
        </w:rPr>
        <w:t>则乙方须在30天内退回</w:t>
      </w:r>
      <w:r>
        <w:rPr>
          <w:rFonts w:hint="eastAsia" w:ascii="仿宋" w:hAnsi="仿宋" w:eastAsia="仿宋" w:cs="仿宋"/>
          <w:b w:val="0"/>
          <w:bCs w:val="0"/>
          <w:sz w:val="28"/>
          <w:szCs w:val="28"/>
          <w:highlight w:val="none"/>
          <w:lang w:val="en-US" w:eastAsia="zh-CN"/>
        </w:rPr>
        <w:t>甲方预付本项目全部科技研发费用。</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pacing w:val="6"/>
          <w:sz w:val="28"/>
          <w:szCs w:val="28"/>
          <w:highlight w:val="none"/>
        </w:rPr>
      </w:pPr>
      <w:r>
        <w:rPr>
          <w:rFonts w:hint="eastAsia" w:ascii="仿宋" w:hAnsi="仿宋" w:eastAsia="仿宋" w:cs="仿宋"/>
          <w:b/>
          <w:bCs/>
          <w:spacing w:val="-6"/>
          <w:sz w:val="28"/>
          <w:szCs w:val="28"/>
          <w:highlight w:val="none"/>
        </w:rPr>
        <w:t>第六条</w:t>
      </w:r>
      <w:r>
        <w:rPr>
          <w:rFonts w:hint="eastAsia" w:ascii="仿宋" w:hAnsi="仿宋" w:eastAsia="仿宋" w:cs="仿宋"/>
          <w:b w:val="0"/>
          <w:bCs w:val="0"/>
          <w:sz w:val="28"/>
          <w:szCs w:val="28"/>
          <w:highlight w:val="none"/>
        </w:rPr>
        <w:t xml:space="preserve"> </w:t>
      </w:r>
      <w:r>
        <w:rPr>
          <w:rFonts w:hint="eastAsia" w:ascii="仿宋" w:hAnsi="仿宋" w:eastAsia="仿宋" w:cs="仿宋"/>
          <w:b w:val="0"/>
          <w:bCs w:val="0"/>
          <w:sz w:val="28"/>
          <w:szCs w:val="28"/>
          <w:highlight w:val="none"/>
          <w:lang w:val="en-US" w:eastAsia="zh-CN"/>
        </w:rPr>
        <w:t>本合同</w:t>
      </w:r>
      <w:r>
        <w:rPr>
          <w:rFonts w:hint="eastAsia" w:ascii="仿宋" w:hAnsi="仿宋" w:eastAsia="仿宋" w:cs="仿宋"/>
          <w:b w:val="0"/>
          <w:bCs w:val="0"/>
          <w:sz w:val="28"/>
          <w:szCs w:val="28"/>
          <w:highlight w:val="none"/>
        </w:rPr>
        <w:t>严禁</w:t>
      </w:r>
      <w:r>
        <w:rPr>
          <w:rFonts w:hint="eastAsia" w:ascii="仿宋" w:hAnsi="仿宋" w:eastAsia="仿宋" w:cs="仿宋"/>
          <w:b w:val="0"/>
          <w:bCs w:val="0"/>
          <w:sz w:val="28"/>
          <w:szCs w:val="28"/>
          <w:highlight w:val="none"/>
          <w:lang w:val="en-US" w:eastAsia="zh-CN"/>
        </w:rPr>
        <w:t>将项目</w:t>
      </w:r>
      <w:r>
        <w:rPr>
          <w:rFonts w:hint="eastAsia" w:ascii="仿宋" w:hAnsi="仿宋" w:eastAsia="仿宋" w:cs="仿宋"/>
          <w:b w:val="0"/>
          <w:bCs w:val="0"/>
          <w:sz w:val="28"/>
          <w:szCs w:val="28"/>
          <w:highlight w:val="none"/>
        </w:rPr>
        <w:t>转包和违法分包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如发现乙方存在</w:t>
      </w:r>
      <w:r>
        <w:rPr>
          <w:rFonts w:hint="eastAsia" w:ascii="仿宋" w:hAnsi="仿宋" w:eastAsia="仿宋" w:cs="仿宋"/>
          <w:b w:val="0"/>
          <w:bCs w:val="0"/>
          <w:sz w:val="28"/>
          <w:szCs w:val="28"/>
          <w:highlight w:val="none"/>
        </w:rPr>
        <w:t>转包和违法分包</w:t>
      </w:r>
      <w:r>
        <w:rPr>
          <w:rFonts w:hint="eastAsia" w:ascii="仿宋" w:hAnsi="仿宋" w:eastAsia="仿宋" w:cs="仿宋"/>
          <w:b w:val="0"/>
          <w:bCs w:val="0"/>
          <w:sz w:val="28"/>
          <w:szCs w:val="28"/>
          <w:highlight w:val="none"/>
          <w:lang w:val="en-US" w:eastAsia="zh-CN"/>
        </w:rPr>
        <w:t>情况，甲方有权终止本合同并追究乙方违约责任。</w:t>
      </w:r>
      <w:r>
        <w:rPr>
          <w:rFonts w:hint="eastAsia" w:ascii="仿宋" w:hAnsi="仿宋" w:eastAsia="仿宋" w:cs="仿宋"/>
          <w:sz w:val="28"/>
          <w:szCs w:val="28"/>
          <w:highlight w:val="none"/>
        </w:rPr>
        <w:t>本合同的项目科技研发费用仅供乙方用于该项目的技术研发过程使用。甲方有权监管项目科技研发费用的使用情况，但不得妨碍乙方的正常工作。</w:t>
      </w:r>
    </w:p>
    <w:p>
      <w:pPr>
        <w:keepNext w:val="0"/>
        <w:keepLines w:val="0"/>
        <w:pageBreakBefore w:val="0"/>
        <w:widowControl w:val="0"/>
        <w:kinsoku/>
        <w:wordWrap/>
        <w:overflowPunct/>
        <w:topLinePunct w:val="0"/>
        <w:bidi w:val="0"/>
        <w:adjustRightInd/>
        <w:snapToGrid/>
        <w:spacing w:line="500" w:lineRule="exact"/>
        <w:ind w:left="527"/>
        <w:rPr>
          <w:rFonts w:hint="eastAsia" w:ascii="仿宋" w:hAnsi="仿宋" w:eastAsia="仿宋" w:cs="仿宋"/>
          <w:sz w:val="28"/>
          <w:szCs w:val="28"/>
          <w:highlight w:val="none"/>
        </w:rPr>
      </w:pPr>
      <w:r>
        <w:rPr>
          <w:rFonts w:hint="eastAsia" w:ascii="仿宋" w:hAnsi="仿宋" w:eastAsia="仿宋" w:cs="仿宋"/>
          <w:b/>
          <w:spacing w:val="-6"/>
          <w:sz w:val="28"/>
          <w:szCs w:val="28"/>
          <w:highlight w:val="none"/>
        </w:rPr>
        <w:t>第七条</w:t>
      </w:r>
      <w:r>
        <w:rPr>
          <w:rFonts w:hint="eastAsia" w:ascii="仿宋" w:hAnsi="仿宋" w:eastAsia="仿宋" w:cs="仿宋"/>
          <w:spacing w:val="6"/>
          <w:sz w:val="28"/>
          <w:szCs w:val="28"/>
          <w:highlight w:val="none"/>
        </w:rPr>
        <w:t xml:space="preserve"> 本合同的变更必须由双方协商一致，并以书面形式确定。</w:t>
      </w:r>
    </w:p>
    <w:p>
      <w:pPr>
        <w:keepNext w:val="0"/>
        <w:keepLines w:val="0"/>
        <w:pageBreakBefore w:val="0"/>
        <w:widowControl w:val="0"/>
        <w:kinsoku/>
        <w:wordWrap/>
        <w:overflowPunct/>
        <w:topLinePunct w:val="0"/>
        <w:bidi w:val="0"/>
        <w:adjustRightInd/>
        <w:snapToGrid/>
        <w:spacing w:line="500" w:lineRule="exact"/>
        <w:ind w:firstLine="538" w:firstLineChars="200"/>
        <w:rPr>
          <w:rFonts w:hint="eastAsia" w:ascii="仿宋" w:hAnsi="仿宋" w:eastAsia="仿宋" w:cs="仿宋"/>
          <w:sz w:val="28"/>
          <w:szCs w:val="28"/>
          <w:highlight w:val="none"/>
        </w:rPr>
      </w:pPr>
      <w:r>
        <w:rPr>
          <w:rFonts w:hint="eastAsia" w:ascii="仿宋" w:hAnsi="仿宋" w:eastAsia="仿宋" w:cs="仿宋"/>
          <w:b/>
          <w:spacing w:val="-6"/>
          <w:sz w:val="28"/>
          <w:szCs w:val="28"/>
          <w:highlight w:val="none"/>
        </w:rPr>
        <w:t>第八条</w:t>
      </w:r>
      <w:r>
        <w:rPr>
          <w:rFonts w:hint="eastAsia" w:ascii="仿宋" w:hAnsi="仿宋" w:eastAsia="仿宋" w:cs="仿宋"/>
          <w:sz w:val="28"/>
          <w:szCs w:val="28"/>
          <w:highlight w:val="none"/>
        </w:rPr>
        <w:t xml:space="preserve"> 未经甲方同意，乙方不得将本合同项目部分或全部研发工作转让第三方承担。</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b/>
          <w:sz w:val="28"/>
          <w:szCs w:val="28"/>
          <w:highlight w:val="none"/>
        </w:rPr>
        <w:t>第九条</w:t>
      </w:r>
      <w:r>
        <w:rPr>
          <w:rFonts w:hint="eastAsia" w:ascii="仿宋" w:hAnsi="仿宋" w:eastAsia="仿宋" w:cs="仿宋"/>
          <w:sz w:val="28"/>
          <w:szCs w:val="28"/>
          <w:highlight w:val="none"/>
        </w:rPr>
        <w:t xml:space="preserve"> 在本合同履行中，因出现在现有技术水平和条件下难以克服的技术困难，导致科技研发失败或部分失败，并造成一方或双方损失的，双方通过对技术风险的存在、范围、程度及损失大小等，协商解决承担风险损失。</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sz w:val="28"/>
          <w:szCs w:val="28"/>
          <w:highlight w:val="none"/>
        </w:rPr>
        <w:t>一方发现技术风险存在并有可能致使科技研发失败或部分失败的情形时，应当在</w:t>
      </w:r>
      <w:r>
        <w:rPr>
          <w:rFonts w:hint="eastAsia" w:ascii="仿宋" w:hAnsi="仿宋" w:eastAsia="仿宋" w:cs="仿宋"/>
          <w:sz w:val="28"/>
          <w:szCs w:val="28"/>
          <w:highlight w:val="none"/>
          <w:u w:val="single"/>
        </w:rPr>
        <w:t xml:space="preserve">  5 </w:t>
      </w:r>
      <w:r>
        <w:rPr>
          <w:rFonts w:hint="eastAsia" w:ascii="仿宋" w:hAnsi="仿宋" w:eastAsia="仿宋" w:cs="仿宋"/>
          <w:sz w:val="28"/>
          <w:szCs w:val="28"/>
          <w:highlight w:val="none"/>
        </w:rPr>
        <w:t>日内通知另一方并采取适当措施减少损失。逾期未通知并未采取适当措施而致使损失扩大的，应当就扩大的损失承担赔偿责任。</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b/>
          <w:sz w:val="28"/>
          <w:szCs w:val="28"/>
          <w:highlight w:val="none"/>
        </w:rPr>
        <w:t>第十条</w:t>
      </w:r>
      <w:r>
        <w:rPr>
          <w:rFonts w:hint="eastAsia" w:ascii="仿宋" w:hAnsi="仿宋" w:eastAsia="仿宋" w:cs="仿宋"/>
          <w:sz w:val="28"/>
          <w:szCs w:val="28"/>
          <w:highlight w:val="none"/>
        </w:rPr>
        <w:t xml:space="preserve"> 在本合同履行中，因作为科技研发标的的技术已经由他人公开（包括以专利权方式公开），一方应在</w:t>
      </w:r>
      <w:r>
        <w:rPr>
          <w:rFonts w:hint="eastAsia" w:ascii="仿宋" w:hAnsi="仿宋" w:eastAsia="仿宋" w:cs="仿宋"/>
          <w:sz w:val="28"/>
          <w:szCs w:val="28"/>
          <w:highlight w:val="none"/>
          <w:u w:val="single"/>
        </w:rPr>
        <w:t xml:space="preserve"> 5</w:t>
      </w:r>
      <w:r>
        <w:rPr>
          <w:rFonts w:hint="eastAsia" w:ascii="仿宋" w:hAnsi="仿宋" w:eastAsia="仿宋" w:cs="仿宋"/>
          <w:sz w:val="28"/>
          <w:szCs w:val="28"/>
          <w:highlight w:val="none"/>
        </w:rPr>
        <w:t>日内通知另一方解除合同。逾期未通知并致使另一方产生损失的，另一方有权要求予以赔偿。</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sz w:val="28"/>
          <w:szCs w:val="28"/>
          <w:highlight w:val="none"/>
        </w:rPr>
      </w:pPr>
      <w:r>
        <w:rPr>
          <w:rFonts w:hint="eastAsia" w:ascii="仿宋" w:hAnsi="仿宋" w:eastAsia="仿宋" w:cs="仿宋"/>
          <w:b/>
          <w:sz w:val="28"/>
          <w:szCs w:val="28"/>
          <w:highlight w:val="none"/>
        </w:rPr>
        <w:t>第十一条</w:t>
      </w:r>
      <w:r>
        <w:rPr>
          <w:rFonts w:hint="eastAsia" w:ascii="仿宋" w:hAnsi="仿宋" w:eastAsia="仿宋" w:cs="仿宋"/>
          <w:sz w:val="28"/>
          <w:szCs w:val="28"/>
          <w:highlight w:val="none"/>
        </w:rPr>
        <w:t xml:space="preserve"> 双方确定因履行本合同应遵守的保密义务如下：</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甲方：</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1. 保密内容:严禁向外界透漏任何有关乙方</w:t>
      </w:r>
      <w:r>
        <w:rPr>
          <w:rFonts w:hint="eastAsia" w:ascii="仿宋" w:hAnsi="仿宋" w:eastAsia="仿宋" w:cs="仿宋"/>
          <w:b w:val="0"/>
          <w:bCs/>
          <w:sz w:val="28"/>
          <w:szCs w:val="28"/>
          <w:highlight w:val="none"/>
          <w:u w:val="single"/>
        </w:rPr>
        <w:t>【</w:t>
      </w:r>
      <w:r>
        <w:rPr>
          <w:rFonts w:hint="eastAsia" w:ascii="仿宋_GB2312" w:hAnsi="宋体" w:eastAsia="仿宋_GB2312" w:cs="宋体"/>
          <w:b w:val="0"/>
          <w:bCs/>
          <w:sz w:val="28"/>
          <w:szCs w:val="28"/>
          <w:highlight w:val="none"/>
          <w:u w:val="single"/>
          <w:lang w:eastAsia="zh-CN"/>
        </w:rPr>
        <w:t>水泥回转窑筒体余热回收发电技术研发</w:t>
      </w:r>
      <w:r>
        <w:rPr>
          <w:rFonts w:hint="eastAsia" w:ascii="仿宋" w:hAnsi="仿宋" w:eastAsia="仿宋" w:cs="仿宋"/>
          <w:b w:val="0"/>
          <w:bCs/>
          <w:sz w:val="28"/>
          <w:szCs w:val="28"/>
          <w:highlight w:val="none"/>
          <w:u w:val="single"/>
        </w:rPr>
        <w:t>】</w:t>
      </w:r>
      <w:r>
        <w:rPr>
          <w:rFonts w:hint="eastAsia" w:ascii="仿宋_GB2312" w:hAnsi="宋体" w:eastAsia="仿宋_GB2312" w:cs="宋体"/>
          <w:b w:val="0"/>
          <w:bCs/>
          <w:sz w:val="28"/>
          <w:szCs w:val="28"/>
          <w:highlight w:val="none"/>
          <w:u w:val="single"/>
          <w:lang w:eastAsia="zh-CN"/>
        </w:rPr>
        <w:t>项目</w:t>
      </w:r>
      <w:r>
        <w:rPr>
          <w:rFonts w:hint="eastAsia" w:ascii="仿宋" w:hAnsi="仿宋" w:eastAsia="仿宋" w:cs="仿宋"/>
          <w:b w:val="0"/>
          <w:bCs/>
          <w:sz w:val="28"/>
          <w:szCs w:val="28"/>
          <w:highlight w:val="none"/>
        </w:rPr>
        <w:t>研发的各种参数和方式、方法。</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2．涉密人员范围: 班组长以上所有参与</w:t>
      </w:r>
      <w:r>
        <w:rPr>
          <w:rFonts w:hint="eastAsia" w:ascii="仿宋" w:hAnsi="仿宋" w:eastAsia="仿宋" w:cs="仿宋"/>
          <w:b w:val="0"/>
          <w:bCs/>
          <w:sz w:val="28"/>
          <w:szCs w:val="28"/>
          <w:highlight w:val="none"/>
          <w:u w:val="single"/>
        </w:rPr>
        <w:t>【</w:t>
      </w:r>
      <w:r>
        <w:rPr>
          <w:rFonts w:hint="eastAsia" w:ascii="仿宋_GB2312" w:hAnsi="宋体" w:eastAsia="仿宋_GB2312" w:cs="宋体"/>
          <w:b w:val="0"/>
          <w:bCs/>
          <w:sz w:val="28"/>
          <w:szCs w:val="28"/>
          <w:highlight w:val="none"/>
          <w:u w:val="single"/>
          <w:lang w:eastAsia="zh-CN"/>
        </w:rPr>
        <w:t>水泥回转窑筒体余热回收发电技术研发</w:t>
      </w:r>
      <w:r>
        <w:rPr>
          <w:rFonts w:hint="eastAsia" w:ascii="仿宋" w:hAnsi="仿宋" w:eastAsia="仿宋" w:cs="仿宋"/>
          <w:b w:val="0"/>
          <w:bCs/>
          <w:sz w:val="28"/>
          <w:szCs w:val="28"/>
          <w:highlight w:val="none"/>
          <w:u w:val="single"/>
        </w:rPr>
        <w:t>】</w:t>
      </w:r>
      <w:r>
        <w:rPr>
          <w:rFonts w:hint="eastAsia" w:ascii="仿宋_GB2312" w:hAnsi="宋体" w:eastAsia="仿宋_GB2312" w:cs="宋体"/>
          <w:b w:val="0"/>
          <w:bCs/>
          <w:sz w:val="28"/>
          <w:szCs w:val="28"/>
          <w:highlight w:val="none"/>
          <w:u w:val="single"/>
          <w:lang w:eastAsia="zh-CN"/>
        </w:rPr>
        <w:t>项目</w:t>
      </w:r>
      <w:r>
        <w:rPr>
          <w:rFonts w:hint="eastAsia" w:ascii="仿宋" w:hAnsi="仿宋" w:eastAsia="仿宋" w:cs="仿宋"/>
          <w:b w:val="0"/>
          <w:bCs/>
          <w:sz w:val="28"/>
          <w:szCs w:val="28"/>
          <w:highlight w:val="none"/>
        </w:rPr>
        <w:t>的人员。</w:t>
      </w:r>
    </w:p>
    <w:p>
      <w:pPr>
        <w:keepNext w:val="0"/>
        <w:keepLines w:val="0"/>
        <w:pageBreakBefore w:val="0"/>
        <w:widowControl w:val="0"/>
        <w:kinsoku/>
        <w:wordWrap/>
        <w:overflowPunct/>
        <w:topLinePunct w:val="0"/>
        <w:bidi w:val="0"/>
        <w:adjustRightInd/>
        <w:snapToGrid/>
        <w:spacing w:line="500" w:lineRule="exact"/>
        <w:ind w:firstLine="6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3．泄密责任：依法追究责任，并补偿由此给乙方带来的损失。</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 xml:space="preserve"> 乙方：</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 xml:space="preserve">1. 保密内容: 在成果未得到甲方认可前，不得向第三方泄露任何有关甲方研发计划内容和进度，及项目的各种参数、方式和方法。 </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2．涉密人员范围: 乙方所有参与</w:t>
      </w:r>
      <w:r>
        <w:rPr>
          <w:rFonts w:hint="eastAsia" w:ascii="仿宋" w:hAnsi="仿宋" w:eastAsia="仿宋" w:cs="仿宋"/>
          <w:b w:val="0"/>
          <w:bCs/>
          <w:sz w:val="28"/>
          <w:szCs w:val="28"/>
          <w:highlight w:val="none"/>
          <w:u w:val="single"/>
        </w:rPr>
        <w:t>【</w:t>
      </w:r>
      <w:r>
        <w:rPr>
          <w:rFonts w:hint="eastAsia" w:ascii="仿宋_GB2312" w:hAnsi="宋体" w:eastAsia="仿宋_GB2312" w:cs="宋体"/>
          <w:b w:val="0"/>
          <w:bCs/>
          <w:sz w:val="28"/>
          <w:szCs w:val="28"/>
          <w:highlight w:val="none"/>
          <w:u w:val="single"/>
          <w:lang w:eastAsia="zh-CN"/>
        </w:rPr>
        <w:t>水泥回转窑筒体余热回收发电技术研发</w:t>
      </w:r>
      <w:r>
        <w:rPr>
          <w:rFonts w:hint="eastAsia" w:ascii="仿宋" w:hAnsi="仿宋" w:eastAsia="仿宋" w:cs="仿宋"/>
          <w:b w:val="0"/>
          <w:bCs/>
          <w:sz w:val="28"/>
          <w:szCs w:val="28"/>
          <w:highlight w:val="none"/>
          <w:u w:val="single"/>
        </w:rPr>
        <w:t>】</w:t>
      </w:r>
      <w:r>
        <w:rPr>
          <w:rFonts w:hint="eastAsia" w:ascii="仿宋_GB2312" w:hAnsi="宋体" w:eastAsia="仿宋_GB2312" w:cs="宋体"/>
          <w:b w:val="0"/>
          <w:bCs/>
          <w:sz w:val="28"/>
          <w:szCs w:val="28"/>
          <w:highlight w:val="none"/>
          <w:u w:val="single"/>
          <w:lang w:eastAsia="zh-CN"/>
        </w:rPr>
        <w:t>项目</w:t>
      </w:r>
      <w:r>
        <w:rPr>
          <w:rFonts w:hint="eastAsia" w:ascii="仿宋" w:hAnsi="仿宋" w:eastAsia="仿宋" w:cs="仿宋"/>
          <w:b w:val="0"/>
          <w:bCs/>
          <w:sz w:val="28"/>
          <w:szCs w:val="28"/>
          <w:highlight w:val="none"/>
        </w:rPr>
        <w:t>技术研发的人员。</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3．泄密责任：依法追究责任，赔偿甲方有关项目研发的一切费用。</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第十二条</w:t>
      </w:r>
      <w:r>
        <w:rPr>
          <w:rFonts w:hint="eastAsia" w:ascii="仿宋" w:hAnsi="仿宋" w:eastAsia="仿宋" w:cs="仿宋"/>
          <w:sz w:val="28"/>
          <w:szCs w:val="28"/>
          <w:highlight w:val="none"/>
        </w:rPr>
        <w:t xml:space="preserve"> 乙方应当按以下方式向甲方交付项目研发成果：</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1．项目研发成果交付的形式及数量：乙方应向甲方交付</w:t>
      </w:r>
      <w:r>
        <w:rPr>
          <w:rFonts w:hint="eastAsia" w:ascii="仿宋" w:hAnsi="仿宋" w:eastAsia="仿宋" w:cs="仿宋"/>
          <w:color w:val="000000"/>
          <w:sz w:val="28"/>
          <w:szCs w:val="28"/>
          <w:highlight w:val="none"/>
          <w:u w:val="single"/>
        </w:rPr>
        <w:t>【</w:t>
      </w:r>
      <w:r>
        <w:rPr>
          <w:rFonts w:hint="eastAsia" w:ascii="仿宋_GB2312" w:hAnsi="宋体" w:eastAsia="仿宋_GB2312" w:cs="宋体"/>
          <w:sz w:val="28"/>
          <w:szCs w:val="28"/>
          <w:highlight w:val="none"/>
          <w:u w:val="single"/>
          <w:lang w:eastAsia="zh-CN"/>
        </w:rPr>
        <w:t>水泥回转窑筒体余热回收发电技术研发</w:t>
      </w:r>
      <w:r>
        <w:rPr>
          <w:rFonts w:hint="eastAsia" w:ascii="仿宋" w:hAnsi="仿宋" w:eastAsia="仿宋" w:cs="仿宋"/>
          <w:color w:val="000000"/>
          <w:sz w:val="28"/>
          <w:szCs w:val="28"/>
          <w:highlight w:val="none"/>
          <w:u w:val="single"/>
        </w:rPr>
        <w:t>】</w:t>
      </w:r>
      <w:r>
        <w:rPr>
          <w:rFonts w:hint="eastAsia" w:ascii="仿宋_GB2312" w:hAnsi="宋体" w:eastAsia="仿宋_GB2312" w:cs="宋体"/>
          <w:sz w:val="28"/>
          <w:szCs w:val="28"/>
          <w:highlight w:val="none"/>
          <w:u w:val="single"/>
          <w:lang w:eastAsia="zh-CN"/>
        </w:rPr>
        <w:t>项目</w:t>
      </w:r>
      <w:r>
        <w:rPr>
          <w:rFonts w:hint="eastAsia" w:ascii="仿宋" w:hAnsi="仿宋" w:eastAsia="仿宋" w:cs="仿宋"/>
          <w:color w:val="000000"/>
          <w:sz w:val="28"/>
          <w:szCs w:val="28"/>
          <w:highlight w:val="none"/>
          <w:u w:val="single"/>
        </w:rPr>
        <w:t>样机</w:t>
      </w:r>
      <w:r>
        <w:rPr>
          <w:rFonts w:hint="eastAsia" w:ascii="仿宋" w:hAnsi="仿宋" w:eastAsia="仿宋" w:cs="仿宋"/>
          <w:sz w:val="28"/>
          <w:szCs w:val="28"/>
          <w:highlight w:val="none"/>
        </w:rPr>
        <w:t>一套及相关技术资料。</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2．科技研发成果交付的时间及地点： 验收合格后在冀东海天水泥闻喜有限责任公司内交付。</w:t>
      </w:r>
    </w:p>
    <w:p>
      <w:pPr>
        <w:keepNext w:val="0"/>
        <w:keepLines w:val="0"/>
        <w:pageBreakBefore w:val="0"/>
        <w:widowControl w:val="0"/>
        <w:kinsoku/>
        <w:wordWrap/>
        <w:overflowPunct/>
        <w:topLinePunct w:val="0"/>
        <w:autoSpaceDE w:val="0"/>
        <w:autoSpaceDN w:val="0"/>
        <w:bidi w:val="0"/>
        <w:adjustRightInd/>
        <w:snapToGrid/>
        <w:spacing w:before="0" w:beforeLines="0" w:line="500" w:lineRule="exact"/>
        <w:ind w:firstLine="560" w:firstLineChars="200"/>
        <w:textAlignment w:val="bottom"/>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color w:val="auto"/>
          <w:kern w:val="2"/>
          <w:sz w:val="28"/>
          <w:szCs w:val="28"/>
          <w:highlight w:val="none"/>
          <w:lang w:val="en-US" w:eastAsia="zh-CN" w:bidi="ar-SA"/>
        </w:rPr>
        <w:t>.其他要求：乙方应派遣技术人员到现场</w:t>
      </w:r>
      <w:r>
        <w:rPr>
          <w:rFonts w:hint="eastAsia" w:ascii="仿宋" w:hAnsi="仿宋" w:eastAsia="仿宋" w:cs="仿宋"/>
          <w:sz w:val="28"/>
          <w:szCs w:val="28"/>
          <w:highlight w:val="none"/>
        </w:rPr>
        <w:t>为甲方指定的人员提供技术指导和培训，或提供与使用该项目研发成果相关的技术服务。</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第十三条</w:t>
      </w:r>
      <w:r>
        <w:rPr>
          <w:rFonts w:hint="eastAsia" w:ascii="仿宋" w:hAnsi="仿宋" w:eastAsia="仿宋" w:cs="仿宋"/>
          <w:sz w:val="28"/>
          <w:szCs w:val="28"/>
          <w:highlight w:val="none"/>
        </w:rPr>
        <w:t xml:space="preserve"> 双方确定，按以下标准及方法对乙方完成的科技研发成果进行验收：</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按照该</w:t>
      </w:r>
      <w:r>
        <w:rPr>
          <w:rFonts w:hint="eastAsia" w:ascii="仿宋" w:hAnsi="仿宋" w:eastAsia="仿宋" w:cs="仿宋"/>
          <w:sz w:val="28"/>
          <w:szCs w:val="28"/>
          <w:highlight w:val="none"/>
          <w:lang w:val="en-US" w:eastAsia="zh-CN"/>
        </w:rPr>
        <w:t>项目的</w:t>
      </w:r>
      <w:r>
        <w:rPr>
          <w:rFonts w:hint="eastAsia" w:ascii="仿宋" w:hAnsi="仿宋" w:eastAsia="仿宋" w:cs="仿宋"/>
          <w:sz w:val="28"/>
          <w:szCs w:val="28"/>
          <w:highlight w:val="none"/>
        </w:rPr>
        <w:t>国家和行业技术标准、</w:t>
      </w:r>
      <w:r>
        <w:rPr>
          <w:rFonts w:hint="eastAsia" w:ascii="仿宋" w:hAnsi="仿宋" w:eastAsia="仿宋" w:cs="仿宋"/>
          <w:sz w:val="28"/>
          <w:szCs w:val="28"/>
          <w:highlight w:val="none"/>
          <w:lang w:val="en-US" w:eastAsia="zh-CN"/>
        </w:rPr>
        <w:t>及本</w:t>
      </w: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第一条中的研发</w:t>
      </w:r>
      <w:r>
        <w:rPr>
          <w:rFonts w:hint="eastAsia" w:ascii="仿宋" w:hAnsi="仿宋" w:eastAsia="仿宋" w:cs="仿宋"/>
          <w:sz w:val="28"/>
          <w:szCs w:val="28"/>
          <w:highlight w:val="none"/>
        </w:rPr>
        <w:t>内容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技术</w:t>
      </w:r>
      <w:r>
        <w:rPr>
          <w:rFonts w:hint="eastAsia" w:ascii="仿宋" w:hAnsi="仿宋" w:eastAsia="仿宋" w:cs="仿宋"/>
          <w:sz w:val="28"/>
          <w:szCs w:val="28"/>
          <w:highlight w:val="none"/>
        </w:rPr>
        <w:t>目标进行验收，由</w:t>
      </w:r>
      <w:r>
        <w:rPr>
          <w:rFonts w:hint="eastAsia" w:ascii="仿宋" w:hAnsi="仿宋" w:eastAsia="仿宋" w:cs="仿宋"/>
          <w:sz w:val="28"/>
          <w:szCs w:val="28"/>
          <w:highlight w:val="none"/>
          <w:lang w:val="en-US" w:eastAsia="zh-CN"/>
        </w:rPr>
        <w:t>甲方与乙方</w:t>
      </w:r>
      <w:r>
        <w:rPr>
          <w:rFonts w:hint="eastAsia" w:ascii="仿宋" w:hAnsi="仿宋" w:eastAsia="仿宋" w:cs="仿宋"/>
          <w:sz w:val="28"/>
          <w:szCs w:val="28"/>
          <w:highlight w:val="none"/>
        </w:rPr>
        <w:t>共同验收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含新增压力设备检验合格备案，乙方负责压力设备备案相关手续办理）</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竣工</w:t>
      </w:r>
      <w:r>
        <w:rPr>
          <w:rFonts w:hint="eastAsia" w:ascii="仿宋" w:hAnsi="仿宋" w:eastAsia="仿宋" w:cs="仿宋"/>
          <w:sz w:val="28"/>
          <w:szCs w:val="28"/>
          <w:highlight w:val="none"/>
          <w:lang w:val="en-US" w:eastAsia="zh-CN"/>
        </w:rPr>
        <w:t>指标</w:t>
      </w:r>
      <w:r>
        <w:rPr>
          <w:rFonts w:hint="eastAsia" w:ascii="仿宋" w:hAnsi="仿宋" w:eastAsia="仿宋" w:cs="仿宋"/>
          <w:sz w:val="28"/>
          <w:szCs w:val="28"/>
          <w:highlight w:val="none"/>
          <w:lang w:eastAsia="zh-CN"/>
        </w:rPr>
        <w:t>验收：乙方</w:t>
      </w:r>
      <w:r>
        <w:rPr>
          <w:rFonts w:hint="eastAsia" w:ascii="仿宋" w:hAnsi="仿宋" w:eastAsia="仿宋" w:cs="仿宋"/>
          <w:sz w:val="28"/>
          <w:szCs w:val="28"/>
          <w:highlight w:val="none"/>
          <w:lang w:val="en-US" w:eastAsia="zh-CN"/>
        </w:rPr>
        <w:t>项目研发建设</w:t>
      </w:r>
      <w:r>
        <w:rPr>
          <w:rFonts w:hint="eastAsia" w:ascii="仿宋" w:hAnsi="仿宋" w:eastAsia="仿宋" w:cs="仿宋"/>
          <w:sz w:val="28"/>
          <w:szCs w:val="28"/>
          <w:highlight w:val="none"/>
          <w:lang w:eastAsia="zh-CN"/>
        </w:rPr>
        <w:t>完毕，</w:t>
      </w:r>
      <w:r>
        <w:rPr>
          <w:rFonts w:hint="eastAsia" w:ascii="仿宋" w:hAnsi="仿宋" w:eastAsia="仿宋" w:cs="仿宋"/>
          <w:sz w:val="28"/>
          <w:szCs w:val="28"/>
          <w:highlight w:val="none"/>
          <w:lang w:val="en-US" w:eastAsia="zh-CN"/>
        </w:rPr>
        <w:t>锅炉管道</w:t>
      </w:r>
      <w:r>
        <w:rPr>
          <w:rFonts w:hint="eastAsia" w:ascii="仿宋" w:hAnsi="仿宋" w:eastAsia="仿宋" w:cs="仿宋"/>
          <w:sz w:val="28"/>
          <w:szCs w:val="28"/>
          <w:highlight w:val="none"/>
          <w:lang w:eastAsia="zh-CN"/>
        </w:rPr>
        <w:t>打压试验合格投入运行后，在窑产量，锅炉、汽轮机参数（锅炉温度，负压，汽轮机真空，进气量等）</w:t>
      </w:r>
      <w:r>
        <w:rPr>
          <w:rFonts w:hint="eastAsia" w:ascii="仿宋" w:hAnsi="仿宋" w:eastAsia="仿宋" w:cs="仿宋"/>
          <w:sz w:val="28"/>
          <w:szCs w:val="28"/>
          <w:highlight w:val="none"/>
          <w:lang w:val="en-US" w:eastAsia="zh-CN"/>
        </w:rPr>
        <w:t>稳定的</w:t>
      </w:r>
      <w:r>
        <w:rPr>
          <w:rFonts w:hint="eastAsia" w:ascii="仿宋" w:hAnsi="仿宋" w:eastAsia="仿宋" w:cs="仿宋"/>
          <w:sz w:val="28"/>
          <w:szCs w:val="28"/>
          <w:highlight w:val="none"/>
          <w:lang w:eastAsia="zh-CN"/>
        </w:rPr>
        <w:t>情况下，与投运前三日平均日发电量对比，高于投运前日发电量</w:t>
      </w:r>
      <w:r>
        <w:rPr>
          <w:rFonts w:hint="eastAsia" w:ascii="仿宋" w:hAnsi="仿宋" w:eastAsia="仿宋" w:cs="仿宋"/>
          <w:sz w:val="28"/>
          <w:szCs w:val="28"/>
          <w:highlight w:val="none"/>
          <w:lang w:val="en-US" w:eastAsia="zh-CN"/>
        </w:rPr>
        <w:t>10800kwh，（换算为台时发电量增加450kwh）视为验收合格。</w:t>
      </w:r>
    </w:p>
    <w:p>
      <w:pPr>
        <w:keepNext w:val="0"/>
        <w:keepLines w:val="0"/>
        <w:pageBreakBefore w:val="0"/>
        <w:widowControl w:val="0"/>
        <w:kinsoku/>
        <w:wordWrap/>
        <w:overflowPunct/>
        <w:topLinePunct w:val="0"/>
        <w:bidi w:val="0"/>
        <w:adjustRightInd/>
        <w:snapToGrid/>
        <w:spacing w:line="500" w:lineRule="exact"/>
        <w:ind w:firstLine="560" w:firstLineChars="200"/>
        <w:rPr>
          <w:rFonts w:hint="default"/>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验收时发现不符合质量要求</w:t>
      </w:r>
      <w:r>
        <w:rPr>
          <w:rFonts w:hint="eastAsia" w:ascii="仿宋" w:hAnsi="仿宋" w:eastAsia="仿宋" w:cs="仿宋"/>
          <w:sz w:val="28"/>
          <w:szCs w:val="28"/>
          <w:highlight w:val="none"/>
          <w:lang w:val="en-US" w:eastAsia="zh-CN"/>
        </w:rPr>
        <w:t>的部件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须无条件予以退换，</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不接受维修方式。退换发生的费用均由</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自行承担，且不影响合同的正常履行，因此造成的不能按时履约属于</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违约。如在验收中发现双方均无法认定的争议，可聘请双方认可的具有国家认可检测资质的第三方检测机构予以检测，费用由</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承担。</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第十四条</w:t>
      </w:r>
      <w:r>
        <w:rPr>
          <w:rFonts w:hint="eastAsia" w:ascii="仿宋" w:hAnsi="仿宋" w:eastAsia="仿宋" w:cs="仿宋"/>
          <w:sz w:val="28"/>
          <w:szCs w:val="28"/>
          <w:highlight w:val="none"/>
        </w:rPr>
        <w:t xml:space="preserve"> 知识产权的权利归属：</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1.若项目研究成果形成知识产权，知识产权归</w:t>
      </w:r>
      <w:r>
        <w:rPr>
          <w:rFonts w:hint="eastAsia" w:ascii="仿宋" w:hAnsi="仿宋" w:eastAsia="仿宋" w:cs="仿宋"/>
          <w:sz w:val="28"/>
          <w:szCs w:val="28"/>
          <w:highlight w:val="none"/>
          <w:u w:val="single"/>
        </w:rPr>
        <w:t>甲方</w:t>
      </w:r>
      <w:r>
        <w:rPr>
          <w:rFonts w:hint="eastAsia" w:ascii="仿宋" w:hAnsi="仿宋" w:eastAsia="仿宋" w:cs="仿宋"/>
          <w:sz w:val="28"/>
          <w:szCs w:val="28"/>
          <w:highlight w:val="none"/>
        </w:rPr>
        <w:t>所有。</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2.乙方保证项目研究成果不会侵犯任何第三方合法权益（包括但不限于只是产权）。</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3.乙方完成本合同项目的技术研发人员享有在有关技术成果文件上写明技术成果完成者取得有关荣誉证书、奖励的权利。</w:t>
      </w:r>
    </w:p>
    <w:p>
      <w:pPr>
        <w:keepNext w:val="0"/>
        <w:keepLines w:val="0"/>
        <w:pageBreakBefore w:val="0"/>
        <w:widowControl w:val="0"/>
        <w:kinsoku/>
        <w:wordWrap/>
        <w:overflowPunct/>
        <w:topLinePunct w:val="0"/>
        <w:bidi w:val="0"/>
        <w:adjustRightInd/>
        <w:snapToGrid/>
        <w:spacing w:line="500" w:lineRule="exact"/>
        <w:ind w:firstLine="557" w:firstLineChars="198"/>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第十五条</w:t>
      </w:r>
      <w:r>
        <w:rPr>
          <w:rFonts w:hint="eastAsia" w:ascii="仿宋" w:hAnsi="仿宋" w:eastAsia="仿宋" w:cs="仿宋"/>
          <w:b/>
          <w:spacing w:val="-2"/>
          <w:sz w:val="28"/>
          <w:szCs w:val="28"/>
          <w:highlight w:val="none"/>
        </w:rPr>
        <w:t xml:space="preserve"> </w:t>
      </w:r>
      <w:r>
        <w:rPr>
          <w:rFonts w:hint="eastAsia" w:ascii="仿宋" w:hAnsi="仿宋" w:eastAsia="仿宋" w:cs="仿宋"/>
          <w:sz w:val="28"/>
          <w:szCs w:val="28"/>
          <w:highlight w:val="none"/>
        </w:rPr>
        <w:t>双方确定，乙方应在向甲方交付项目研发成果后，根据甲方的要求，为甲方指定的人员提供技术指导和培训，或提供与使用该项目研发成果相关的技术服务。</w:t>
      </w:r>
    </w:p>
    <w:p>
      <w:pPr>
        <w:keepNext w:val="0"/>
        <w:keepLines w:val="0"/>
        <w:pageBreakBefore w:val="0"/>
        <w:widowControl w:val="0"/>
        <w:kinsoku/>
        <w:wordWrap/>
        <w:overflowPunct/>
        <w:topLinePunct w:val="0"/>
        <w:bidi w:val="0"/>
        <w:adjustRightInd/>
        <w:snapToGrid/>
        <w:spacing w:line="500" w:lineRule="exact"/>
        <w:ind w:firstLine="557" w:firstLineChars="198"/>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第十六条 </w:t>
      </w:r>
      <w:r>
        <w:rPr>
          <w:rFonts w:hint="eastAsia" w:ascii="仿宋" w:hAnsi="仿宋" w:eastAsia="仿宋" w:cs="仿宋"/>
          <w:sz w:val="28"/>
          <w:szCs w:val="28"/>
          <w:highlight w:val="none"/>
        </w:rPr>
        <w:t>双方确定：任何一方违反本合同约定，造成项目研发工作停滞、延误或失败的，承担违约责任，赔偿给另一方带来的全部经济损失。</w:t>
      </w:r>
    </w:p>
    <w:p>
      <w:pPr>
        <w:keepNext w:val="0"/>
        <w:keepLines w:val="0"/>
        <w:pageBreakBefore w:val="0"/>
        <w:widowControl w:val="0"/>
        <w:kinsoku/>
        <w:wordWrap/>
        <w:overflowPunct/>
        <w:topLinePunct w:val="0"/>
        <w:bidi w:val="0"/>
        <w:adjustRightInd/>
        <w:snapToGrid/>
        <w:spacing w:line="500" w:lineRule="exact"/>
        <w:ind w:firstLine="551" w:firstLineChars="196"/>
        <w:rPr>
          <w:rFonts w:hint="eastAsia" w:ascii="仿宋" w:hAnsi="仿宋" w:eastAsia="仿宋" w:cs="仿宋"/>
          <w:sz w:val="28"/>
          <w:szCs w:val="28"/>
          <w:highlight w:val="none"/>
        </w:rPr>
      </w:pPr>
      <w:r>
        <w:rPr>
          <w:rFonts w:hint="eastAsia" w:ascii="仿宋" w:hAnsi="仿宋" w:eastAsia="仿宋" w:cs="仿宋"/>
          <w:b/>
          <w:sz w:val="28"/>
          <w:szCs w:val="28"/>
          <w:highlight w:val="none"/>
        </w:rPr>
        <w:t>第十七条</w:t>
      </w:r>
      <w:r>
        <w:rPr>
          <w:rFonts w:hint="eastAsia" w:ascii="仿宋" w:hAnsi="仿宋" w:eastAsia="仿宋" w:cs="仿宋"/>
          <w:sz w:val="28"/>
          <w:szCs w:val="28"/>
          <w:highlight w:val="none"/>
        </w:rPr>
        <w:t xml:space="preserve"> 双方确定，在本合同有效期内，甲方指定</w:t>
      </w:r>
      <w:r>
        <w:rPr>
          <w:rFonts w:hint="eastAsia" w:ascii="仿宋" w:hAnsi="仿宋" w:eastAsia="仿宋" w:cs="仿宋"/>
          <w:color w:val="000000"/>
          <w:sz w:val="28"/>
          <w:szCs w:val="28"/>
          <w:highlight w:val="none"/>
          <w:u w:val="single"/>
        </w:rPr>
        <w:t xml:space="preserve">     </w:t>
      </w:r>
      <w:r>
        <w:rPr>
          <w:rFonts w:hint="eastAsia" w:ascii="仿宋" w:hAnsi="仿宋" w:eastAsia="仿宋" w:cs="仿宋"/>
          <w:sz w:val="28"/>
          <w:szCs w:val="28"/>
          <w:highlight w:val="none"/>
        </w:rPr>
        <w:t>为甲方项目联系人，乙方指定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为乙方项目联系人。</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第十八条</w:t>
      </w:r>
      <w:r>
        <w:rPr>
          <w:rFonts w:hint="eastAsia" w:ascii="仿宋" w:hAnsi="仿宋" w:eastAsia="仿宋" w:cs="仿宋"/>
          <w:sz w:val="28"/>
          <w:szCs w:val="28"/>
          <w:highlight w:val="none"/>
        </w:rPr>
        <w:t xml:space="preserve"> 双方确定，因发生不可抗力因素的情形，致使本合同的履行成为不必要或不可能的，一方可以通知另一方解除本合同。</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b/>
          <w:color w:val="C00000"/>
          <w:sz w:val="28"/>
          <w:szCs w:val="28"/>
          <w:highlight w:val="none"/>
        </w:rPr>
      </w:pPr>
      <w:r>
        <w:rPr>
          <w:rFonts w:hint="eastAsia" w:ascii="仿宋" w:hAnsi="仿宋" w:eastAsia="仿宋" w:cs="仿宋"/>
          <w:b/>
          <w:sz w:val="28"/>
          <w:szCs w:val="28"/>
          <w:highlight w:val="none"/>
        </w:rPr>
        <w:t xml:space="preserve">第十九条 </w:t>
      </w:r>
      <w:r>
        <w:rPr>
          <w:rFonts w:hint="eastAsia" w:ascii="仿宋" w:hAnsi="仿宋" w:eastAsia="仿宋" w:cs="仿宋"/>
          <w:sz w:val="28"/>
          <w:szCs w:val="28"/>
          <w:highlight w:val="none"/>
        </w:rPr>
        <w:t xml:space="preserve">乙方有权在完成本合同约定的项目研发工作后，利用该项科技研发成果进行后续改进。由此产生的具有实质性或创造性技术进步特征的新的技术成果，归乙方所有。 </w:t>
      </w:r>
      <w:r>
        <w:rPr>
          <w:rFonts w:hint="eastAsia" w:ascii="仿宋" w:hAnsi="仿宋" w:eastAsia="仿宋" w:cs="仿宋"/>
          <w:b/>
          <w:sz w:val="28"/>
          <w:szCs w:val="28"/>
          <w:highlight w:val="none"/>
        </w:rPr>
        <w:t xml:space="preserve"> </w:t>
      </w:r>
      <w:r>
        <w:rPr>
          <w:rFonts w:hint="eastAsia" w:ascii="仿宋" w:hAnsi="仿宋" w:eastAsia="仿宋" w:cs="仿宋"/>
          <w:b/>
          <w:color w:val="C00000"/>
          <w:sz w:val="28"/>
          <w:szCs w:val="28"/>
          <w:highlight w:val="none"/>
        </w:rPr>
        <w:t xml:space="preserve">   </w:t>
      </w:r>
    </w:p>
    <w:p>
      <w:pPr>
        <w:keepNext w:val="0"/>
        <w:keepLines w:val="0"/>
        <w:pageBreakBefore w:val="0"/>
        <w:widowControl w:val="0"/>
        <w:kinsoku/>
        <w:wordWrap/>
        <w:overflowPunct/>
        <w:topLinePunct w:val="0"/>
        <w:bidi w:val="0"/>
        <w:adjustRightInd/>
        <w:snapToGrid/>
        <w:spacing w:line="500" w:lineRule="exact"/>
        <w:ind w:firstLine="562" w:firstLineChars="200"/>
        <w:rPr>
          <w:rFonts w:hint="default" w:ascii="仿宋" w:hAnsi="仿宋" w:eastAsia="仿宋" w:cs="仿宋"/>
          <w:sz w:val="28"/>
          <w:szCs w:val="28"/>
          <w:highlight w:val="yellow"/>
          <w:lang w:val="en-US" w:eastAsia="zh-CN"/>
        </w:rPr>
      </w:pPr>
      <w:r>
        <w:rPr>
          <w:rFonts w:hint="eastAsia" w:ascii="仿宋" w:hAnsi="仿宋" w:eastAsia="仿宋" w:cs="仿宋"/>
          <w:b/>
          <w:sz w:val="28"/>
          <w:szCs w:val="28"/>
          <w:highlight w:val="none"/>
        </w:rPr>
        <w:t>第二十条</w:t>
      </w:r>
      <w:r>
        <w:rPr>
          <w:rFonts w:hint="eastAsia" w:ascii="仿宋" w:hAnsi="仿宋" w:eastAsia="仿宋" w:cs="仿宋"/>
          <w:b/>
          <w:sz w:val="28"/>
          <w:szCs w:val="28"/>
          <w:highlight w:val="yellow"/>
        </w:rPr>
        <w:t xml:space="preserve"> </w:t>
      </w:r>
      <w:r>
        <w:rPr>
          <w:rFonts w:hint="eastAsia" w:ascii="仿宋" w:hAnsi="仿宋" w:eastAsia="仿宋" w:cs="仿宋"/>
          <w:sz w:val="28"/>
          <w:szCs w:val="28"/>
          <w:highlight w:val="yellow"/>
        </w:rPr>
        <w:t>双方因履行本合同而发生的争议，应协商、调解解决</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调解不成功由合同签订地法院进行裁决。</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第二十一条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sz w:val="28"/>
          <w:szCs w:val="28"/>
          <w:highlight w:val="none"/>
        </w:rPr>
        <w:t>与履行本合同有关的技术背景资料，可行性论证报告，原始工艺设计文件等技术文件，经双方以文本方式确认后，为本合同的组成部分。</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第二十二条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sz w:val="28"/>
          <w:szCs w:val="28"/>
          <w:highlight w:val="none"/>
        </w:rPr>
        <w:t>廉政条款</w:t>
      </w:r>
    </w:p>
    <w:p>
      <w:pPr>
        <w:keepNext w:val="0"/>
        <w:keepLines w:val="0"/>
        <w:pageBreakBefore w:val="0"/>
        <w:widowControl w:val="0"/>
        <w:kinsoku/>
        <w:wordWrap/>
        <w:overflowPunct/>
        <w:topLinePunct w:val="0"/>
        <w:bidi w:val="0"/>
        <w:adjustRightInd/>
        <w:snapToGrid/>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以任何理由邀请甲方人员参加有乙方出资的任何餐饮、娱乐、休闲、健身等活动；不向甲方人员及其家属、朋友送礼（含礼金、购物卡、有价证券和物品）、报销应由其个人负担的费用；不为甲方人员及其家属、朋友的个人事物提供低酬劳、无偿帮助或任何形式的好处，不为甲方及其家属、朋友提供使用交通工具、通讯工具；遵守公平竞争原则；不通过非正常手段进行商业竞争、损害甲方及其其他商家利益。如违反上述承诺之一的，视为乙方违约，乙方同意向甲方支付合同价款30%的违约金。</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第二十三条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sz w:val="28"/>
          <w:szCs w:val="28"/>
          <w:highlight w:val="none"/>
        </w:rPr>
        <w:t>本合同一式六份，甲方四份，乙方二份，具有同等法律效力。</w:t>
      </w:r>
    </w:p>
    <w:p>
      <w:pPr>
        <w:keepNext w:val="0"/>
        <w:keepLines w:val="0"/>
        <w:pageBreakBefore w:val="0"/>
        <w:widowControl w:val="0"/>
        <w:kinsoku/>
        <w:wordWrap/>
        <w:overflowPunct/>
        <w:topLinePunct w:val="0"/>
        <w:bidi w:val="0"/>
        <w:adjustRightInd/>
        <w:snapToGrid/>
        <w:spacing w:line="500" w:lineRule="exact"/>
        <w:ind w:firstLine="562" w:firstLineChars="200"/>
        <w:rPr>
          <w:rFonts w:hint="eastAsia" w:ascii="仿宋" w:hAnsi="仿宋" w:eastAsia="仿宋" w:cs="仿宋"/>
          <w:spacing w:val="4"/>
          <w:sz w:val="28"/>
          <w:szCs w:val="28"/>
          <w:highlight w:val="none"/>
        </w:rPr>
      </w:pPr>
      <w:r>
        <w:rPr>
          <w:rFonts w:hint="eastAsia" w:ascii="仿宋" w:hAnsi="仿宋" w:eastAsia="仿宋" w:cs="仿宋"/>
          <w:b/>
          <w:sz w:val="28"/>
          <w:szCs w:val="28"/>
          <w:highlight w:val="none"/>
        </w:rPr>
        <w:t>第二十四条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spacing w:val="4"/>
          <w:sz w:val="28"/>
          <w:szCs w:val="28"/>
          <w:highlight w:val="none"/>
        </w:rPr>
        <w:t>本合同经双方签字盖章后生效，有效时间截止到202</w:t>
      </w:r>
      <w:r>
        <w:rPr>
          <w:rFonts w:hint="eastAsia" w:ascii="仿宋" w:hAnsi="仿宋" w:eastAsia="仿宋" w:cs="仿宋"/>
          <w:spacing w:val="4"/>
          <w:sz w:val="28"/>
          <w:szCs w:val="28"/>
          <w:highlight w:val="none"/>
          <w:lang w:val="en-US" w:eastAsia="zh-CN"/>
        </w:rPr>
        <w:t>3</w:t>
      </w:r>
      <w:r>
        <w:rPr>
          <w:rFonts w:hint="eastAsia" w:ascii="仿宋" w:hAnsi="仿宋" w:eastAsia="仿宋" w:cs="仿宋"/>
          <w:spacing w:val="4"/>
          <w:sz w:val="28"/>
          <w:szCs w:val="28"/>
          <w:highlight w:val="none"/>
        </w:rPr>
        <w:t>年 月  日。</w:t>
      </w:r>
    </w:p>
    <w:p>
      <w:pPr>
        <w:keepNext w:val="0"/>
        <w:keepLines w:val="0"/>
        <w:pageBreakBefore w:val="0"/>
        <w:widowControl w:val="0"/>
        <w:kinsoku/>
        <w:wordWrap/>
        <w:overflowPunct/>
        <w:topLinePunct w:val="0"/>
        <w:bidi w:val="0"/>
        <w:adjustRightInd/>
        <w:snapToGrid/>
        <w:spacing w:line="500" w:lineRule="exac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（签字盖章页）</w:t>
      </w:r>
    </w:p>
    <w:tbl>
      <w:tblPr>
        <w:tblStyle w:val="56"/>
        <w:tblpPr w:leftFromText="180" w:rightFromText="180" w:vertAnchor="text" w:horzAnchor="margin" w:tblpY="26"/>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01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8"/>
                <w:highlight w:val="none"/>
              </w:rPr>
            </w:pPr>
            <w:r>
              <w:rPr>
                <w:rFonts w:hint="eastAsia" w:ascii="宋体"/>
                <w:sz w:val="28"/>
                <w:highlight w:val="none"/>
              </w:rPr>
              <w:t>甲方：冀东海天水泥闻喜有限责任公司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w w:val="90"/>
                <w:sz w:val="28"/>
                <w:highlight w:val="none"/>
              </w:rPr>
            </w:pPr>
            <w:r>
              <w:rPr>
                <w:rFonts w:hint="eastAsia" w:ascii="宋体"/>
                <w:sz w:val="28"/>
                <w:highlight w:val="none"/>
              </w:rPr>
              <w:t>住所地：</w:t>
            </w:r>
            <w:r>
              <w:rPr>
                <w:rFonts w:hint="eastAsia" w:ascii="宋体"/>
                <w:w w:val="90"/>
                <w:sz w:val="28"/>
                <w:highlight w:val="none"/>
              </w:rPr>
              <w:t>山西省闻喜县侯村乡西阳村村西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sz w:val="28"/>
                <w:highlight w:val="none"/>
              </w:rPr>
            </w:pPr>
            <w:r>
              <w:rPr>
                <w:rFonts w:hint="eastAsia" w:ascii="宋体"/>
                <w:sz w:val="28"/>
                <w:highlight w:val="none"/>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sz w:val="28"/>
                <w:highlight w:val="none"/>
              </w:rPr>
            </w:pPr>
            <w:r>
              <w:rPr>
                <w:rFonts w:hint="eastAsia" w:ascii="宋体"/>
                <w:sz w:val="28"/>
                <w:highlight w:val="none"/>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sz w:val="28"/>
                <w:highlight w:val="none"/>
                <w:lang w:val="en-US" w:eastAsia="zh-CN"/>
              </w:rPr>
            </w:pPr>
            <w:r>
              <w:rPr>
                <w:rFonts w:hint="eastAsia" w:ascii="宋体"/>
                <w:sz w:val="28"/>
                <w:highlight w:val="none"/>
              </w:rPr>
              <w:t xml:space="preserve">电话： </w:t>
            </w:r>
            <w:r>
              <w:rPr>
                <w:rFonts w:hint="eastAsia" w:ascii="宋体"/>
                <w:sz w:val="28"/>
                <w:highlight w:val="none"/>
                <w:lang w:val="en-US" w:eastAsia="zh-CN"/>
              </w:rPr>
              <w:t>0359-8704270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w w:val="90"/>
                <w:sz w:val="28"/>
                <w:highlight w:val="none"/>
              </w:rPr>
            </w:pPr>
            <w:r>
              <w:rPr>
                <w:rFonts w:hint="eastAsia" w:ascii="宋体"/>
                <w:sz w:val="28"/>
                <w:highlight w:val="none"/>
              </w:rPr>
              <w:t>开户银行：</w:t>
            </w:r>
            <w:r>
              <w:rPr>
                <w:rFonts w:hint="eastAsia" w:ascii="宋体"/>
                <w:w w:val="90"/>
                <w:sz w:val="28"/>
                <w:highlight w:val="none"/>
              </w:rPr>
              <w:t>中国银行股份有限公司闻喜支行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Cs/>
                <w:sz w:val="28"/>
                <w:highlight w:val="none"/>
              </w:rPr>
            </w:pPr>
            <w:r>
              <w:rPr>
                <w:rFonts w:hint="eastAsia" w:ascii="宋体"/>
                <w:sz w:val="28"/>
                <w:highlight w:val="none"/>
              </w:rPr>
              <w:t>账号：</w:t>
            </w:r>
            <w:r>
              <w:rPr>
                <w:rFonts w:hint="eastAsia" w:ascii="宋体"/>
                <w:bCs/>
                <w:sz w:val="28"/>
                <w:highlight w:val="none"/>
              </w:rPr>
              <w:t>1417 0123 9346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8"/>
                <w:highlight w:val="none"/>
                <w:u w:val="single"/>
              </w:rPr>
            </w:pPr>
            <w:r>
              <w:rPr>
                <w:rFonts w:hint="eastAsia" w:ascii="宋体"/>
                <w:sz w:val="28"/>
                <w:highlight w:val="none"/>
              </w:rPr>
              <w:t>社会信用代码：</w:t>
            </w:r>
            <w:r>
              <w:rPr>
                <w:rFonts w:hint="eastAsia" w:ascii="宋体"/>
                <w:bCs/>
                <w:sz w:val="28"/>
                <w:highlight w:val="none"/>
              </w:rPr>
              <w:t>91140823670183926Y</w:t>
            </w:r>
          </w:p>
        </w:tc>
        <w:tc>
          <w:tcPr>
            <w:tcW w:w="476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8"/>
                <w:highlight w:val="none"/>
              </w:rPr>
            </w:pPr>
            <w:r>
              <w:rPr>
                <w:rFonts w:hint="eastAsia" w:ascii="宋体" w:hAnsi="宋体"/>
                <w:sz w:val="28"/>
                <w:highlight w:val="none"/>
              </w:rPr>
              <w:t>乙方：</w:t>
            </w:r>
            <w:r>
              <w:rPr>
                <w:rFonts w:hint="eastAsia"/>
                <w:sz w:val="28"/>
                <w:szCs w:val="28"/>
                <w:highlight w:val="none"/>
              </w:rPr>
              <w:t xml:space="preserve">  </w:t>
            </w:r>
            <w:r>
              <w:rPr>
                <w:rFonts w:hint="eastAsia" w:ascii="宋体" w:hAnsi="宋体"/>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8"/>
                <w:highlight w:val="none"/>
              </w:rPr>
            </w:pPr>
            <w:r>
              <w:rPr>
                <w:rFonts w:hint="eastAsia" w:ascii="宋体" w:hAnsi="宋体"/>
                <w:sz w:val="28"/>
                <w:highlight w:val="none"/>
              </w:rPr>
              <w:t>住所地：</w:t>
            </w:r>
            <w:r>
              <w:rPr>
                <w:rFonts w:hint="eastAsia"/>
                <w:sz w:val="28"/>
                <w:szCs w:val="28"/>
                <w:highlight w:val="none"/>
              </w:rPr>
              <w:t xml:space="preserve"> </w:t>
            </w:r>
            <w:r>
              <w:rPr>
                <w:rFonts w:hint="eastAsia" w:ascii="宋体" w:hAnsi="宋体"/>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8"/>
                <w:highlight w:val="none"/>
              </w:rPr>
            </w:pPr>
            <w:r>
              <w:rPr>
                <w:rFonts w:hint="eastAsia" w:ascii="宋体" w:hAnsi="宋体"/>
                <w:sz w:val="28"/>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8"/>
                <w:highlight w:val="none"/>
              </w:rPr>
            </w:pPr>
            <w:r>
              <w:rPr>
                <w:rFonts w:hint="eastAsia" w:ascii="宋体" w:hAnsi="宋体"/>
                <w:sz w:val="28"/>
                <w:highlight w:val="none"/>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8"/>
                <w:highlight w:val="none"/>
              </w:rPr>
            </w:pPr>
            <w:r>
              <w:rPr>
                <w:rFonts w:hint="eastAsia" w:ascii="宋体" w:hAnsi="宋体"/>
                <w:sz w:val="28"/>
                <w:highlight w:val="none"/>
              </w:rPr>
              <w:t xml:space="preserve">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highlight w:val="none"/>
              </w:rPr>
            </w:pPr>
            <w:r>
              <w:rPr>
                <w:rFonts w:hint="eastAsia" w:ascii="宋体" w:hAnsi="宋体"/>
                <w:sz w:val="28"/>
                <w:highlight w:val="none"/>
              </w:rPr>
              <w:t>开户银行：</w:t>
            </w:r>
            <w:r>
              <w:rPr>
                <w:rFonts w:hint="eastAsia"/>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8"/>
                <w:highlight w:val="none"/>
              </w:rPr>
            </w:pPr>
            <w:r>
              <w:rPr>
                <w:rFonts w:hint="eastAsia" w:ascii="宋体" w:hAnsi="宋体"/>
                <w:sz w:val="28"/>
                <w:highlight w:val="none"/>
              </w:rPr>
              <w:t>账号：</w:t>
            </w:r>
            <w:r>
              <w:rPr>
                <w:rFonts w:hint="eastAsia"/>
                <w:sz w:val="28"/>
                <w:szCs w:val="28"/>
                <w:highlight w:val="none"/>
              </w:rPr>
              <w:t xml:space="preserve"> </w:t>
            </w:r>
            <w:r>
              <w:rPr>
                <w:sz w:val="28"/>
                <w:szCs w:val="28"/>
                <w:highlight w:val="none"/>
              </w:rPr>
              <w:t xml:space="preserve"> </w:t>
            </w:r>
            <w:r>
              <w:rPr>
                <w:rFonts w:hint="eastAsia" w:ascii="宋体" w:hAnsi="宋体"/>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8"/>
                <w:highlight w:val="none"/>
              </w:rPr>
            </w:pPr>
            <w:r>
              <w:rPr>
                <w:rFonts w:hint="eastAsia" w:ascii="宋体" w:hAnsi="Calibri" w:eastAsia="Calibri"/>
                <w:sz w:val="28"/>
                <w:highlight w:val="none"/>
              </w:rPr>
              <w:t>社会信用代码</w:t>
            </w:r>
            <w:r>
              <w:rPr>
                <w:rFonts w:hint="eastAsia" w:ascii="宋体" w:hAnsi="Calibri"/>
                <w:sz w:val="28"/>
                <w:highlight w:val="none"/>
              </w:rPr>
              <w:t>：</w:t>
            </w:r>
            <w:r>
              <w:rPr>
                <w:rFonts w:hint="eastAsia"/>
                <w:sz w:val="28"/>
                <w:szCs w:val="28"/>
                <w:highlight w:val="none"/>
              </w:rPr>
              <w:t xml:space="preserve"> </w:t>
            </w:r>
            <w:r>
              <w:rPr>
                <w:rFonts w:hint="eastAsia" w:ascii="宋体" w:hAnsi="宋体"/>
                <w:sz w:val="28"/>
                <w:highlight w:val="none"/>
              </w:rPr>
              <w:t xml:space="preserve">               </w:t>
            </w:r>
          </w:p>
        </w:tc>
      </w:tr>
    </w:tbl>
    <w:p>
      <w:pPr>
        <w:spacing w:line="560" w:lineRule="exact"/>
        <w:jc w:val="left"/>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Times New Roman" w:hAnsi="Times New Roman"/>
          <w:b/>
          <w:bCs/>
          <w:color w:val="000000" w:themeColor="text1"/>
          <w:sz w:val="48"/>
          <w:szCs w:val="48"/>
          <w:highlight w:val="none"/>
          <w:lang w:val="zh-CN"/>
          <w14:textFill>
            <w14:solidFill>
              <w14:schemeClr w14:val="tx1"/>
            </w14:solidFill>
          </w14:textFill>
        </w:rPr>
        <w:sectPr>
          <w:footerReference r:id="rId7" w:type="first"/>
          <w:headerReference r:id="rId5" w:type="default"/>
          <w:footerReference r:id="rId6" w:type="default"/>
          <w:endnotePr>
            <w:numFmt w:val="decimal"/>
          </w:endnotePr>
          <w:pgSz w:w="12240" w:h="15840"/>
          <w:pgMar w:top="1417" w:right="1417" w:bottom="1417" w:left="1417" w:header="720" w:footer="720" w:gutter="0"/>
          <w:cols w:space="0" w:num="1"/>
        </w:sectPr>
      </w:pPr>
    </w:p>
    <w:p>
      <w:pPr>
        <w:widowControl/>
        <w:shd w:val="clear" w:color="auto" w:fill="FFFFFF"/>
        <w:spacing w:line="360" w:lineRule="auto"/>
        <w:jc w:val="center"/>
        <w:rPr>
          <w:rFonts w:ascii="Times New Roman" w:hAnsi="Times New Roman"/>
          <w:b/>
          <w:bCs/>
          <w:color w:val="000000" w:themeColor="text1"/>
          <w:sz w:val="48"/>
          <w:szCs w:val="48"/>
          <w:highlight w:val="none"/>
          <w:lang w:val="zh-CN"/>
          <w14:textFill>
            <w14:solidFill>
              <w14:schemeClr w14:val="tx1"/>
            </w14:solidFill>
          </w14:textFill>
        </w:rPr>
      </w:pPr>
    </w:p>
    <w:p>
      <w:pPr>
        <w:pStyle w:val="3"/>
        <w:numPr>
          <w:ilvl w:val="0"/>
          <w:numId w:val="0"/>
        </w:numPr>
        <w:spacing w:before="0" w:after="0" w:line="360" w:lineRule="auto"/>
        <w:ind w:left="2520" w:leftChars="0"/>
        <w:jc w:val="both"/>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第六章 </w:t>
      </w:r>
      <w:r>
        <w:rPr>
          <w:rFonts w:hint="eastAsia" w:ascii="宋体" w:hAnsi="宋体" w:cs="宋体"/>
          <w:color w:val="000000" w:themeColor="text1"/>
          <w:highlight w:val="none"/>
          <w:lang w:val="zh-CN"/>
          <w14:textFill>
            <w14:solidFill>
              <w14:schemeClr w14:val="tx1"/>
            </w14:solidFill>
          </w14:textFill>
        </w:rPr>
        <w:t>投标文件格式及附件</w:t>
      </w: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0"/>
          <w:szCs w:val="40"/>
          <w:highlight w:val="none"/>
          <w:lang w:val="zh-CN"/>
          <w14:textFill>
            <w14:solidFill>
              <w14:schemeClr w14:val="tx1"/>
            </w14:solidFill>
          </w14:textFill>
        </w:rPr>
      </w:pPr>
      <w:r>
        <w:rPr>
          <w:rFonts w:hint="eastAsia" w:ascii="宋体" w:hAnsi="宋体" w:cs="宋体"/>
          <w:b/>
          <w:bCs/>
          <w:color w:val="000000" w:themeColor="text1"/>
          <w:kern w:val="44"/>
          <w:sz w:val="44"/>
          <w:szCs w:val="44"/>
          <w:highlight w:val="none"/>
          <w:lang w:val="zh-CN" w:eastAsia="zh-CN" w:bidi="ar-SA"/>
          <w14:textFill>
            <w14:solidFill>
              <w14:schemeClr w14:val="tx1"/>
            </w14:solidFill>
          </w14:textFill>
        </w:rPr>
        <w:t>水泥回转窑筒体余热回收发电技术研发</w:t>
      </w:r>
      <w:r>
        <w:rPr>
          <w:rFonts w:hint="eastAsia" w:ascii="宋体" w:hAnsi="宋体" w:cs="宋体"/>
          <w:b/>
          <w:bCs/>
          <w:color w:val="000000" w:themeColor="text1"/>
          <w:sz w:val="40"/>
          <w:szCs w:val="40"/>
          <w:highlight w:val="none"/>
          <w:lang w:val="zh-CN"/>
          <w14:textFill>
            <w14:solidFill>
              <w14:schemeClr w14:val="tx1"/>
            </w14:solidFill>
          </w14:textFill>
        </w:rPr>
        <w:t>项目</w:t>
      </w: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spacing w:line="360" w:lineRule="auto"/>
        <w:jc w:val="center"/>
        <w:rPr>
          <w:rFonts w:ascii="宋体" w:hAnsi="宋体" w:cs="宋体"/>
          <w:b/>
          <w:color w:val="000000" w:themeColor="text1"/>
          <w:sz w:val="56"/>
          <w:szCs w:val="22"/>
          <w:highlight w:val="none"/>
          <w14:textFill>
            <w14:solidFill>
              <w14:schemeClr w14:val="tx1"/>
            </w14:solidFill>
          </w14:textFill>
        </w:rPr>
      </w:pPr>
      <w:r>
        <w:rPr>
          <w:rFonts w:hint="eastAsia" w:ascii="宋体" w:hAnsi="宋体" w:cs="宋体"/>
          <w:b/>
          <w:color w:val="000000" w:themeColor="text1"/>
          <w:sz w:val="56"/>
          <w:szCs w:val="22"/>
          <w:highlight w:val="none"/>
          <w14:textFill>
            <w14:solidFill>
              <w14:schemeClr w14:val="tx1"/>
            </w14:solidFill>
          </w14:textFill>
        </w:rPr>
        <w:t>投  标  文  件</w:t>
      </w:r>
    </w:p>
    <w:p>
      <w:pPr>
        <w:spacing w:line="360" w:lineRule="auto"/>
        <w:rPr>
          <w:rFonts w:ascii="宋体" w:hAnsi="宋体" w:cs="宋体"/>
          <w:b/>
          <w:color w:val="000000" w:themeColor="text1"/>
          <w:sz w:val="36"/>
          <w:highlight w:val="none"/>
          <w14:textFill>
            <w14:solidFill>
              <w14:schemeClr w14:val="tx1"/>
            </w14:solidFill>
          </w14:textFill>
        </w:rPr>
      </w:pPr>
    </w:p>
    <w:p>
      <w:pPr>
        <w:pStyle w:val="21"/>
        <w:spacing w:after="0" w:line="360" w:lineRule="auto"/>
        <w:rPr>
          <w:rFonts w:ascii="宋体" w:hAnsi="宋体" w:cs="宋体"/>
          <w:b/>
          <w:color w:val="000000" w:themeColor="text1"/>
          <w:sz w:val="36"/>
          <w:highlight w:val="none"/>
          <w14:textFill>
            <w14:solidFill>
              <w14:schemeClr w14:val="tx1"/>
            </w14:solidFill>
          </w14:textFill>
        </w:rPr>
      </w:pPr>
    </w:p>
    <w:p>
      <w:pPr>
        <w:pStyle w:val="21"/>
        <w:spacing w:after="0" w:line="360" w:lineRule="auto"/>
        <w:rPr>
          <w:rFonts w:ascii="宋体" w:hAnsi="宋体" w:cs="宋体"/>
          <w:b/>
          <w:color w:val="000000" w:themeColor="text1"/>
          <w:sz w:val="36"/>
          <w:highlight w:val="none"/>
          <w14:textFill>
            <w14:solidFill>
              <w14:schemeClr w14:val="tx1"/>
            </w14:solidFill>
          </w14:textFill>
        </w:rPr>
      </w:pPr>
    </w:p>
    <w:p>
      <w:pPr>
        <w:pStyle w:val="21"/>
        <w:spacing w:after="0" w:line="360" w:lineRule="auto"/>
        <w:rPr>
          <w:rFonts w:ascii="宋体" w:hAnsi="宋体" w:cs="宋体"/>
          <w:b/>
          <w:color w:val="000000" w:themeColor="text1"/>
          <w:sz w:val="30"/>
          <w:szCs w:val="30"/>
          <w:highlight w:val="none"/>
          <w14:textFill>
            <w14:solidFill>
              <w14:schemeClr w14:val="tx1"/>
            </w14:solidFill>
          </w14:textFill>
        </w:rPr>
      </w:pPr>
    </w:p>
    <w:p>
      <w:pPr>
        <w:spacing w:line="360" w:lineRule="auto"/>
        <w:ind w:firstLine="1205" w:firstLineChars="400"/>
        <w:rPr>
          <w:rFonts w:ascii="宋体" w:hAnsi="宋体" w:cs="宋体"/>
          <w:b/>
          <w:color w:val="000000" w:themeColor="text1"/>
          <w:sz w:val="30"/>
          <w:szCs w:val="30"/>
          <w:highlight w:val="none"/>
          <w14:textFill>
            <w14:solidFill>
              <w14:schemeClr w14:val="tx1"/>
            </w14:solidFill>
          </w14:textFill>
        </w:rPr>
      </w:pPr>
    </w:p>
    <w:p>
      <w:pPr>
        <w:spacing w:line="360" w:lineRule="auto"/>
        <w:ind w:firstLine="1205" w:firstLineChars="400"/>
        <w:rPr>
          <w:rFonts w:hint="eastAsia" w:ascii="宋体" w:hAnsi="宋体" w:cs="宋体"/>
          <w:b/>
          <w:color w:val="000000" w:themeColor="text1"/>
          <w:sz w:val="30"/>
          <w:szCs w:val="30"/>
          <w:highlight w:val="none"/>
          <w14:textFill>
            <w14:solidFill>
              <w14:schemeClr w14:val="tx1"/>
            </w14:solidFill>
          </w14:textFill>
        </w:rPr>
      </w:pPr>
    </w:p>
    <w:p>
      <w:pPr>
        <w:spacing w:line="360" w:lineRule="auto"/>
        <w:ind w:firstLine="1205" w:firstLineChars="400"/>
        <w:rPr>
          <w:rFonts w:hint="eastAsia" w:ascii="宋体" w:hAnsi="宋体" w:cs="宋体"/>
          <w:b/>
          <w:color w:val="000000" w:themeColor="text1"/>
          <w:sz w:val="30"/>
          <w:szCs w:val="30"/>
          <w:highlight w:val="none"/>
          <w14:textFill>
            <w14:solidFill>
              <w14:schemeClr w14:val="tx1"/>
            </w14:solidFill>
          </w14:textFill>
        </w:rPr>
      </w:pPr>
    </w:p>
    <w:p>
      <w:pPr>
        <w:spacing w:line="360" w:lineRule="auto"/>
        <w:ind w:firstLine="1205" w:firstLineChars="400"/>
        <w:rPr>
          <w:rFonts w:hint="eastAsia" w:ascii="宋体" w:hAnsi="宋体" w:cs="宋体"/>
          <w:b/>
          <w:color w:val="000000" w:themeColor="text1"/>
          <w:sz w:val="30"/>
          <w:szCs w:val="30"/>
          <w:highlight w:val="none"/>
          <w14:textFill>
            <w14:solidFill>
              <w14:schemeClr w14:val="tx1"/>
            </w14:solidFill>
          </w14:textFill>
        </w:rPr>
      </w:pPr>
    </w:p>
    <w:p>
      <w:pPr>
        <w:spacing w:line="360" w:lineRule="auto"/>
        <w:ind w:firstLine="1205" w:firstLineChars="400"/>
        <w:rPr>
          <w:rFonts w:hint="eastAsia" w:ascii="宋体" w:hAnsi="宋体" w:cs="宋体"/>
          <w:b/>
          <w:color w:val="000000" w:themeColor="text1"/>
          <w:sz w:val="30"/>
          <w:szCs w:val="30"/>
          <w:highlight w:val="none"/>
          <w14:textFill>
            <w14:solidFill>
              <w14:schemeClr w14:val="tx1"/>
            </w14:solidFill>
          </w14:textFill>
        </w:rPr>
      </w:pPr>
    </w:p>
    <w:p>
      <w:pPr>
        <w:spacing w:line="360" w:lineRule="auto"/>
        <w:ind w:firstLine="1205" w:firstLineChars="400"/>
        <w:rPr>
          <w:rFonts w:hint="eastAsia" w:ascii="宋体" w:hAnsi="宋体" w:cs="宋体"/>
          <w:b/>
          <w:color w:val="000000" w:themeColor="text1"/>
          <w:sz w:val="30"/>
          <w:szCs w:val="30"/>
          <w:highlight w:val="none"/>
          <w14:textFill>
            <w14:solidFill>
              <w14:schemeClr w14:val="tx1"/>
            </w14:solidFill>
          </w14:textFill>
        </w:rPr>
      </w:pPr>
    </w:p>
    <w:p>
      <w:pPr>
        <w:spacing w:line="360" w:lineRule="auto"/>
        <w:ind w:firstLine="1205" w:firstLineChars="400"/>
        <w:rPr>
          <w:rFonts w:ascii="宋体" w:hAnsi="宋体" w:cs="宋体"/>
          <w:b/>
          <w:color w:val="000000" w:themeColor="text1"/>
          <w:sz w:val="30"/>
          <w:szCs w:val="30"/>
          <w:highlight w:val="none"/>
          <w:u w:val="singl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投标人名称 ：</w:t>
      </w:r>
    </w:p>
    <w:p>
      <w:pPr>
        <w:spacing w:line="360" w:lineRule="auto"/>
        <w:ind w:firstLine="1205" w:firstLineChars="4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日      期 ：</w:t>
      </w:r>
    </w:p>
    <w:p>
      <w:pPr>
        <w:widowControl/>
        <w:jc w:val="left"/>
        <w:rPr>
          <w:rFonts w:ascii="宋体" w:hAnsi="宋体" w:cs="宋体"/>
          <w:b/>
          <w:bCs/>
          <w:color w:val="000000" w:themeColor="text1"/>
          <w:sz w:val="30"/>
          <w:szCs w:val="30"/>
          <w:highlight w:val="none"/>
          <w14:textFill>
            <w14:solidFill>
              <w14:schemeClr w14:val="tx1"/>
            </w14:solidFill>
          </w14:textFill>
        </w:rPr>
      </w:pPr>
      <w:r>
        <w:rPr>
          <w:rFonts w:ascii="宋体" w:hAnsi="宋体" w:cs="宋体"/>
          <w:b/>
          <w:bCs/>
          <w:color w:val="000000" w:themeColor="text1"/>
          <w:sz w:val="30"/>
          <w:szCs w:val="30"/>
          <w:highlight w:val="none"/>
          <w14:textFill>
            <w14:solidFill>
              <w14:schemeClr w14:val="tx1"/>
            </w14:solidFill>
          </w14:textFill>
        </w:rPr>
        <w:br w:type="page"/>
      </w:r>
    </w:p>
    <w:p>
      <w:pPr>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投标文件主要目录及相关证明材料格式、附件</w:t>
      </w:r>
    </w:p>
    <w:p>
      <w:pPr>
        <w:widowControl w:val="0"/>
        <w:numPr>
          <w:ilvl w:val="0"/>
          <w:numId w:val="0"/>
        </w:numPr>
        <w:tabs>
          <w:tab w:val="left" w:pos="1276"/>
        </w:tabs>
        <w:spacing w:line="360" w:lineRule="auto"/>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主要目录：</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投标申请及声明</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法定代表人身份证明书或授权委托书</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投标承诺书</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营业执照复印件</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相关资质、业绩</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投标报价、分项报价表</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研发项目主要研发</w:t>
      </w:r>
      <w:r>
        <w:rPr>
          <w:rFonts w:hint="eastAsia" w:ascii="宋体" w:hAnsi="宋体" w:cs="宋体"/>
          <w:color w:val="000000" w:themeColor="text1"/>
          <w:sz w:val="24"/>
          <w:highlight w:val="none"/>
          <w:lang w:val="en-US" w:eastAsia="zh-CN"/>
          <w14:textFill>
            <w14:solidFill>
              <w14:schemeClr w14:val="tx1"/>
            </w14:solidFill>
          </w14:textFill>
        </w:rPr>
        <w:t>内容、技术指标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技术方案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创新点、安装调试方案、研发进度计划等</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w:t>
      </w:r>
      <w:r>
        <w:rPr>
          <w:rFonts w:hint="eastAsia" w:ascii="宋体" w:hAnsi="宋体" w:cs="宋体"/>
          <w:color w:val="000000" w:themeColor="text1"/>
          <w:sz w:val="24"/>
          <w:highlight w:val="none"/>
          <w:lang w:val="en-US" w:eastAsia="zh-CN"/>
          <w14:textFill>
            <w14:solidFill>
              <w14:schemeClr w14:val="tx1"/>
            </w14:solidFill>
          </w14:textFill>
        </w:rPr>
        <w:t>及商务</w:t>
      </w:r>
      <w:r>
        <w:rPr>
          <w:rFonts w:hint="eastAsia" w:ascii="宋体" w:hAnsi="宋体" w:cs="宋体"/>
          <w:color w:val="000000" w:themeColor="text1"/>
          <w:sz w:val="24"/>
          <w:highlight w:val="none"/>
          <w14:textFill>
            <w14:solidFill>
              <w14:schemeClr w14:val="tx1"/>
            </w14:solidFill>
          </w14:textFill>
        </w:rPr>
        <w:t>偏离表及说明</w:t>
      </w:r>
    </w:p>
    <w:p>
      <w:pPr>
        <w:numPr>
          <w:ilvl w:val="0"/>
          <w:numId w:val="8"/>
        </w:numPr>
        <w:spacing w:line="360" w:lineRule="auto"/>
        <w:ind w:left="0" w:leftChars="0" w:firstLine="42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服务承诺</w:t>
      </w:r>
    </w:p>
    <w:p>
      <w:pPr>
        <w:numPr>
          <w:ilvl w:val="0"/>
          <w:numId w:val="8"/>
        </w:numPr>
        <w:spacing w:line="360" w:lineRule="auto"/>
        <w:ind w:left="0" w:leftChars="0"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投标需要的其他证明文件及材料；</w:t>
      </w:r>
    </w:p>
    <w:p>
      <w:pPr>
        <w:numPr>
          <w:ilvl w:val="0"/>
          <w:numId w:val="8"/>
        </w:numPr>
        <w:spacing w:line="360" w:lineRule="auto"/>
        <w:ind w:left="0" w:leftChars="0"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投标人认为需要提供的其他材料。</w:t>
      </w:r>
    </w:p>
    <w:p>
      <w:pPr>
        <w:spacing w:line="360" w:lineRule="auto"/>
        <w:rPr>
          <w:rFonts w:ascii="宋体" w:hAnsi="宋体" w:cs="宋体"/>
          <w:color w:val="000000" w:themeColor="text1"/>
          <w:sz w:val="28"/>
          <w:szCs w:val="28"/>
          <w:highlight w:val="none"/>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both"/>
        <w:rPr>
          <w:rFonts w:ascii="宋体" w:hAnsi="宋体" w:cs="宋体"/>
          <w:b/>
          <w:bCs/>
          <w:color w:val="000000" w:themeColor="text1"/>
          <w:sz w:val="48"/>
          <w:szCs w:val="48"/>
          <w:highlight w:val="none"/>
          <w:lang w:val="zh-CN"/>
          <w14:textFill>
            <w14:solidFill>
              <w14:schemeClr w14:val="tx1"/>
            </w14:solidFill>
          </w14:textFill>
        </w:rPr>
      </w:pPr>
    </w:p>
    <w:p>
      <w:pPr>
        <w:pStyle w:val="21"/>
        <w:spacing w:after="0" w:line="360" w:lineRule="auto"/>
        <w:jc w:val="center"/>
        <w:rPr>
          <w:rFonts w:ascii="宋体" w:hAnsi="宋体" w:cs="宋体"/>
          <w:b/>
          <w:bCs/>
          <w:color w:val="000000" w:themeColor="text1"/>
          <w:sz w:val="48"/>
          <w:szCs w:val="48"/>
          <w:highlight w:val="none"/>
          <w:lang w:val="zh-CN"/>
          <w14:textFill>
            <w14:solidFill>
              <w14:schemeClr w14:val="tx1"/>
            </w14:solidFill>
          </w14:textFill>
        </w:rPr>
      </w:pPr>
    </w:p>
    <w:p>
      <w:pPr>
        <w:pStyle w:val="4"/>
        <w:numPr>
          <w:ilvl w:val="0"/>
          <w:numId w:val="9"/>
        </w:numPr>
        <w:spacing w:before="0" w:after="0" w:line="360" w:lineRule="auto"/>
        <w:ind w:left="420" w:leftChars="0" w:firstLineChars="0"/>
        <w:jc w:val="center"/>
        <w:rPr>
          <w:rFonts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投标申请及声明</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致：冀东海天水泥闻喜有限责任公司</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在审阅了项目招标文件（招标项目：</w:t>
      </w:r>
      <w:r>
        <w:rPr>
          <w:rFonts w:hint="eastAsia" w:ascii="宋体" w:hAnsi="宋体" w:cs="宋体"/>
          <w:sz w:val="28"/>
          <w:szCs w:val="28"/>
          <w:highlight w:val="none"/>
          <w:u w:val="single"/>
          <w:lang w:eastAsia="zh-CN"/>
        </w:rPr>
        <w:t>水泥回转窑筒体余热回收发电技术研发</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）所有内容后，签字代表_________（姓名）经正式授权并代表__________________（投标人名称） 提交下述文件。</w:t>
      </w:r>
    </w:p>
    <w:p>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投标申请及声明</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法定代表人身份证明书或授权委托书</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投标承诺书</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营业执照复印件</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相关资质、业绩</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投标报价、分项报价表</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研发项目主要研发</w:t>
      </w:r>
      <w:r>
        <w:rPr>
          <w:rFonts w:hint="eastAsia" w:ascii="宋体" w:hAnsi="宋体" w:cs="宋体"/>
          <w:color w:val="000000" w:themeColor="text1"/>
          <w:sz w:val="24"/>
          <w:highlight w:val="none"/>
          <w:lang w:val="en-US" w:eastAsia="zh-CN"/>
          <w14:textFill>
            <w14:solidFill>
              <w14:schemeClr w14:val="tx1"/>
            </w14:solidFill>
          </w14:textFill>
        </w:rPr>
        <w:t>内容、技术指标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技术方案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创新点、安装调试方案、研发进度计划等</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技术</w:t>
      </w:r>
      <w:r>
        <w:rPr>
          <w:rFonts w:hint="eastAsia" w:ascii="宋体" w:hAnsi="宋体" w:cs="宋体"/>
          <w:color w:val="000000" w:themeColor="text1"/>
          <w:sz w:val="24"/>
          <w:highlight w:val="none"/>
          <w:lang w:val="en-US" w:eastAsia="zh-CN"/>
          <w14:textFill>
            <w14:solidFill>
              <w14:schemeClr w14:val="tx1"/>
            </w14:solidFill>
          </w14:textFill>
        </w:rPr>
        <w:t>及商务</w:t>
      </w:r>
      <w:r>
        <w:rPr>
          <w:rFonts w:hint="eastAsia" w:ascii="宋体" w:hAnsi="宋体" w:cs="宋体"/>
          <w:color w:val="000000" w:themeColor="text1"/>
          <w:sz w:val="24"/>
          <w:highlight w:val="none"/>
          <w14:textFill>
            <w14:solidFill>
              <w14:schemeClr w14:val="tx1"/>
            </w14:solidFill>
          </w14:textFill>
        </w:rPr>
        <w:t>偏离表及说明</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服务承诺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投标需要的其他证明文件及材料；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投标人认为需要提供的其他材料。</w:t>
      </w:r>
    </w:p>
    <w:p>
      <w:pPr>
        <w:pStyle w:val="2"/>
        <w:rPr>
          <w:rFonts w:hint="eastAsia"/>
          <w:highlight w:val="none"/>
        </w:rPr>
      </w:pP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我方决定按照招标文件的规定和投标报价</w:t>
      </w:r>
      <w:r>
        <w:rPr>
          <w:rFonts w:hint="eastAsia" w:ascii="宋体" w:hAnsi="宋体" w:cs="宋体"/>
          <w:color w:val="000000" w:themeColor="text1"/>
          <w:sz w:val="24"/>
          <w:highlight w:val="none"/>
          <w:lang w:val="en-US" w:eastAsia="zh-CN"/>
          <w14:textFill>
            <w14:solidFill>
              <w14:schemeClr w14:val="tx1"/>
            </w14:solidFill>
          </w14:textFill>
        </w:rPr>
        <w:t>单</w:t>
      </w:r>
      <w:r>
        <w:rPr>
          <w:rFonts w:hint="eastAsia" w:ascii="宋体" w:hAnsi="宋体" w:cs="宋体"/>
          <w:color w:val="000000" w:themeColor="text1"/>
          <w:sz w:val="24"/>
          <w:highlight w:val="none"/>
          <w14:textFill>
            <w14:solidFill>
              <w14:schemeClr w14:val="tx1"/>
            </w14:solidFill>
          </w14:textFill>
        </w:rPr>
        <w:t>确定：</w:t>
      </w:r>
    </w:p>
    <w:p>
      <w:pPr>
        <w:pStyle w:val="21"/>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按上述要求对合同的完成承担全部责任和义务，参与投标并承诺：</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1）我方同意按照招标文件中有关条款的要求提交投标保证金：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人民币（大写）元。</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2）我方同意按照招标文件中有关条款的要求在合同签订后完成</w:t>
      </w:r>
      <w:r>
        <w:rPr>
          <w:rFonts w:hint="eastAsia" w:ascii="宋体" w:hAnsi="宋体" w:cs="宋体"/>
          <w:color w:val="000000" w:themeColor="text1"/>
          <w:sz w:val="24"/>
          <w:highlight w:val="none"/>
          <w:lang w:val="en-US" w:eastAsia="zh-CN"/>
          <w14:textFill>
            <w14:solidFill>
              <w14:schemeClr w14:val="tx1"/>
            </w14:solidFill>
          </w14:textFill>
        </w:rPr>
        <w:t>项目整体技术研发</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3）如果我方中标，我方将按照招标文件中有关条款的要求履行合同义务。</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4）我方派出项目负责人：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身份证号：</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5）我方完全理解贵方无义务必须接受最低报价的投标并有权拒绝所有的投标。</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6）我方同意本投标书在投标人须知前附表规定的投标截止日期起</w:t>
      </w:r>
      <w:r>
        <w:rPr>
          <w:rFonts w:hint="eastAsia" w:ascii="宋体" w:hAnsi="宋体" w:cs="宋体"/>
          <w:color w:val="000000" w:themeColor="text1"/>
          <w:sz w:val="24"/>
          <w:highlight w:val="none"/>
          <w:u w:val="single"/>
          <w14:textFill>
            <w14:solidFill>
              <w14:schemeClr w14:val="tx1"/>
            </w14:solidFill>
          </w14:textFill>
        </w:rPr>
        <w:t>90</w:t>
      </w:r>
      <w:r>
        <w:rPr>
          <w:rFonts w:hint="eastAsia" w:ascii="宋体" w:hAnsi="宋体" w:cs="宋体"/>
          <w:color w:val="000000" w:themeColor="text1"/>
          <w:sz w:val="24"/>
          <w:highlight w:val="none"/>
          <w14:textFill>
            <w14:solidFill>
              <w14:schemeClr w14:val="tx1"/>
            </w14:solidFill>
          </w14:textFill>
        </w:rPr>
        <w:t>天内有效，并对我方具有约束力。我方投标在有效期期满前均有可能被接受。如果我方中标，在正式合同准备好和签字前，本投标书及贵方的中标通知书将构成约束我们双方的合同。</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7）我方保证不会在竞争性投标过程中有不正当竞争行为。</w:t>
      </w:r>
    </w:p>
    <w:p>
      <w:pPr>
        <w:pStyle w:val="21"/>
        <w:spacing w:after="0" w:line="360" w:lineRule="auto"/>
        <w:ind w:firstLine="566" w:firstLineChars="23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投标人（盖章）：</w:t>
      </w:r>
    </w:p>
    <w:p>
      <w:pPr>
        <w:pStyle w:val="21"/>
        <w:spacing w:after="0" w:line="360" w:lineRule="auto"/>
        <w:ind w:firstLine="566" w:firstLineChars="23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投标人代表（签字）：</w:t>
      </w:r>
    </w:p>
    <w:p>
      <w:pPr>
        <w:pStyle w:val="21"/>
        <w:spacing w:after="0" w:line="360" w:lineRule="auto"/>
        <w:ind w:firstLine="566" w:firstLineChars="23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widowControl/>
        <w:jc w:val="left"/>
        <w:rPr>
          <w:rFonts w:ascii="宋体" w:hAnsi="宋体" w:cs="宋体"/>
          <w:b/>
          <w:bCs/>
          <w:color w:val="000000" w:themeColor="text1"/>
          <w:kern w:val="0"/>
          <w:sz w:val="32"/>
          <w:szCs w:val="32"/>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pPr>
        <w:pStyle w:val="4"/>
        <w:spacing w:before="0" w:after="0" w:line="360" w:lineRule="auto"/>
        <w:jc w:val="center"/>
        <w:rPr>
          <w:rFonts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w:t>
      </w:r>
      <w:r>
        <w:rPr>
          <w:rFonts w:hint="eastAsia" w:ascii="宋体" w:hAnsi="宋体" w:eastAsia="宋体" w:cs="宋体"/>
          <w:color w:val="000000" w:themeColor="text1"/>
          <w:highlight w:val="none"/>
          <w:lang w:val="zh-CN"/>
          <w14:textFill>
            <w14:solidFill>
              <w14:schemeClr w14:val="tx1"/>
            </w14:solidFill>
          </w14:textFill>
        </w:rPr>
        <w:t>法定代表人授权委托书</w:t>
      </w:r>
    </w:p>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p>
    <w:p>
      <w:pPr>
        <w:widowControl/>
        <w:adjustRightInd w:val="0"/>
        <w:spacing w:line="360" w:lineRule="auto"/>
        <w:ind w:firstLine="42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授权书声明：注册于（投标人住址）的（投标人名称）法定代表人（法定代表人姓名、职务）代表本公司授权在下面签字的（投标人代表姓名、职务）为本公司的合法代理人，就贵方组织的（项目名称），（项目编号）投标，以本公司名义处理一切与之有关的事务。</w:t>
      </w:r>
    </w:p>
    <w:p>
      <w:pPr>
        <w:widowControl/>
        <w:adjustRightInd w:val="0"/>
        <w:spacing w:line="360" w:lineRule="auto"/>
        <w:ind w:firstLine="408"/>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本授权书于年月日签字生效，特此声明。</w:t>
      </w:r>
    </w:p>
    <w:p>
      <w:pPr>
        <w:widowControl/>
        <w:adjustRightInd w:val="0"/>
        <w:spacing w:line="360" w:lineRule="auto"/>
        <w:ind w:firstLine="408"/>
        <w:jc w:val="left"/>
        <w:rPr>
          <w:rFonts w:ascii="宋体" w:hAnsi="宋体" w:cs="宋体"/>
          <w:color w:val="000000" w:themeColor="text1"/>
          <w:kern w:val="0"/>
          <w:sz w:val="24"/>
          <w:highlight w:val="none"/>
          <w:lang w:val="zh-CN"/>
          <w14:textFill>
            <w14:solidFill>
              <w14:schemeClr w14:val="tx1"/>
            </w14:solidFill>
          </w14:textFill>
        </w:rPr>
      </w:pPr>
    </w:p>
    <w:p>
      <w:pPr>
        <w:widowControl/>
        <w:adjustRightIn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法定代表人签字：</w:t>
      </w:r>
    </w:p>
    <w:p>
      <w:pPr>
        <w:widowControl/>
        <w:adjustRightIn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授权委托人签字：</w:t>
      </w:r>
    </w:p>
    <w:p>
      <w:pPr>
        <w:widowControl/>
        <w:tabs>
          <w:tab w:val="left" w:pos="1440"/>
        </w:tabs>
        <w:adjustRightInd w:val="0"/>
        <w:spacing w:line="360" w:lineRule="auto"/>
        <w:ind w:firstLine="42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widowControl/>
        <w:adjustRightIn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p>
    <w:p>
      <w:pPr>
        <w:autoSpaceDE w:val="0"/>
        <w:autoSpaceDN w:val="0"/>
        <w:adjustRightInd w:val="0"/>
        <w:spacing w:line="360" w:lineRule="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注：提供法定代表人及被授权人身份证复印件加盖公章。</w:t>
      </w:r>
    </w:p>
    <w:p>
      <w:pPr>
        <w:widowControl/>
        <w:adjustRightInd w:val="0"/>
        <w:spacing w:line="360" w:lineRule="auto"/>
        <w:jc w:val="left"/>
        <w:rPr>
          <w:rFonts w:ascii="宋体" w:hAnsi="宋体" w:cs="宋体"/>
          <w:b/>
          <w:color w:val="000000" w:themeColor="text1"/>
          <w:kern w:val="0"/>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4"/>
        <w:numPr>
          <w:ilvl w:val="0"/>
          <w:numId w:val="0"/>
        </w:numPr>
        <w:ind w:left="420" w:leftChars="0"/>
        <w:jc w:val="both"/>
        <w:rPr>
          <w:rFonts w:hint="eastAsia" w:ascii="宋体" w:hAnsi="宋体" w:eastAsia="宋体" w:cs="宋体"/>
          <w:b/>
          <w:bCs/>
          <w:color w:val="000000" w:themeColor="text1"/>
          <w:highlight w:val="none"/>
          <w:u w:val="none"/>
          <w14:textFill>
            <w14:solidFill>
              <w14:schemeClr w14:val="tx1"/>
            </w14:solidFill>
          </w14:textFill>
        </w:rPr>
      </w:pPr>
      <w:r>
        <w:rPr>
          <w:rFonts w:hint="eastAsia" w:ascii="宋体" w:hAnsi="宋体" w:eastAsia="宋体" w:cs="宋体"/>
          <w:b/>
          <w:bCs/>
          <w:color w:val="000000" w:themeColor="text1"/>
          <w:highlight w:val="none"/>
          <w:u w:val="none"/>
          <w:lang w:val="en-US" w:eastAsia="zh-CN"/>
          <w14:textFill>
            <w14:solidFill>
              <w14:schemeClr w14:val="tx1"/>
            </w14:solidFill>
          </w14:textFill>
        </w:rPr>
        <w:t xml:space="preserve">                       三  </w:t>
      </w:r>
      <w:r>
        <w:rPr>
          <w:rFonts w:hint="eastAsia" w:ascii="宋体" w:hAnsi="宋体" w:eastAsia="宋体" w:cs="宋体"/>
          <w:b/>
          <w:bCs/>
          <w:color w:val="000000" w:themeColor="text1"/>
          <w:highlight w:val="none"/>
          <w:u w:val="none"/>
          <w14:textFill>
            <w14:solidFill>
              <w14:schemeClr w14:val="tx1"/>
            </w14:solidFill>
          </w14:textFill>
        </w:rPr>
        <w:t>承诺书</w:t>
      </w:r>
    </w:p>
    <w:p>
      <w:pPr>
        <w:pStyle w:val="4"/>
        <w:numPr>
          <w:ilvl w:val="0"/>
          <w:numId w:val="0"/>
        </w:numPr>
        <w:ind w:firstLine="3855" w:firstLineChars="1200"/>
        <w:jc w:val="both"/>
        <w:rPr>
          <w:rFonts w:hint="eastAsia" w:ascii="宋体" w:hAnsi="宋体" w:eastAsia="宋体" w:cs="宋体"/>
          <w:b/>
          <w:bCs/>
          <w:color w:val="000000" w:themeColor="text1"/>
          <w:highlight w:val="none"/>
          <w:u w:val="none"/>
          <w14:textFill>
            <w14:solidFill>
              <w14:schemeClr w14:val="tx1"/>
            </w14:solidFill>
          </w14:textFill>
        </w:rPr>
      </w:pPr>
      <w:r>
        <w:rPr>
          <w:rFonts w:hint="eastAsia" w:ascii="宋体" w:hAnsi="宋体" w:eastAsia="宋体" w:cs="宋体"/>
          <w:b/>
          <w:bCs/>
          <w:color w:val="000000" w:themeColor="text1"/>
          <w:highlight w:val="none"/>
          <w:u w:val="none"/>
          <w:lang w:val="en-US" w:eastAsia="zh-CN"/>
          <w14:textFill>
            <w14:solidFill>
              <w14:schemeClr w14:val="tx1"/>
            </w14:solidFill>
          </w14:textFill>
        </w:rPr>
        <w:t>企业合规</w:t>
      </w:r>
      <w:r>
        <w:rPr>
          <w:rFonts w:hint="eastAsia" w:ascii="宋体" w:hAnsi="宋体" w:eastAsia="宋体" w:cs="宋体"/>
          <w:b/>
          <w:bCs/>
          <w:color w:val="000000" w:themeColor="text1"/>
          <w:highlight w:val="none"/>
          <w:u w:val="none"/>
          <w14:textFill>
            <w14:solidFill>
              <w14:schemeClr w14:val="tx1"/>
            </w14:solidFill>
          </w14:textFill>
        </w:rPr>
        <w:t>承诺书</w:t>
      </w:r>
    </w:p>
    <w:p>
      <w:pPr>
        <w:numPr>
          <w:ilvl w:val="0"/>
          <w:numId w:val="0"/>
        </w:numPr>
        <w:ind w:leftChars="0"/>
        <w:rPr>
          <w:rFonts w:hint="eastAsia"/>
          <w:highlight w:val="none"/>
        </w:rPr>
      </w:pPr>
    </w:p>
    <w:p>
      <w:pPr>
        <w:rPr>
          <w:rFonts w:hint="default" w:eastAsia="宋体"/>
          <w:sz w:val="24"/>
          <w:szCs w:val="32"/>
          <w:highlight w:val="none"/>
          <w:u w:val="single"/>
          <w:lang w:val="en-US" w:eastAsia="zh-CN"/>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致</w:t>
      </w:r>
      <w:r>
        <w:rPr>
          <w:rFonts w:hint="eastAsia"/>
          <w:sz w:val="24"/>
          <w:szCs w:val="32"/>
          <w:highlight w:val="none"/>
          <w:u w:val="single"/>
          <w:lang w:val="en-US" w:eastAsia="zh-CN"/>
        </w:rPr>
        <w:t>冀东海天水泥闻喜有限责任公司：</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本人以企业法定代表人的身份郑重承诺：</w:t>
      </w:r>
    </w:p>
    <w:p>
      <w:pPr>
        <w:pStyle w:val="21"/>
        <w:spacing w:after="0"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我公司可以在</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注册地市级以上的登记机构（科技部全国技术合同管理与服务系统认定的登记机构）</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独立</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完成技术合同认定登记</w:t>
      </w:r>
      <w:r>
        <w:rPr>
          <w:rFonts w:hint="eastAsia" w:ascii="宋体" w:hAnsi="宋体" w:cs="宋体"/>
          <w:color w:val="000000" w:themeColor="text1"/>
          <w:highlight w:val="none"/>
          <w:lang w:eastAsia="zh-CN"/>
          <w14:textFill>
            <w14:solidFill>
              <w14:schemeClr w14:val="tx1"/>
            </w14:solidFill>
          </w14:textFill>
        </w:rPr>
        <w:t>。</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（2）未处于被责令停业、投标资格被取消或者财产被接管、冻结和破产状态；  </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（3）企业没有因骗取中标或者严重违约以及发生重大工程质量、安全生产事故等违法违规问题，被有关部门暂停投标资格并在暂停期内的；</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（4）企业无隐瞒不良记录或在任何阶段提供虚假资料有欺诈行为的，如有将取消中标资格并承担由此造成的招标人的损失；</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（5）符合法律、法规规定的其他条件。</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承诺人：（公章）</w:t>
      </w:r>
    </w:p>
    <w:p>
      <w:pPr>
        <w:spacing w:line="360" w:lineRule="auto"/>
        <w:jc w:val="righ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日期：______年    月    日</w:t>
      </w:r>
    </w:p>
    <w:p>
      <w:pPr>
        <w:pStyle w:val="21"/>
        <w:rPr>
          <w:rFonts w:ascii="宋体" w:hAnsi="宋体" w:cs="宋体"/>
          <w:b/>
          <w:color w:val="000000" w:themeColor="text1"/>
          <w:highlight w:val="none"/>
          <w14:textFill>
            <w14:solidFill>
              <w14:schemeClr w14:val="tx1"/>
            </w14:solidFill>
          </w14:textFill>
        </w:rPr>
      </w:pPr>
    </w:p>
    <w:p>
      <w:pPr>
        <w:pStyle w:val="21"/>
        <w:jc w:val="center"/>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知识产权</w:t>
      </w:r>
      <w:r>
        <w:rPr>
          <w:rFonts w:hint="eastAsia" w:ascii="宋体" w:hAnsi="宋体" w:cs="宋体"/>
          <w:b/>
          <w:bCs/>
          <w:color w:val="000000" w:themeColor="text1"/>
          <w:sz w:val="32"/>
          <w:szCs w:val="32"/>
          <w:highlight w:val="none"/>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32"/>
          <w:highlight w:val="none"/>
          <w:u w:val="single"/>
          <w:lang w:val="en-US" w:eastAsia="zh-CN"/>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致</w:t>
      </w:r>
      <w:r>
        <w:rPr>
          <w:rFonts w:hint="eastAsia"/>
          <w:sz w:val="24"/>
          <w:szCs w:val="32"/>
          <w:highlight w:val="none"/>
          <w:u w:val="single"/>
          <w:lang w:val="en-US" w:eastAsia="zh-CN"/>
        </w:rPr>
        <w:t>冀东海天水泥闻喜有限责任公司：</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本人以企业法定代表人的身份郑重承诺：</w:t>
      </w:r>
    </w:p>
    <w:p>
      <w:pPr>
        <w:pStyle w:val="2"/>
        <w:spacing w:line="360" w:lineRule="auto"/>
        <w:ind w:firstLine="480" w:firstLineChars="200"/>
        <w:jc w:val="both"/>
        <w:rPr>
          <w:rFonts w:ascii="仿宋_GB2312" w:hAnsi="宋体" w:eastAsia="仿宋_GB2312" w:cs="仿宋_GB2312"/>
          <w:b w:val="0"/>
          <w:bCs w:val="0"/>
          <w:sz w:val="28"/>
          <w:szCs w:val="28"/>
          <w:highlight w:val="none"/>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我公司保证所承揽的甲方研发项目（包含相应服务）或其任何一部分时不受第三方提出侵犯其知识产权（如专利权、版权、商标权、著作权或其他权利）的主张或起诉。承诺中标后协助甲方就本项目研发项目的技术成果完成实用新型专利的申请，一旦出现技术成果被认定侵权而引起的法律和经济纠纷，我公司承担所有法律责任带来的全部最终不利后果。</w:t>
      </w:r>
    </w:p>
    <w:p>
      <w:pP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承诺人：（公章）</w:t>
      </w:r>
    </w:p>
    <w:p>
      <w:pP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日期：______年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p>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000000" w:themeColor="text1"/>
          <w:highlight w:val="none"/>
          <w14:textFill>
            <w14:solidFill>
              <w14:schemeClr w14:val="tx1"/>
            </w14:solidFill>
          </w14:textFill>
        </w:rPr>
      </w:pPr>
    </w:p>
    <w:p>
      <w:pPr>
        <w:pStyle w:val="21"/>
        <w:rPr>
          <w:rFonts w:ascii="宋体" w:hAnsi="宋体" w:cs="宋体"/>
          <w:b/>
          <w:color w:val="000000" w:themeColor="text1"/>
          <w:highlight w:val="none"/>
          <w14:textFill>
            <w14:solidFill>
              <w14:schemeClr w14:val="tx1"/>
            </w14:solidFill>
          </w14:textFill>
        </w:rPr>
      </w:pPr>
    </w:p>
    <w:p>
      <w:pPr>
        <w:pStyle w:val="21"/>
        <w:spacing w:after="0" w:line="360" w:lineRule="auto"/>
        <w:ind w:firstLine="643" w:firstLineChars="20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诚信投标承诺书</w:t>
      </w:r>
    </w:p>
    <w:p>
      <w:pPr>
        <w:rPr>
          <w:rFonts w:hint="default" w:eastAsia="宋体"/>
          <w:sz w:val="24"/>
          <w:szCs w:val="32"/>
          <w:highlight w:val="none"/>
          <w:u w:val="single"/>
          <w:lang w:val="en-US" w:eastAsia="zh-CN"/>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致</w:t>
      </w:r>
      <w:r>
        <w:rPr>
          <w:rFonts w:hint="eastAsia"/>
          <w:sz w:val="24"/>
          <w:szCs w:val="32"/>
          <w:highlight w:val="none"/>
          <w:u w:val="single"/>
          <w:lang w:val="en-US" w:eastAsia="zh-CN"/>
        </w:rPr>
        <w:t>冀东海天水泥闻喜有限责任公司：</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本人以企业法定代表人的身份郑重承诺：</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一、将遵循公开、公正和诚实信用的原则自愿参加项目的投标；</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二、所提供的一切材料都是真实、有效、合法；</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三、不出借、转让资质证书，不让他人挂靠投标，不以他人名义投标或其他方式弄虚作假，骗取中标；</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四、不与其他投标人相互串通投标报价，不排挤其他投标人的公平竞争、损害招标人的合法权益；</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五、不与招标人或招标代理机构串通投标，损害国家利益、社会公共利益或他人的合法权益；</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六、不向招标人或者评标委员会成员行贿以牟取中标；</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七、保证中标后不转包及使用挂靠规划设计队伍；</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八、保证中标之后，按照投标文件要求在规定的设计周期内完成本项目的设计和相关服务，如有违反，同意接受建设单位违约处罚。</w:t>
      </w:r>
    </w:p>
    <w:p>
      <w:pPr>
        <w:pStyle w:val="21"/>
        <w:spacing w:after="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本公司若有违反承诺内容的行为，自愿接受取消其投标资格、记入信用档案、没收投标保证金等有关处理，愿意承担法律责任。如已中标的，自动放弃中标资格；给招标人造成损失的，依法承担赔偿责任。</w:t>
      </w:r>
    </w:p>
    <w:p>
      <w:pP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承诺人：（公章）</w:t>
      </w:r>
    </w:p>
    <w:p>
      <w:pP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日期：______年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p>
    <w:p>
      <w:pPr>
        <w:numPr>
          <w:ilvl w:val="0"/>
          <w:numId w:val="0"/>
        </w:numPr>
        <w:spacing w:line="360" w:lineRule="auto"/>
        <w:rPr>
          <w:rFonts w:hint="eastAsia" w:ascii="宋体" w:hAnsi="宋体" w:cs="宋体"/>
          <w:color w:val="000000" w:themeColor="text1"/>
          <w:sz w:val="24"/>
          <w:highlight w:val="none"/>
          <w14:textFill>
            <w14:solidFill>
              <w14:schemeClr w14:val="tx1"/>
            </w14:solidFill>
          </w14:textFill>
        </w:rPr>
      </w:pPr>
    </w:p>
    <w:p>
      <w:pPr>
        <w:pStyle w:val="4"/>
        <w:numPr>
          <w:ilvl w:val="255"/>
          <w:numId w:val="0"/>
        </w:num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四 营业执照复印件</w:t>
      </w:r>
    </w:p>
    <w:p>
      <w:pPr>
        <w:pStyle w:val="4"/>
        <w:spacing w:before="0" w:after="0" w:line="360" w:lineRule="auto"/>
        <w:ind w:firstLine="3534" w:firstLineChars="1100"/>
        <w:jc w:val="both"/>
        <w:rPr>
          <w:rFonts w:hint="default" w:ascii="宋体" w:hAnsi="宋体" w:eastAsia="宋体" w:cs="宋体"/>
          <w:color w:val="000000" w:themeColor="text1"/>
          <w:highlight w:val="none"/>
          <w:lang w:val="en-US" w:eastAsia="zh-CN"/>
          <w14:textFill>
            <w14:solidFill>
              <w14:schemeClr w14:val="tx1"/>
            </w14:solidFill>
          </w14:textFill>
        </w:rPr>
      </w:pPr>
    </w:p>
    <w:p>
      <w:pPr>
        <w:pStyle w:val="4"/>
        <w:numPr>
          <w:ilvl w:val="255"/>
          <w:numId w:val="0"/>
        </w:num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、类似项目业绩</w:t>
      </w:r>
    </w:p>
    <w:tbl>
      <w:tblPr>
        <w:tblStyle w:val="5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787"/>
        <w:gridCol w:w="1797"/>
        <w:gridCol w:w="1212"/>
        <w:gridCol w:w="1266"/>
        <w:gridCol w:w="133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57" w:type="pct"/>
            <w:noWrap/>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929" w:type="pct"/>
            <w:noWrap/>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934" w:type="pct"/>
            <w:noWrap/>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项目地点</w:t>
            </w:r>
          </w:p>
        </w:tc>
        <w:tc>
          <w:tcPr>
            <w:tcW w:w="630" w:type="pct"/>
            <w:noWrap/>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项目日期</w:t>
            </w:r>
          </w:p>
        </w:tc>
        <w:tc>
          <w:tcPr>
            <w:tcW w:w="658" w:type="pct"/>
            <w:noWrap/>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项目负责人</w:t>
            </w: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合同金额</w:t>
            </w: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（万元）</w:t>
            </w: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57" w:type="pct"/>
            <w:noWrap/>
            <w:vAlign w:val="center"/>
          </w:tcPr>
          <w:p>
            <w:pPr>
              <w:jc w:val="center"/>
              <w:rPr>
                <w:rFonts w:ascii="宋体" w:hAnsi="宋体" w:cs="宋体"/>
                <w:color w:val="000000" w:themeColor="text1"/>
                <w:highlight w:val="none"/>
                <w14:textFill>
                  <w14:solidFill>
                    <w14:schemeClr w14:val="tx1"/>
                  </w14:solidFill>
                </w14:textFill>
              </w:rPr>
            </w:pPr>
          </w:p>
        </w:tc>
        <w:tc>
          <w:tcPr>
            <w:tcW w:w="929" w:type="pct"/>
            <w:noWrap/>
            <w:vAlign w:val="center"/>
          </w:tcPr>
          <w:p>
            <w:pPr>
              <w:jc w:val="center"/>
              <w:rPr>
                <w:rFonts w:ascii="宋体" w:hAnsi="宋体" w:cs="宋体"/>
                <w:color w:val="000000" w:themeColor="text1"/>
                <w:highlight w:val="none"/>
                <w14:textFill>
                  <w14:solidFill>
                    <w14:schemeClr w14:val="tx1"/>
                  </w14:solidFill>
                </w14:textFill>
              </w:rPr>
            </w:pPr>
          </w:p>
        </w:tc>
        <w:tc>
          <w:tcPr>
            <w:tcW w:w="934" w:type="pct"/>
            <w:noWrap/>
            <w:vAlign w:val="center"/>
          </w:tcPr>
          <w:p>
            <w:pPr>
              <w:jc w:val="center"/>
              <w:rPr>
                <w:rFonts w:ascii="宋体" w:hAnsi="宋体" w:cs="宋体"/>
                <w:color w:val="000000" w:themeColor="text1"/>
                <w:highlight w:val="none"/>
                <w14:textFill>
                  <w14:solidFill>
                    <w14:schemeClr w14:val="tx1"/>
                  </w14:solidFill>
                </w14:textFill>
              </w:rPr>
            </w:pPr>
          </w:p>
        </w:tc>
        <w:tc>
          <w:tcPr>
            <w:tcW w:w="630" w:type="pct"/>
            <w:noWrap/>
            <w:vAlign w:val="center"/>
          </w:tcPr>
          <w:p>
            <w:pPr>
              <w:jc w:val="center"/>
              <w:rPr>
                <w:rFonts w:ascii="宋体" w:hAnsi="宋体" w:cs="宋体"/>
                <w:color w:val="000000" w:themeColor="text1"/>
                <w:highlight w:val="none"/>
                <w14:textFill>
                  <w14:solidFill>
                    <w14:schemeClr w14:val="tx1"/>
                  </w14:solidFill>
                </w14:textFill>
              </w:rPr>
            </w:pPr>
          </w:p>
        </w:tc>
        <w:tc>
          <w:tcPr>
            <w:tcW w:w="658" w:type="pct"/>
            <w:noWrap/>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7" w:type="pct"/>
            <w:noWrap/>
            <w:vAlign w:val="center"/>
          </w:tcPr>
          <w:p>
            <w:pPr>
              <w:jc w:val="center"/>
              <w:rPr>
                <w:rFonts w:ascii="宋体" w:hAnsi="宋体" w:cs="宋体"/>
                <w:color w:val="000000" w:themeColor="text1"/>
                <w:highlight w:val="none"/>
                <w14:textFill>
                  <w14:solidFill>
                    <w14:schemeClr w14:val="tx1"/>
                  </w14:solidFill>
                </w14:textFill>
              </w:rPr>
            </w:pPr>
          </w:p>
        </w:tc>
        <w:tc>
          <w:tcPr>
            <w:tcW w:w="929" w:type="pct"/>
            <w:noWrap/>
            <w:vAlign w:val="center"/>
          </w:tcPr>
          <w:p>
            <w:pPr>
              <w:jc w:val="center"/>
              <w:rPr>
                <w:rFonts w:ascii="宋体" w:hAnsi="宋体" w:cs="宋体"/>
                <w:color w:val="000000" w:themeColor="text1"/>
                <w:highlight w:val="none"/>
                <w14:textFill>
                  <w14:solidFill>
                    <w14:schemeClr w14:val="tx1"/>
                  </w14:solidFill>
                </w14:textFill>
              </w:rPr>
            </w:pPr>
          </w:p>
        </w:tc>
        <w:tc>
          <w:tcPr>
            <w:tcW w:w="934" w:type="pct"/>
            <w:noWrap/>
            <w:vAlign w:val="center"/>
          </w:tcPr>
          <w:p>
            <w:pPr>
              <w:jc w:val="center"/>
              <w:rPr>
                <w:rFonts w:ascii="宋体" w:hAnsi="宋体" w:cs="宋体"/>
                <w:color w:val="000000" w:themeColor="text1"/>
                <w:highlight w:val="none"/>
                <w14:textFill>
                  <w14:solidFill>
                    <w14:schemeClr w14:val="tx1"/>
                  </w14:solidFill>
                </w14:textFill>
              </w:rPr>
            </w:pPr>
          </w:p>
        </w:tc>
        <w:tc>
          <w:tcPr>
            <w:tcW w:w="630" w:type="pct"/>
            <w:noWrap/>
            <w:vAlign w:val="center"/>
          </w:tcPr>
          <w:p>
            <w:pPr>
              <w:jc w:val="center"/>
              <w:rPr>
                <w:rFonts w:ascii="宋体" w:hAnsi="宋体" w:cs="宋体"/>
                <w:color w:val="000000" w:themeColor="text1"/>
                <w:highlight w:val="none"/>
                <w14:textFill>
                  <w14:solidFill>
                    <w14:schemeClr w14:val="tx1"/>
                  </w14:solidFill>
                </w14:textFill>
              </w:rPr>
            </w:pPr>
          </w:p>
        </w:tc>
        <w:tc>
          <w:tcPr>
            <w:tcW w:w="658" w:type="pct"/>
            <w:noWrap/>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57" w:type="pct"/>
            <w:noWrap/>
            <w:vAlign w:val="center"/>
          </w:tcPr>
          <w:p>
            <w:pPr>
              <w:jc w:val="center"/>
              <w:rPr>
                <w:rFonts w:ascii="宋体" w:hAnsi="宋体" w:cs="宋体"/>
                <w:color w:val="000000" w:themeColor="text1"/>
                <w:highlight w:val="none"/>
                <w14:textFill>
                  <w14:solidFill>
                    <w14:schemeClr w14:val="tx1"/>
                  </w14:solidFill>
                </w14:textFill>
              </w:rPr>
            </w:pPr>
          </w:p>
        </w:tc>
        <w:tc>
          <w:tcPr>
            <w:tcW w:w="929" w:type="pct"/>
            <w:noWrap/>
            <w:vAlign w:val="center"/>
          </w:tcPr>
          <w:p>
            <w:pPr>
              <w:jc w:val="center"/>
              <w:rPr>
                <w:rFonts w:ascii="宋体" w:hAnsi="宋体" w:cs="宋体"/>
                <w:color w:val="000000" w:themeColor="text1"/>
                <w:highlight w:val="none"/>
                <w14:textFill>
                  <w14:solidFill>
                    <w14:schemeClr w14:val="tx1"/>
                  </w14:solidFill>
                </w14:textFill>
              </w:rPr>
            </w:pPr>
          </w:p>
        </w:tc>
        <w:tc>
          <w:tcPr>
            <w:tcW w:w="934" w:type="pct"/>
            <w:noWrap/>
            <w:vAlign w:val="center"/>
          </w:tcPr>
          <w:p>
            <w:pPr>
              <w:jc w:val="center"/>
              <w:rPr>
                <w:rFonts w:ascii="宋体" w:hAnsi="宋体" w:cs="宋体"/>
                <w:color w:val="000000" w:themeColor="text1"/>
                <w:highlight w:val="none"/>
                <w14:textFill>
                  <w14:solidFill>
                    <w14:schemeClr w14:val="tx1"/>
                  </w14:solidFill>
                </w14:textFill>
              </w:rPr>
            </w:pPr>
          </w:p>
        </w:tc>
        <w:tc>
          <w:tcPr>
            <w:tcW w:w="630" w:type="pct"/>
            <w:noWrap/>
            <w:vAlign w:val="center"/>
          </w:tcPr>
          <w:p>
            <w:pPr>
              <w:jc w:val="center"/>
              <w:rPr>
                <w:rFonts w:ascii="宋体" w:hAnsi="宋体" w:cs="宋体"/>
                <w:color w:val="000000" w:themeColor="text1"/>
                <w:highlight w:val="none"/>
                <w14:textFill>
                  <w14:solidFill>
                    <w14:schemeClr w14:val="tx1"/>
                  </w14:solidFill>
                </w14:textFill>
              </w:rPr>
            </w:pPr>
          </w:p>
        </w:tc>
        <w:tc>
          <w:tcPr>
            <w:tcW w:w="658" w:type="pct"/>
            <w:noWrap/>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57" w:type="pct"/>
            <w:noWrap/>
            <w:vAlign w:val="center"/>
          </w:tcPr>
          <w:p>
            <w:pPr>
              <w:jc w:val="center"/>
              <w:rPr>
                <w:rFonts w:ascii="宋体" w:hAnsi="宋体" w:cs="宋体"/>
                <w:color w:val="000000" w:themeColor="text1"/>
                <w:highlight w:val="none"/>
                <w14:textFill>
                  <w14:solidFill>
                    <w14:schemeClr w14:val="tx1"/>
                  </w14:solidFill>
                </w14:textFill>
              </w:rPr>
            </w:pPr>
          </w:p>
        </w:tc>
        <w:tc>
          <w:tcPr>
            <w:tcW w:w="929" w:type="pct"/>
            <w:noWrap/>
            <w:vAlign w:val="center"/>
          </w:tcPr>
          <w:p>
            <w:pPr>
              <w:jc w:val="center"/>
              <w:rPr>
                <w:rFonts w:ascii="宋体" w:hAnsi="宋体" w:cs="宋体"/>
                <w:color w:val="000000" w:themeColor="text1"/>
                <w:highlight w:val="none"/>
                <w14:textFill>
                  <w14:solidFill>
                    <w14:schemeClr w14:val="tx1"/>
                  </w14:solidFill>
                </w14:textFill>
              </w:rPr>
            </w:pPr>
          </w:p>
        </w:tc>
        <w:tc>
          <w:tcPr>
            <w:tcW w:w="934" w:type="pct"/>
            <w:noWrap/>
            <w:vAlign w:val="center"/>
          </w:tcPr>
          <w:p>
            <w:pPr>
              <w:jc w:val="center"/>
              <w:rPr>
                <w:rFonts w:ascii="宋体" w:hAnsi="宋体" w:cs="宋体"/>
                <w:color w:val="000000" w:themeColor="text1"/>
                <w:highlight w:val="none"/>
                <w14:textFill>
                  <w14:solidFill>
                    <w14:schemeClr w14:val="tx1"/>
                  </w14:solidFill>
                </w14:textFill>
              </w:rPr>
            </w:pPr>
          </w:p>
        </w:tc>
        <w:tc>
          <w:tcPr>
            <w:tcW w:w="630" w:type="pct"/>
            <w:noWrap/>
            <w:vAlign w:val="center"/>
          </w:tcPr>
          <w:p>
            <w:pPr>
              <w:jc w:val="center"/>
              <w:rPr>
                <w:rFonts w:ascii="宋体" w:hAnsi="宋体" w:cs="宋体"/>
                <w:color w:val="000000" w:themeColor="text1"/>
                <w:highlight w:val="none"/>
                <w14:textFill>
                  <w14:solidFill>
                    <w14:schemeClr w14:val="tx1"/>
                  </w14:solidFill>
                </w14:textFill>
              </w:rPr>
            </w:pPr>
          </w:p>
        </w:tc>
        <w:tc>
          <w:tcPr>
            <w:tcW w:w="658" w:type="pct"/>
            <w:noWrap/>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57" w:type="pct"/>
            <w:noWrap/>
            <w:vAlign w:val="center"/>
          </w:tcPr>
          <w:p>
            <w:pPr>
              <w:jc w:val="center"/>
              <w:rPr>
                <w:rFonts w:ascii="宋体" w:hAnsi="宋体" w:cs="宋体"/>
                <w:color w:val="000000" w:themeColor="text1"/>
                <w:highlight w:val="none"/>
                <w14:textFill>
                  <w14:solidFill>
                    <w14:schemeClr w14:val="tx1"/>
                  </w14:solidFill>
                </w14:textFill>
              </w:rPr>
            </w:pPr>
          </w:p>
        </w:tc>
        <w:tc>
          <w:tcPr>
            <w:tcW w:w="929" w:type="pct"/>
            <w:noWrap/>
            <w:vAlign w:val="center"/>
          </w:tcPr>
          <w:p>
            <w:pPr>
              <w:jc w:val="center"/>
              <w:rPr>
                <w:rFonts w:ascii="宋体" w:hAnsi="宋体" w:cs="宋体"/>
                <w:color w:val="000000" w:themeColor="text1"/>
                <w:highlight w:val="none"/>
                <w14:textFill>
                  <w14:solidFill>
                    <w14:schemeClr w14:val="tx1"/>
                  </w14:solidFill>
                </w14:textFill>
              </w:rPr>
            </w:pPr>
          </w:p>
        </w:tc>
        <w:tc>
          <w:tcPr>
            <w:tcW w:w="934" w:type="pct"/>
            <w:noWrap/>
            <w:vAlign w:val="center"/>
          </w:tcPr>
          <w:p>
            <w:pPr>
              <w:jc w:val="center"/>
              <w:rPr>
                <w:rFonts w:ascii="宋体" w:hAnsi="宋体" w:cs="宋体"/>
                <w:color w:val="000000" w:themeColor="text1"/>
                <w:highlight w:val="none"/>
                <w14:textFill>
                  <w14:solidFill>
                    <w14:schemeClr w14:val="tx1"/>
                  </w14:solidFill>
                </w14:textFill>
              </w:rPr>
            </w:pPr>
          </w:p>
        </w:tc>
        <w:tc>
          <w:tcPr>
            <w:tcW w:w="630" w:type="pct"/>
            <w:noWrap/>
            <w:vAlign w:val="center"/>
          </w:tcPr>
          <w:p>
            <w:pPr>
              <w:jc w:val="center"/>
              <w:rPr>
                <w:rFonts w:ascii="宋体" w:hAnsi="宋体" w:cs="宋体"/>
                <w:color w:val="000000" w:themeColor="text1"/>
                <w:highlight w:val="none"/>
                <w14:textFill>
                  <w14:solidFill>
                    <w14:schemeClr w14:val="tx1"/>
                  </w14:solidFill>
                </w14:textFill>
              </w:rPr>
            </w:pPr>
          </w:p>
        </w:tc>
        <w:tc>
          <w:tcPr>
            <w:tcW w:w="658" w:type="pct"/>
            <w:noWrap/>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c>
          <w:tcPr>
            <w:tcW w:w="695" w:type="pct"/>
            <w:noWrap/>
            <w:vAlign w:val="center"/>
          </w:tcPr>
          <w:p>
            <w:pPr>
              <w:jc w:val="center"/>
              <w:rPr>
                <w:rFonts w:ascii="宋体" w:hAnsi="宋体" w:cs="宋体"/>
                <w:color w:val="000000" w:themeColor="text1"/>
                <w:highlight w:val="none"/>
                <w14:textFill>
                  <w14:solidFill>
                    <w14:schemeClr w14:val="tx1"/>
                  </w14:solidFill>
                </w14:textFill>
              </w:rPr>
            </w:pPr>
          </w:p>
        </w:tc>
      </w:tr>
    </w:tbl>
    <w:p>
      <w:pPr>
        <w:pStyle w:val="2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18"/>
          <w:szCs w:val="21"/>
          <w:highlight w:val="none"/>
          <w14:textFill>
            <w14:solidFill>
              <w14:schemeClr w14:val="tx1"/>
            </w14:solidFill>
          </w14:textFill>
        </w:rPr>
        <w:t>注：提供合同</w:t>
      </w:r>
      <w:r>
        <w:rPr>
          <w:rFonts w:hint="eastAsia" w:ascii="宋体" w:hAnsi="宋体" w:cs="宋体"/>
          <w:b/>
          <w:bCs/>
          <w:color w:val="000000" w:themeColor="text1"/>
          <w:kern w:val="18"/>
          <w:szCs w:val="21"/>
          <w:highlight w:val="none"/>
          <w:lang w:val="en-US" w:eastAsia="zh-CN"/>
          <w14:textFill>
            <w14:solidFill>
              <w14:schemeClr w14:val="tx1"/>
            </w14:solidFill>
          </w14:textFill>
        </w:rPr>
        <w:t>扫描</w:t>
      </w:r>
      <w:r>
        <w:rPr>
          <w:rFonts w:hint="eastAsia" w:ascii="宋体" w:hAnsi="宋体" w:cs="宋体"/>
          <w:b/>
          <w:bCs/>
          <w:color w:val="000000" w:themeColor="text1"/>
          <w:kern w:val="18"/>
          <w:szCs w:val="21"/>
          <w:highlight w:val="none"/>
          <w14:textFill>
            <w14:solidFill>
              <w14:schemeClr w14:val="tx1"/>
            </w14:solidFill>
          </w14:textFill>
        </w:rPr>
        <w:t>件或中标通知书</w:t>
      </w:r>
      <w:r>
        <w:rPr>
          <w:rFonts w:hint="eastAsia" w:ascii="宋体" w:hAnsi="宋体" w:cs="宋体"/>
          <w:b/>
          <w:bCs/>
          <w:color w:val="000000" w:themeColor="text1"/>
          <w:kern w:val="18"/>
          <w:szCs w:val="21"/>
          <w:highlight w:val="none"/>
          <w:lang w:val="en-US" w:eastAsia="zh-CN"/>
          <w14:textFill>
            <w14:solidFill>
              <w14:schemeClr w14:val="tx1"/>
            </w14:solidFill>
          </w14:textFill>
        </w:rPr>
        <w:t>扫描件</w:t>
      </w:r>
      <w:r>
        <w:rPr>
          <w:rFonts w:hint="eastAsia" w:ascii="宋体" w:hAnsi="宋体" w:cs="宋体"/>
          <w:b/>
          <w:bCs/>
          <w:color w:val="000000" w:themeColor="text1"/>
          <w:kern w:val="18"/>
          <w:szCs w:val="21"/>
          <w:highlight w:val="none"/>
          <w14:textFill>
            <w14:solidFill>
              <w14:schemeClr w14:val="tx1"/>
            </w14:solidFill>
          </w14:textFill>
        </w:rPr>
        <w:t>并加盖公章，信息不全的证明材料不予认可。</w:t>
      </w:r>
    </w:p>
    <w:p>
      <w:pPr>
        <w:pStyle w:val="4"/>
        <w:spacing w:before="0" w:after="0" w:line="360" w:lineRule="auto"/>
        <w:ind w:firstLine="3534" w:firstLineChars="1100"/>
        <w:jc w:val="both"/>
        <w:rPr>
          <w:rFonts w:hint="eastAsia" w:ascii="宋体" w:hAnsi="宋体" w:eastAsia="宋体" w:cs="宋体"/>
          <w:color w:val="000000" w:themeColor="text1"/>
          <w:highlight w:val="none"/>
          <w14:textFill>
            <w14:solidFill>
              <w14:schemeClr w14:val="tx1"/>
            </w14:solidFill>
          </w14:textFill>
        </w:rPr>
      </w:pPr>
    </w:p>
    <w:p>
      <w:pPr>
        <w:pStyle w:val="4"/>
        <w:spacing w:before="0" w:after="0" w:line="360" w:lineRule="auto"/>
        <w:ind w:firstLine="3534" w:firstLineChars="1100"/>
        <w:jc w:val="both"/>
        <w:rPr>
          <w:rFonts w:hint="eastAsia" w:ascii="宋体" w:hAnsi="宋体" w:eastAsia="宋体" w:cs="宋体"/>
          <w:color w:val="000000" w:themeColor="text1"/>
          <w:highlight w:val="none"/>
          <w14:textFill>
            <w14:solidFill>
              <w14:schemeClr w14:val="tx1"/>
            </w14:solidFill>
          </w14:textFill>
        </w:rPr>
      </w:pPr>
    </w:p>
    <w:p>
      <w:pPr>
        <w:pStyle w:val="4"/>
        <w:spacing w:before="0" w:after="0" w:line="360" w:lineRule="auto"/>
        <w:ind w:firstLine="3534" w:firstLineChars="1100"/>
        <w:jc w:val="both"/>
        <w:rPr>
          <w:rFonts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、投标报价单</w:t>
      </w:r>
    </w:p>
    <w:p>
      <w:pPr>
        <w:pStyle w:val="2"/>
        <w:rPr>
          <w:rFonts w:hint="eastAsia"/>
          <w:highlight w:val="none"/>
        </w:rPr>
      </w:pPr>
    </w:p>
    <w:tbl>
      <w:tblPr>
        <w:tblStyle w:val="56"/>
        <w:tblpPr w:leftFromText="180" w:rightFromText="180" w:vertAnchor="text" w:horzAnchor="page" w:tblpX="1161" w:tblpY="269"/>
        <w:tblOverlap w:val="never"/>
        <w:tblW w:w="9209" w:type="dxa"/>
        <w:tblInd w:w="0" w:type="dxa"/>
        <w:tblLayout w:type="fixed"/>
        <w:tblCellMar>
          <w:top w:w="0" w:type="dxa"/>
          <w:left w:w="0" w:type="dxa"/>
          <w:bottom w:w="0" w:type="dxa"/>
          <w:right w:w="0" w:type="dxa"/>
        </w:tblCellMar>
      </w:tblPr>
      <w:tblGrid>
        <w:gridCol w:w="3397"/>
        <w:gridCol w:w="1843"/>
        <w:gridCol w:w="1985"/>
        <w:gridCol w:w="1984"/>
      </w:tblGrid>
      <w:tr>
        <w:tblPrEx>
          <w:tblCellMar>
            <w:top w:w="0" w:type="dxa"/>
            <w:left w:w="0" w:type="dxa"/>
            <w:bottom w:w="0" w:type="dxa"/>
            <w:right w:w="0" w:type="dxa"/>
          </w:tblCellMar>
        </w:tblPrEx>
        <w:trPr>
          <w:trHeight w:val="476" w:hRule="atLeast"/>
        </w:trPr>
        <w:tc>
          <w:tcPr>
            <w:tcW w:w="3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项目名称</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价格</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备注</w:t>
            </w:r>
          </w:p>
        </w:tc>
      </w:tr>
      <w:tr>
        <w:tblPrEx>
          <w:tblCellMar>
            <w:top w:w="0" w:type="dxa"/>
            <w:left w:w="0" w:type="dxa"/>
            <w:bottom w:w="0" w:type="dxa"/>
            <w:right w:w="0" w:type="dxa"/>
          </w:tblCellMar>
        </w:tblPrEx>
        <w:trPr>
          <w:trHeight w:val="476" w:hRule="atLeast"/>
        </w:trPr>
        <w:tc>
          <w:tcPr>
            <w:tcW w:w="3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bidi="ar"/>
              </w:rPr>
            </w:pPr>
            <w:r>
              <w:rPr>
                <w:rFonts w:hint="eastAsia" w:ascii="仿宋_GB2312" w:hAnsi="宋体" w:eastAsia="仿宋_GB2312" w:cs="宋体"/>
                <w:sz w:val="28"/>
                <w:szCs w:val="28"/>
                <w:highlight w:val="none"/>
                <w:lang w:eastAsia="zh-CN"/>
              </w:rPr>
              <w:t>水泥回转窑筒体余热回收发电技术研发</w:t>
            </w: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1项</w:t>
            </w:r>
          </w:p>
        </w:tc>
        <w:tc>
          <w:tcPr>
            <w:tcW w:w="1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bidi="ar"/>
              </w:rPr>
            </w:pPr>
          </w:p>
        </w:tc>
      </w:tr>
      <w:tr>
        <w:tblPrEx>
          <w:tblCellMar>
            <w:top w:w="0" w:type="dxa"/>
            <w:left w:w="0" w:type="dxa"/>
            <w:bottom w:w="0" w:type="dxa"/>
            <w:right w:w="0" w:type="dxa"/>
          </w:tblCellMar>
        </w:tblPrEx>
        <w:trPr>
          <w:trHeight w:val="490" w:hRule="atLeast"/>
        </w:trPr>
        <w:tc>
          <w:tcPr>
            <w:tcW w:w="3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合计</w:t>
            </w:r>
          </w:p>
        </w:tc>
        <w:tc>
          <w:tcPr>
            <w:tcW w:w="5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660"/>
              <w:jc w:val="right"/>
              <w:textAlignment w:val="center"/>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val="en-US" w:eastAsia="zh-CN" w:bidi="ar"/>
              </w:rPr>
              <w:t xml:space="preserve">     </w:t>
            </w:r>
            <w:r>
              <w:rPr>
                <w:rFonts w:hint="eastAsia" w:ascii="仿宋" w:hAnsi="仿宋" w:eastAsia="仿宋" w:cs="仿宋"/>
                <w:color w:val="000000"/>
                <w:sz w:val="28"/>
                <w:szCs w:val="28"/>
                <w:highlight w:val="none"/>
                <w:lang w:bidi="ar"/>
              </w:rPr>
              <w:t xml:space="preserve">（税率：  %  </w:t>
            </w:r>
            <w:r>
              <w:rPr>
                <w:rFonts w:hint="eastAsia" w:ascii="仿宋" w:hAnsi="仿宋" w:eastAsia="仿宋" w:cs="仿宋"/>
                <w:color w:val="000000"/>
                <w:sz w:val="28"/>
                <w:szCs w:val="28"/>
                <w:highlight w:val="none"/>
                <w:lang w:eastAsia="zh-CN" w:bidi="ar"/>
              </w:rPr>
              <w:t>）</w:t>
            </w:r>
            <w:r>
              <w:rPr>
                <w:rFonts w:hint="eastAsia" w:ascii="仿宋" w:hAnsi="仿宋" w:eastAsia="仿宋" w:cs="仿宋"/>
                <w:color w:val="000000"/>
                <w:sz w:val="28"/>
                <w:szCs w:val="28"/>
                <w:highlight w:val="none"/>
                <w:lang w:bidi="ar"/>
              </w:rPr>
              <w:t xml:space="preserve"> </w:t>
            </w:r>
          </w:p>
        </w:tc>
      </w:tr>
      <w:tr>
        <w:tblPrEx>
          <w:tblCellMar>
            <w:top w:w="0" w:type="dxa"/>
            <w:left w:w="0" w:type="dxa"/>
            <w:bottom w:w="0" w:type="dxa"/>
            <w:right w:w="0" w:type="dxa"/>
          </w:tblCellMar>
        </w:tblPrEx>
        <w:trPr>
          <w:trHeight w:val="719" w:hRule="atLeast"/>
        </w:trPr>
        <w:tc>
          <w:tcPr>
            <w:tcW w:w="3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付款方式</w:t>
            </w:r>
          </w:p>
        </w:tc>
        <w:tc>
          <w:tcPr>
            <w:tcW w:w="5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660"/>
              <w:jc w:val="right"/>
              <w:textAlignment w:val="center"/>
              <w:rPr>
                <w:rFonts w:hint="eastAsia" w:ascii="仿宋" w:hAnsi="仿宋" w:eastAsia="仿宋" w:cs="仿宋"/>
                <w:color w:val="000000"/>
                <w:sz w:val="28"/>
                <w:szCs w:val="28"/>
                <w:highlight w:val="none"/>
                <w:lang w:bidi="ar"/>
              </w:rPr>
            </w:pPr>
          </w:p>
        </w:tc>
      </w:tr>
      <w:tr>
        <w:tblPrEx>
          <w:tblCellMar>
            <w:top w:w="0" w:type="dxa"/>
            <w:left w:w="0" w:type="dxa"/>
            <w:bottom w:w="0" w:type="dxa"/>
            <w:right w:w="0" w:type="dxa"/>
          </w:tblCellMar>
        </w:tblPrEx>
        <w:trPr>
          <w:trHeight w:val="490" w:hRule="atLeast"/>
        </w:trPr>
        <w:tc>
          <w:tcPr>
            <w:tcW w:w="3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优惠条件承诺（如有）</w:t>
            </w:r>
          </w:p>
        </w:tc>
        <w:tc>
          <w:tcPr>
            <w:tcW w:w="5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660"/>
              <w:jc w:val="right"/>
              <w:textAlignment w:val="center"/>
              <w:rPr>
                <w:rFonts w:hint="eastAsia" w:ascii="仿宋" w:hAnsi="仿宋" w:eastAsia="仿宋" w:cs="仿宋"/>
                <w:color w:val="000000"/>
                <w:sz w:val="28"/>
                <w:szCs w:val="28"/>
                <w:highlight w:val="none"/>
                <w:lang w:bidi="ar"/>
              </w:rPr>
            </w:pPr>
          </w:p>
        </w:tc>
      </w:tr>
      <w:tr>
        <w:tblPrEx>
          <w:tblCellMar>
            <w:top w:w="0" w:type="dxa"/>
            <w:left w:w="0" w:type="dxa"/>
            <w:bottom w:w="0" w:type="dxa"/>
            <w:right w:w="0" w:type="dxa"/>
          </w:tblCellMar>
        </w:tblPrEx>
        <w:trPr>
          <w:trHeight w:val="490" w:hRule="atLeast"/>
        </w:trPr>
        <w:tc>
          <w:tcPr>
            <w:tcW w:w="3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cs="宋体"/>
                <w:color w:val="000000" w:themeColor="text1"/>
                <w:sz w:val="24"/>
                <w:szCs w:val="20"/>
                <w:highlight w:val="none"/>
                <w:lang w:val="en-US" w:eastAsia="zh-CN"/>
                <w14:textFill>
                  <w14:solidFill>
                    <w14:schemeClr w14:val="tx1"/>
                  </w14:solidFill>
                </w14:textFill>
              </w:rPr>
              <w:t>投标保证金是否已交</w:t>
            </w:r>
          </w:p>
        </w:tc>
        <w:tc>
          <w:tcPr>
            <w:tcW w:w="5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right="660"/>
              <w:jc w:val="right"/>
              <w:textAlignment w:val="center"/>
              <w:rPr>
                <w:rFonts w:hint="eastAsia" w:ascii="仿宋" w:hAnsi="仿宋" w:eastAsia="仿宋" w:cs="仿宋"/>
                <w:color w:val="000000"/>
                <w:sz w:val="28"/>
                <w:szCs w:val="28"/>
                <w:highlight w:val="none"/>
                <w:lang w:bidi="ar"/>
              </w:rPr>
            </w:pPr>
          </w:p>
        </w:tc>
      </w:tr>
    </w:tbl>
    <w:p>
      <w:pPr>
        <w:widowControl/>
        <w:adjustRightInd w:val="0"/>
        <w:spacing w:line="360" w:lineRule="auto"/>
        <w:jc w:val="right"/>
        <w:rPr>
          <w:kern w:val="0"/>
          <w:sz w:val="24"/>
          <w:highlight w:val="none"/>
          <w:lang w:val="zh-CN"/>
        </w:rPr>
      </w:pPr>
      <w:r>
        <w:rPr>
          <w:rFonts w:hint="eastAsia"/>
          <w:kern w:val="0"/>
          <w:sz w:val="24"/>
          <w:highlight w:val="none"/>
          <w:lang w:val="zh-CN"/>
        </w:rPr>
        <w:t>投标人名称:</w:t>
      </w:r>
      <w:r>
        <w:rPr>
          <w:rFonts w:hint="eastAsia"/>
          <w:kern w:val="0"/>
          <w:sz w:val="24"/>
          <w:highlight w:val="none"/>
          <w:lang w:val="en-US" w:eastAsia="zh-CN"/>
        </w:rPr>
        <w:t xml:space="preserve">   </w:t>
      </w:r>
      <w:r>
        <w:rPr>
          <w:rFonts w:hint="eastAsia"/>
          <w:kern w:val="0"/>
          <w:sz w:val="24"/>
          <w:highlight w:val="none"/>
          <w:lang w:val="zh-CN"/>
        </w:rPr>
        <w:t>（盖章）</w:t>
      </w:r>
    </w:p>
    <w:p>
      <w:pPr>
        <w:pStyle w:val="21"/>
        <w:jc w:val="right"/>
        <w:rPr>
          <w:highlight w:val="none"/>
          <w:lang w:val="zh-CN"/>
        </w:rPr>
      </w:pPr>
    </w:p>
    <w:p>
      <w:pPr>
        <w:pStyle w:val="21"/>
        <w:jc w:val="right"/>
        <w:rPr>
          <w:highlight w:val="none"/>
          <w:lang w:val="zh-CN"/>
        </w:rPr>
      </w:pPr>
      <w:r>
        <w:rPr>
          <w:rFonts w:hint="eastAsia"/>
          <w:highlight w:val="none"/>
          <w:lang w:val="zh-CN"/>
        </w:rPr>
        <w:t>日期</w:t>
      </w:r>
      <w:r>
        <w:rPr>
          <w:highlight w:val="none"/>
          <w:lang w:val="zh-CN"/>
        </w:rPr>
        <w:t>：</w:t>
      </w:r>
      <w:r>
        <w:rPr>
          <w:rFonts w:hint="eastAsia"/>
          <w:highlight w:val="none"/>
          <w:lang w:val="en-US" w:eastAsia="zh-CN"/>
        </w:rPr>
        <w:t xml:space="preserve">   </w:t>
      </w:r>
      <w:r>
        <w:rPr>
          <w:highlight w:val="none"/>
          <w:lang w:val="zh-CN"/>
        </w:rPr>
        <w:t>年</w:t>
      </w:r>
      <w:r>
        <w:rPr>
          <w:rFonts w:hint="eastAsia"/>
          <w:highlight w:val="none"/>
          <w:lang w:val="zh-CN"/>
        </w:rPr>
        <w:t xml:space="preserve"> </w:t>
      </w:r>
      <w:r>
        <w:rPr>
          <w:rFonts w:hint="eastAsia"/>
          <w:highlight w:val="none"/>
          <w:lang w:val="en-US" w:eastAsia="zh-CN"/>
        </w:rPr>
        <w:t xml:space="preserve">   </w:t>
      </w:r>
      <w:r>
        <w:rPr>
          <w:rFonts w:hint="eastAsia"/>
          <w:highlight w:val="none"/>
          <w:lang w:val="zh-CN"/>
        </w:rPr>
        <w:t xml:space="preserve"> 月 </w:t>
      </w:r>
      <w:r>
        <w:rPr>
          <w:rFonts w:hint="eastAsia"/>
          <w:highlight w:val="none"/>
          <w:lang w:val="en-US" w:eastAsia="zh-CN"/>
        </w:rPr>
        <w:t xml:space="preserve">   </w:t>
      </w:r>
      <w:r>
        <w:rPr>
          <w:rFonts w:hint="eastAsia"/>
          <w:highlight w:val="none"/>
          <w:lang w:val="zh-CN"/>
        </w:rPr>
        <w:t xml:space="preserve">  日</w:t>
      </w:r>
    </w:p>
    <w:p>
      <w:pPr>
        <w:spacing w:line="360" w:lineRule="auto"/>
        <w:rPr>
          <w:rFonts w:hint="eastAsia" w:ascii="Calibri" w:hAnsi="Calibri" w:eastAsia="宋体" w:cs="Times New Roman"/>
          <w:kern w:val="0"/>
          <w:sz w:val="24"/>
          <w:szCs w:val="24"/>
          <w:highlight w:val="none"/>
          <w:lang w:val="zh-CN" w:eastAsia="zh-CN" w:bidi="ar-SA"/>
        </w:rPr>
      </w:pPr>
      <w:r>
        <w:rPr>
          <w:rFonts w:hint="eastAsia" w:ascii="Calibri" w:hAnsi="Calibri" w:eastAsia="宋体" w:cs="Times New Roman"/>
          <w:kern w:val="0"/>
          <w:sz w:val="24"/>
          <w:szCs w:val="24"/>
          <w:highlight w:val="none"/>
          <w:lang w:val="zh-CN" w:eastAsia="zh-CN" w:bidi="ar-SA"/>
        </w:rPr>
        <w:t>备注：</w:t>
      </w:r>
    </w:p>
    <w:p>
      <w:pPr>
        <w:spacing w:line="360" w:lineRule="auto"/>
        <w:rPr>
          <w:rFonts w:hint="eastAsia" w:ascii="Calibri" w:hAnsi="Calibri" w:eastAsia="宋体" w:cs="Times New Roman"/>
          <w:kern w:val="0"/>
          <w:sz w:val="24"/>
          <w:szCs w:val="24"/>
          <w:highlight w:val="none"/>
          <w:lang w:val="zh-CN" w:eastAsia="zh-CN" w:bidi="ar-SA"/>
        </w:rPr>
      </w:pPr>
      <w:r>
        <w:rPr>
          <w:rFonts w:hint="eastAsia" w:ascii="Calibri" w:hAnsi="Calibri" w:eastAsia="宋体" w:cs="Times New Roman"/>
          <w:kern w:val="0"/>
          <w:sz w:val="24"/>
          <w:szCs w:val="24"/>
          <w:highlight w:val="none"/>
          <w:lang w:val="zh-CN" w:eastAsia="zh-CN" w:bidi="ar-SA"/>
        </w:rPr>
        <w:t>1.严格按照我公司要求进行报价。</w:t>
      </w:r>
    </w:p>
    <w:p>
      <w:pPr>
        <w:spacing w:line="360" w:lineRule="auto"/>
        <w:rPr>
          <w:rFonts w:hint="eastAsia" w:ascii="Calibri" w:hAnsi="Calibri" w:eastAsia="宋体" w:cs="Times New Roman"/>
          <w:kern w:val="0"/>
          <w:sz w:val="24"/>
          <w:szCs w:val="24"/>
          <w:highlight w:val="none"/>
          <w:lang w:val="zh-CN" w:eastAsia="zh-CN" w:bidi="ar-SA"/>
        </w:rPr>
      </w:pPr>
      <w:r>
        <w:rPr>
          <w:rFonts w:hint="eastAsia" w:ascii="Calibri" w:hAnsi="Calibri" w:eastAsia="宋体" w:cs="Times New Roman"/>
          <w:kern w:val="0"/>
          <w:sz w:val="24"/>
          <w:szCs w:val="24"/>
          <w:highlight w:val="none"/>
          <w:lang w:val="zh-CN" w:eastAsia="zh-CN" w:bidi="ar-SA"/>
        </w:rPr>
        <w:t>2.请提供业绩（要求提供相关证明材料，如合同原件扫描件等）</w:t>
      </w:r>
    </w:p>
    <w:p>
      <w:pPr>
        <w:spacing w:line="360" w:lineRule="auto"/>
        <w:rPr>
          <w:rFonts w:hint="eastAsia" w:ascii="Calibri" w:hAnsi="Calibri" w:eastAsia="宋体" w:cs="Times New Roman"/>
          <w:kern w:val="0"/>
          <w:sz w:val="24"/>
          <w:szCs w:val="24"/>
          <w:highlight w:val="none"/>
          <w:lang w:val="zh-CN" w:eastAsia="zh-CN" w:bidi="ar-SA"/>
        </w:rPr>
      </w:pPr>
      <w:r>
        <w:rPr>
          <w:rFonts w:hint="eastAsia" w:ascii="Calibri" w:hAnsi="Calibri" w:eastAsia="宋体" w:cs="Times New Roman"/>
          <w:kern w:val="0"/>
          <w:sz w:val="24"/>
          <w:szCs w:val="24"/>
          <w:highlight w:val="none"/>
          <w:lang w:val="zh-CN" w:eastAsia="zh-CN" w:bidi="ar-SA"/>
        </w:rPr>
        <w:t>3.请提供详细</w:t>
      </w:r>
      <w:r>
        <w:rPr>
          <w:rFonts w:hint="eastAsia" w:ascii="Calibri" w:hAnsi="Calibri" w:eastAsia="宋体" w:cs="Times New Roman"/>
          <w:kern w:val="0"/>
          <w:sz w:val="24"/>
          <w:szCs w:val="24"/>
          <w:highlight w:val="none"/>
          <w:lang w:val="en-US" w:eastAsia="zh-CN" w:bidi="ar-SA"/>
        </w:rPr>
        <w:t>分项</w:t>
      </w:r>
      <w:r>
        <w:rPr>
          <w:rFonts w:hint="eastAsia" w:ascii="Calibri" w:hAnsi="Calibri" w:eastAsia="宋体" w:cs="Times New Roman"/>
          <w:kern w:val="0"/>
          <w:sz w:val="24"/>
          <w:szCs w:val="24"/>
          <w:highlight w:val="none"/>
          <w:lang w:val="zh-CN" w:eastAsia="zh-CN" w:bidi="ar-SA"/>
        </w:rPr>
        <w:t>报价清单。</w:t>
      </w:r>
    </w:p>
    <w:p>
      <w:pPr>
        <w:tabs>
          <w:tab w:val="left" w:pos="7487"/>
        </w:tabs>
        <w:spacing w:line="360" w:lineRule="auto"/>
        <w:rPr>
          <w:rFonts w:hint="default" w:ascii="宋体" w:eastAsia="仿宋"/>
          <w:highlight w:val="none"/>
          <w:lang w:val="en-US" w:eastAsia="zh-CN"/>
        </w:rPr>
      </w:pPr>
      <w:r>
        <w:rPr>
          <w:rFonts w:hint="eastAsia" w:ascii="Calibri" w:hAnsi="Calibri" w:eastAsia="宋体" w:cs="Times New Roman"/>
          <w:kern w:val="0"/>
          <w:sz w:val="24"/>
          <w:szCs w:val="24"/>
          <w:highlight w:val="none"/>
          <w:lang w:val="zh-CN" w:eastAsia="zh-CN" w:bidi="ar-SA"/>
        </w:rPr>
        <w:t>4.付款方式：（必填）</w:t>
      </w:r>
      <w:r>
        <w:rPr>
          <w:rFonts w:hint="eastAsia" w:ascii="仿宋" w:hAnsi="仿宋" w:eastAsia="仿宋" w:cs="仿宋"/>
          <w:sz w:val="28"/>
          <w:szCs w:val="28"/>
          <w:highlight w:val="none"/>
          <w:lang w:eastAsia="zh-CN"/>
        </w:rPr>
        <w:tab/>
      </w:r>
    </w:p>
    <w:p>
      <w:pPr>
        <w:pStyle w:val="21"/>
        <w:rPr>
          <w:kern w:val="2"/>
          <w:sz w:val="21"/>
          <w:highlight w:val="none"/>
        </w:rPr>
      </w:pPr>
    </w:p>
    <w:p>
      <w:pPr>
        <w:pStyle w:val="4"/>
        <w:spacing w:before="0" w:after="0" w:line="360" w:lineRule="auto"/>
        <w:jc w:val="center"/>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分项</w:t>
      </w:r>
      <w:r>
        <w:rPr>
          <w:rFonts w:hint="eastAsia" w:ascii="宋体" w:hAnsi="宋体" w:eastAsia="宋体" w:cs="宋体"/>
          <w:color w:val="000000" w:themeColor="text1"/>
          <w:highlight w:val="none"/>
          <w14:textFill>
            <w14:solidFill>
              <w14:schemeClr w14:val="tx1"/>
            </w14:solidFill>
          </w14:textFill>
        </w:rPr>
        <w:t>报价单</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格式自拟</w:t>
      </w:r>
      <w:r>
        <w:rPr>
          <w:rFonts w:hint="eastAsia" w:ascii="宋体" w:hAnsi="宋体" w:eastAsia="宋体" w:cs="宋体"/>
          <w:color w:val="000000" w:themeColor="text1"/>
          <w:highlight w:val="none"/>
          <w:lang w:eastAsia="zh-CN"/>
          <w14:textFill>
            <w14:solidFill>
              <w14:schemeClr w14:val="tx1"/>
            </w14:solidFill>
          </w14:textFill>
        </w:rPr>
        <w:t>）</w:t>
      </w:r>
    </w:p>
    <w:p>
      <w:pPr>
        <w:pStyle w:val="21"/>
        <w:rPr>
          <w:kern w:val="2"/>
          <w:sz w:val="21"/>
          <w:highlight w:val="none"/>
        </w:rPr>
      </w:pPr>
    </w:p>
    <w:p>
      <w:pPr>
        <w:pStyle w:val="21"/>
        <w:rPr>
          <w:kern w:val="2"/>
          <w:sz w:val="21"/>
          <w:highlight w:val="none"/>
        </w:rPr>
      </w:pPr>
    </w:p>
    <w:p>
      <w:pPr>
        <w:pStyle w:val="21"/>
        <w:rPr>
          <w:kern w:val="2"/>
          <w:sz w:val="21"/>
          <w:highlight w:val="none"/>
        </w:rPr>
      </w:pPr>
    </w:p>
    <w:p>
      <w:pPr>
        <w:numPr>
          <w:ilvl w:val="0"/>
          <w:numId w:val="0"/>
        </w:numPr>
        <w:autoSpaceDE w:val="0"/>
        <w:autoSpaceDN w:val="0"/>
        <w:adjustRightInd w:val="0"/>
        <w:spacing w:line="520" w:lineRule="exact"/>
        <w:ind w:left="420" w:leftChars="0"/>
        <w:jc w:val="left"/>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p>
    <w:p>
      <w:pPr>
        <w:numPr>
          <w:ilvl w:val="0"/>
          <w:numId w:val="0"/>
        </w:numPr>
        <w:autoSpaceDE w:val="0"/>
        <w:autoSpaceDN w:val="0"/>
        <w:adjustRightInd w:val="0"/>
        <w:spacing w:line="520" w:lineRule="exact"/>
        <w:ind w:left="420" w:leftChars="0"/>
        <w:jc w:val="left"/>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p>
    <w:p>
      <w:pPr>
        <w:numPr>
          <w:ilvl w:val="0"/>
          <w:numId w:val="0"/>
        </w:numPr>
        <w:autoSpaceDE w:val="0"/>
        <w:autoSpaceDN w:val="0"/>
        <w:adjustRightInd w:val="0"/>
        <w:spacing w:line="520" w:lineRule="exact"/>
        <w:jc w:val="cente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r>
        <w:rPr>
          <w:rFonts w:hint="eastAsia" w:ascii="宋体" w:hAnsi="宋体" w:cs="宋体"/>
          <w:b/>
          <w:bCs/>
          <w:color w:val="000000" w:themeColor="text1"/>
          <w:kern w:val="0"/>
          <w:sz w:val="32"/>
          <w:szCs w:val="32"/>
          <w:highlight w:val="none"/>
          <w:lang w:val="en-US" w:eastAsia="zh-CN" w:bidi="ar-SA"/>
          <w14:textFill>
            <w14:solidFill>
              <w14:schemeClr w14:val="tx1"/>
            </w14:solidFill>
          </w14:textFill>
        </w:rPr>
        <w:t xml:space="preserve">七  </w:t>
      </w: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研发项目主要研发内容、技术指标、技术方案、创新点、安装调试方案、研发进度计划等</w:t>
      </w:r>
    </w:p>
    <w:p>
      <w:pPr>
        <w:pStyle w:val="2"/>
        <w:numPr>
          <w:ilvl w:val="0"/>
          <w:numId w:val="0"/>
        </w:numPr>
        <w:rPr>
          <w:rFonts w:hint="eastAsia"/>
          <w:highlight w:val="none"/>
          <w:lang w:val="en-US" w:eastAsia="zh-CN"/>
        </w:rPr>
      </w:pPr>
      <w:r>
        <w:rPr>
          <w:rFonts w:hint="eastAsia"/>
          <w:highlight w:val="none"/>
          <w:lang w:val="en-US" w:eastAsia="zh-CN"/>
        </w:rPr>
        <w:t xml:space="preserve">  </w:t>
      </w:r>
    </w:p>
    <w:p>
      <w:pPr>
        <w:pStyle w:val="2"/>
        <w:numPr>
          <w:ilvl w:val="0"/>
          <w:numId w:val="0"/>
        </w:numPr>
        <w:ind w:firstLine="480" w:firstLineChars="200"/>
        <w:rPr>
          <w:rFonts w:hint="default"/>
          <w:highlight w:val="none"/>
          <w:lang w:val="en-US" w:eastAsia="zh-CN"/>
        </w:rPr>
      </w:pPr>
      <w:r>
        <w:rPr>
          <w:rFonts w:hint="eastAsia"/>
          <w:highlight w:val="none"/>
          <w:lang w:val="en-US" w:eastAsia="zh-CN"/>
        </w:rPr>
        <w:t>根据招标文件第四章  【项目概述及技术需求】中要求内容分别陈述。</w:t>
      </w:r>
    </w:p>
    <w:p>
      <w:pPr>
        <w:pStyle w:val="21"/>
        <w:rPr>
          <w:rFonts w:hint="eastAsia" w:eastAsia="宋体"/>
          <w:kern w:val="2"/>
          <w:sz w:val="21"/>
          <w:highlight w:val="none"/>
          <w:lang w:val="en-US" w:eastAsia="zh-CN"/>
        </w:rPr>
      </w:pPr>
    </w:p>
    <w:p>
      <w:pPr>
        <w:pStyle w:val="21"/>
        <w:rPr>
          <w:kern w:val="2"/>
          <w:sz w:val="21"/>
          <w:highlight w:val="none"/>
        </w:rPr>
      </w:pPr>
    </w:p>
    <w:p>
      <w:pPr>
        <w:pStyle w:val="4"/>
        <w:numPr>
          <w:ilvl w:val="0"/>
          <w:numId w:val="0"/>
        </w:numPr>
        <w:spacing w:before="0" w:after="0" w:line="360" w:lineRule="auto"/>
        <w:jc w:val="both"/>
        <w:rPr>
          <w:rFonts w:hint="default" w:ascii="宋体" w:hAnsi="宋体" w:eastAsia="宋体" w:cs="宋体"/>
          <w:color w:val="000000" w:themeColor="text1"/>
          <w:kern w:val="0"/>
          <w:sz w:val="24"/>
          <w:highlight w:val="none"/>
          <w:lang w:val="en-US" w:eastAsia="zh-CN"/>
          <w14:textFill>
            <w14:solidFill>
              <w14:schemeClr w14:val="tx1"/>
            </w14:solidFill>
          </w14:textFill>
        </w:rPr>
      </w:pPr>
    </w:p>
    <w:p>
      <w:pPr>
        <w:widowControl/>
        <w:ind w:firstLine="2040" w:firstLineChars="850"/>
        <w:jc w:val="left"/>
        <w:rPr>
          <w:rFonts w:ascii="宋体" w:hAnsi="宋体" w:cs="宋体"/>
          <w:bCs/>
          <w:color w:val="000000" w:themeColor="text1"/>
          <w:sz w:val="24"/>
          <w:highlight w:val="none"/>
          <w14:textFill>
            <w14:solidFill>
              <w14:schemeClr w14:val="tx1"/>
            </w14:solidFill>
          </w14:textFill>
        </w:rPr>
      </w:pPr>
      <w:bookmarkStart w:id="41" w:name="_Toc27426019"/>
    </w:p>
    <w:p>
      <w:pPr>
        <w:widowControl/>
        <w:jc w:val="left"/>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br w:type="page"/>
      </w:r>
    </w:p>
    <w:bookmarkEnd w:id="41"/>
    <w:p>
      <w:pPr>
        <w:pStyle w:val="21"/>
        <w:rPr>
          <w:rFonts w:ascii="宋体" w:hAnsi="宋体" w:cs="宋体"/>
          <w:color w:val="000000" w:themeColor="text1"/>
          <w:highlight w:val="none"/>
          <w14:textFill>
            <w14:solidFill>
              <w14:schemeClr w14:val="tx1"/>
            </w14:solidFill>
          </w14:textFill>
        </w:rPr>
      </w:pPr>
    </w:p>
    <w:p>
      <w:pPr>
        <w:numPr>
          <w:ilvl w:val="0"/>
          <w:numId w:val="0"/>
        </w:numPr>
        <w:autoSpaceDE w:val="0"/>
        <w:autoSpaceDN w:val="0"/>
        <w:adjustRightInd w:val="0"/>
        <w:spacing w:line="520" w:lineRule="exact"/>
        <w:jc w:val="cente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八</w:t>
      </w:r>
      <w: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t>、技术条款偏离表</w:t>
      </w:r>
    </w:p>
    <w:tbl>
      <w:tblPr>
        <w:tblStyle w:val="56"/>
        <w:tblW w:w="8925" w:type="dxa"/>
        <w:jc w:val="center"/>
        <w:tblLayout w:type="fixed"/>
        <w:tblCellMar>
          <w:top w:w="0" w:type="dxa"/>
          <w:left w:w="0" w:type="dxa"/>
          <w:bottom w:w="0" w:type="dxa"/>
          <w:right w:w="0" w:type="dxa"/>
        </w:tblCellMar>
      </w:tblPr>
      <w:tblGrid>
        <w:gridCol w:w="765"/>
        <w:gridCol w:w="2174"/>
        <w:gridCol w:w="526"/>
        <w:gridCol w:w="584"/>
        <w:gridCol w:w="2656"/>
        <w:gridCol w:w="1110"/>
        <w:gridCol w:w="1110"/>
      </w:tblGrid>
      <w:tr>
        <w:tblPrEx>
          <w:tblCellMar>
            <w:top w:w="0" w:type="dxa"/>
            <w:left w:w="0" w:type="dxa"/>
            <w:bottom w:w="0" w:type="dxa"/>
            <w:right w:w="0" w:type="dxa"/>
          </w:tblCellMar>
        </w:tblPrEx>
        <w:trPr>
          <w:gridAfter w:val="3"/>
          <w:wAfter w:w="4876" w:type="dxa"/>
          <w:trHeight w:val="284" w:hRule="atLeast"/>
          <w:jc w:val="center"/>
        </w:trPr>
        <w:tc>
          <w:tcPr>
            <w:tcW w:w="2939"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项目</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kern w:val="0"/>
                <w:szCs w:val="21"/>
                <w:highlight w:val="none"/>
                <w:lang w:val="zh-CN"/>
                <w14:textFill>
                  <w14:solidFill>
                    <w14:schemeClr w14:val="tx1"/>
                  </w14:solidFill>
                </w14:textFill>
              </w:rPr>
              <w:t xml:space="preserve">： </w:t>
            </w:r>
          </w:p>
        </w:tc>
        <w:tc>
          <w:tcPr>
            <w:tcW w:w="1110"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序号</w:t>
            </w: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招标要求规格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说明</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bl>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投标人名称：（盖章）</w:t>
      </w:r>
    </w:p>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说明：</w:t>
      </w:r>
    </w:p>
    <w:p>
      <w:pPr>
        <w:autoSpaceDE w:val="0"/>
        <w:autoSpaceDN w:val="0"/>
        <w:adjustRightInd w:val="0"/>
        <w:spacing w:line="360" w:lineRule="auto"/>
        <w:ind w:firstLine="422" w:firstLineChars="200"/>
        <w:rPr>
          <w:rFonts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1、投标人应逐一说明投标产品和服务响应；</w:t>
      </w:r>
    </w:p>
    <w:p>
      <w:pPr>
        <w:widowControl/>
        <w:adjustRightIn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2、如果行数不够，请自行增加。</w:t>
      </w:r>
    </w:p>
    <w:p>
      <w:pPr>
        <w:pStyle w:val="21"/>
        <w:spacing w:after="0" w:line="360" w:lineRule="auto"/>
        <w:rPr>
          <w:rFonts w:ascii="宋体" w:hAnsi="宋体" w:cs="宋体"/>
          <w:b/>
          <w:color w:val="000000" w:themeColor="text1"/>
          <w:szCs w:val="21"/>
          <w:highlight w:val="none"/>
          <w:lang w:val="zh-CN"/>
          <w14:textFill>
            <w14:solidFill>
              <w14:schemeClr w14:val="tx1"/>
            </w14:solidFill>
          </w14:textFill>
        </w:rPr>
      </w:pPr>
    </w:p>
    <w:p>
      <w:pPr>
        <w:pStyle w:val="26"/>
        <w:rPr>
          <w:highlight w:val="none"/>
          <w:lang w:val="zh-CN"/>
        </w:rPr>
      </w:pPr>
    </w:p>
    <w:p>
      <w:pPr>
        <w:rPr>
          <w:highlight w:val="none"/>
          <w:lang w:val="zh-CN"/>
        </w:rPr>
      </w:pPr>
    </w:p>
    <w:p>
      <w:pPr>
        <w:pStyle w:val="26"/>
        <w:rPr>
          <w:rFonts w:hAnsi="宋体" w:cs="宋体"/>
          <w:color w:val="000000" w:themeColor="text1"/>
          <w:highlight w:val="none"/>
          <w:lang w:val="zh-CN"/>
          <w14:textFill>
            <w14:solidFill>
              <w14:schemeClr w14:val="tx1"/>
            </w14:solidFill>
          </w14:textFill>
        </w:rPr>
      </w:pPr>
    </w:p>
    <w:p>
      <w:pPr>
        <w:rPr>
          <w:highlight w:val="none"/>
          <w:lang w:val="zh-CN"/>
        </w:rPr>
      </w:pPr>
    </w:p>
    <w:p>
      <w:pPr>
        <w:pStyle w:val="26"/>
        <w:rPr>
          <w:rFonts w:hAnsi="宋体" w:cs="宋体"/>
          <w:color w:val="000000" w:themeColor="text1"/>
          <w:highlight w:val="none"/>
          <w:lang w:val="zh-CN"/>
          <w14:textFill>
            <w14:solidFill>
              <w14:schemeClr w14:val="tx1"/>
            </w14:solidFill>
          </w14:textFill>
        </w:rPr>
      </w:pPr>
    </w:p>
    <w:p>
      <w:pPr>
        <w:rPr>
          <w:highlight w:val="none"/>
          <w:lang w:val="zh-CN"/>
        </w:rPr>
      </w:pPr>
    </w:p>
    <w:p>
      <w:pPr>
        <w:widowControl/>
        <w:jc w:val="left"/>
        <w:rPr>
          <w:rFonts w:ascii="宋体" w:hAnsi="宋体" w:cs="宋体"/>
          <w:b/>
          <w:bCs/>
          <w:color w:val="000000" w:themeColor="text1"/>
          <w:kern w:val="0"/>
          <w:sz w:val="32"/>
          <w:szCs w:val="32"/>
          <w:highlight w:val="none"/>
          <w:lang w:val="zh-CN"/>
          <w14:textFill>
            <w14:solidFill>
              <w14:schemeClr w14:val="tx1"/>
            </w14:solidFill>
          </w14:textFill>
        </w:rPr>
      </w:pPr>
      <w:r>
        <w:rPr>
          <w:rFonts w:ascii="宋体" w:hAnsi="宋体" w:cs="宋体"/>
          <w:color w:val="000000" w:themeColor="text1"/>
          <w:highlight w:val="none"/>
          <w:lang w:val="zh-CN"/>
          <w14:textFill>
            <w14:solidFill>
              <w14:schemeClr w14:val="tx1"/>
            </w14:solidFill>
          </w14:textFill>
        </w:rPr>
        <w:br w:type="page"/>
      </w:r>
    </w:p>
    <w:p>
      <w:pPr>
        <w:numPr>
          <w:ilvl w:val="0"/>
          <w:numId w:val="0"/>
        </w:numPr>
        <w:autoSpaceDE w:val="0"/>
        <w:autoSpaceDN w:val="0"/>
        <w:adjustRightInd w:val="0"/>
        <w:spacing w:line="520" w:lineRule="exact"/>
        <w:jc w:val="cente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t>商务条款偏离表</w:t>
      </w:r>
    </w:p>
    <w:tbl>
      <w:tblPr>
        <w:tblStyle w:val="56"/>
        <w:tblW w:w="8925" w:type="dxa"/>
        <w:jc w:val="center"/>
        <w:tblLayout w:type="fixed"/>
        <w:tblCellMar>
          <w:top w:w="0" w:type="dxa"/>
          <w:left w:w="0" w:type="dxa"/>
          <w:bottom w:w="0" w:type="dxa"/>
          <w:right w:w="0" w:type="dxa"/>
        </w:tblCellMar>
      </w:tblPr>
      <w:tblGrid>
        <w:gridCol w:w="765"/>
        <w:gridCol w:w="2174"/>
        <w:gridCol w:w="526"/>
        <w:gridCol w:w="584"/>
        <w:gridCol w:w="2656"/>
        <w:gridCol w:w="1110"/>
        <w:gridCol w:w="1110"/>
      </w:tblGrid>
      <w:tr>
        <w:tblPrEx>
          <w:tblCellMar>
            <w:top w:w="0" w:type="dxa"/>
            <w:left w:w="0" w:type="dxa"/>
            <w:bottom w:w="0" w:type="dxa"/>
            <w:right w:w="0" w:type="dxa"/>
          </w:tblCellMar>
        </w:tblPrEx>
        <w:trPr>
          <w:gridAfter w:val="3"/>
          <w:wAfter w:w="4876" w:type="dxa"/>
          <w:trHeight w:val="284" w:hRule="atLeast"/>
          <w:jc w:val="center"/>
        </w:trPr>
        <w:tc>
          <w:tcPr>
            <w:tcW w:w="2939"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项目</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kern w:val="0"/>
                <w:szCs w:val="21"/>
                <w:highlight w:val="none"/>
                <w:lang w:val="zh-CN"/>
                <w14:textFill>
                  <w14:solidFill>
                    <w14:schemeClr w14:val="tx1"/>
                  </w14:solidFill>
                </w14:textFill>
              </w:rPr>
              <w:t xml:space="preserve">： </w:t>
            </w:r>
          </w:p>
        </w:tc>
        <w:tc>
          <w:tcPr>
            <w:tcW w:w="1110"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序号</w:t>
            </w: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招标要求规格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说明</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cs="宋体"/>
                <w:color w:val="000000" w:themeColor="text1"/>
                <w:kern w:val="0"/>
                <w:szCs w:val="21"/>
                <w:highlight w:val="none"/>
                <w:lang w:val="zh-CN"/>
                <w14:textFill>
                  <w14:solidFill>
                    <w14:schemeClr w14:val="tx1"/>
                  </w14:solidFill>
                </w14:textFill>
              </w:rPr>
            </w:pPr>
          </w:p>
        </w:tc>
      </w:tr>
    </w:tbl>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投标人名称：（盖章）</w:t>
      </w:r>
    </w:p>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说明：如果行数不够，请自行增加。</w:t>
      </w:r>
    </w:p>
    <w:p>
      <w:pPr>
        <w:numPr>
          <w:ilvl w:val="0"/>
          <w:numId w:val="0"/>
        </w:numPr>
        <w:spacing w:line="360" w:lineRule="auto"/>
        <w:ind w:firstLine="2100" w:firstLineChars="10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 xml:space="preserve">     九 </w:t>
      </w:r>
      <w: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t>服务承诺</w:t>
      </w:r>
      <w:r>
        <w:rPr>
          <w:rFonts w:hint="eastAsia" w:ascii="宋体" w:hAnsi="宋体" w:cs="宋体"/>
          <w:b/>
          <w:bCs/>
          <w:color w:val="000000" w:themeColor="text1"/>
          <w:kern w:val="0"/>
          <w:sz w:val="32"/>
          <w:szCs w:val="32"/>
          <w:highlight w:val="none"/>
          <w:lang w:val="zh-CN" w:eastAsia="zh-CN" w:bidi="ar-SA"/>
          <w14:textFill>
            <w14:solidFill>
              <w14:schemeClr w14:val="tx1"/>
            </w14:solidFill>
          </w14:textFill>
        </w:rPr>
        <w:t>（</w:t>
      </w:r>
      <w:r>
        <w:rPr>
          <w:rFonts w:hint="eastAsia" w:ascii="宋体" w:hAnsi="宋体" w:cs="宋体"/>
          <w:b/>
          <w:bCs/>
          <w:color w:val="000000" w:themeColor="text1"/>
          <w:kern w:val="0"/>
          <w:sz w:val="32"/>
          <w:szCs w:val="32"/>
          <w:highlight w:val="none"/>
          <w:lang w:val="en-US" w:eastAsia="zh-CN" w:bidi="ar-SA"/>
          <w14:textFill>
            <w14:solidFill>
              <w14:schemeClr w14:val="tx1"/>
            </w14:solidFill>
          </w14:textFill>
        </w:rPr>
        <w:t>格式自拟</w:t>
      </w:r>
      <w:r>
        <w:rPr>
          <w:rFonts w:hint="eastAsia" w:ascii="宋体" w:hAnsi="宋体" w:cs="宋体"/>
          <w:b/>
          <w:bCs/>
          <w:color w:val="000000" w:themeColor="text1"/>
          <w:kern w:val="0"/>
          <w:sz w:val="32"/>
          <w:szCs w:val="32"/>
          <w:highlight w:val="none"/>
          <w:lang w:val="zh-CN" w:eastAsia="zh-CN" w:bidi="ar-SA"/>
          <w14:textFill>
            <w14:solidFill>
              <w14:schemeClr w14:val="tx1"/>
            </w14:solidFill>
          </w14:textFill>
        </w:rPr>
        <w:t>）</w:t>
      </w:r>
    </w:p>
    <w:p>
      <w:pPr>
        <w:pStyle w:val="21"/>
        <w:spacing w:after="0"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p>
    <w:p>
      <w:pPr>
        <w:numPr>
          <w:ilvl w:val="0"/>
          <w:numId w:val="0"/>
        </w:numPr>
        <w:autoSpaceDE w:val="0"/>
        <w:autoSpaceDN w:val="0"/>
        <w:adjustRightInd w:val="0"/>
        <w:spacing w:line="520" w:lineRule="exact"/>
        <w:jc w:val="cente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t>十、投标需要的其他证明文件及材料</w:t>
      </w:r>
    </w:p>
    <w:p>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bookmarkStart w:id="42" w:name="_Toc357263200"/>
      <w:bookmarkStart w:id="43" w:name="_Toc324166905"/>
      <w:bookmarkStart w:id="44" w:name="_Toc325559897"/>
      <w:r>
        <w:rPr>
          <w:rFonts w:hint="eastAsia" w:ascii="宋体" w:hAnsi="宋体" w:cs="宋体"/>
          <w:color w:val="000000" w:themeColor="text1"/>
          <w:kern w:val="0"/>
          <w:szCs w:val="21"/>
          <w:highlight w:val="none"/>
          <w:lang w:val="zh-CN"/>
          <w14:textFill>
            <w14:solidFill>
              <w14:schemeClr w14:val="tx1"/>
            </w14:solidFill>
          </w14:textFill>
        </w:rPr>
        <w:t>1、投标人概况</w:t>
      </w:r>
      <w:bookmarkEnd w:id="42"/>
      <w:bookmarkEnd w:id="43"/>
      <w:bookmarkEnd w:id="44"/>
      <w:bookmarkStart w:id="45" w:name="_Toc324166907"/>
      <w:bookmarkStart w:id="46" w:name="_Toc357263202"/>
      <w:bookmarkStart w:id="47" w:name="_Toc325559899"/>
    </w:p>
    <w:bookmarkEnd w:id="45"/>
    <w:bookmarkEnd w:id="46"/>
    <w:bookmarkEnd w:id="47"/>
    <w:p>
      <w:pPr>
        <w:pStyle w:val="21"/>
        <w:rPr>
          <w:rFonts w:hint="default" w:ascii="宋体" w:hAnsi="宋体" w:eastAsia="宋体" w:cs="宋体"/>
          <w:color w:val="000000" w:themeColor="text1"/>
          <w:kern w:val="2"/>
          <w:sz w:val="21"/>
          <w:highlight w:val="none"/>
          <w:lang w:val="en-US" w:eastAsia="zh-CN"/>
          <w14:textFill>
            <w14:solidFill>
              <w14:schemeClr w14:val="tx1"/>
            </w14:solidFill>
          </w14:textFill>
        </w:rPr>
      </w:pPr>
      <w:r>
        <w:rPr>
          <w:rFonts w:hint="eastAsia" w:ascii="宋体" w:hAnsi="宋体" w:cs="宋体"/>
          <w:color w:val="000000" w:themeColor="text1"/>
          <w:kern w:val="2"/>
          <w:sz w:val="21"/>
          <w:highlight w:val="none"/>
          <w:lang w:val="en-US" w:eastAsia="zh-CN"/>
          <w14:textFill>
            <w14:solidFill>
              <w14:schemeClr w14:val="tx1"/>
            </w14:solidFill>
          </w14:textFill>
        </w:rPr>
        <w:t>2</w:t>
      </w:r>
      <w:r>
        <w:rPr>
          <w:rFonts w:hint="eastAsia" w:ascii="宋体" w:hAnsi="宋体" w:cs="宋体"/>
          <w:color w:val="000000" w:themeColor="text1"/>
          <w:kern w:val="2"/>
          <w:sz w:val="21"/>
          <w:highlight w:val="none"/>
          <w14:textFill>
            <w14:solidFill>
              <w14:schemeClr w14:val="tx1"/>
            </w14:solidFill>
          </w14:textFill>
        </w:rPr>
        <w:t>、</w:t>
      </w:r>
      <w:r>
        <w:rPr>
          <w:rFonts w:hint="eastAsia" w:ascii="宋体" w:hAnsi="宋体" w:cs="宋体"/>
          <w:color w:val="000000" w:themeColor="text1"/>
          <w:kern w:val="2"/>
          <w:sz w:val="21"/>
          <w:highlight w:val="none"/>
          <w:lang w:val="en-US" w:eastAsia="zh-CN"/>
          <w14:textFill>
            <w14:solidFill>
              <w14:schemeClr w14:val="tx1"/>
            </w14:solidFill>
          </w14:textFill>
        </w:rPr>
        <w:t>投标保证金证明</w:t>
      </w:r>
    </w:p>
    <w:p>
      <w:pPr>
        <w:pStyle w:val="21"/>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pPr>
        <w:numPr>
          <w:ilvl w:val="0"/>
          <w:numId w:val="8"/>
        </w:numPr>
        <w:autoSpaceDE w:val="0"/>
        <w:autoSpaceDN w:val="0"/>
        <w:adjustRightInd w:val="0"/>
        <w:spacing w:line="520" w:lineRule="exact"/>
        <w:ind w:left="0" w:leftChars="0" w:firstLine="420" w:firstLineChars="0"/>
        <w:jc w:val="cente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eastAsia="zh-CN" w:bidi="ar-SA"/>
          <w14:textFill>
            <w14:solidFill>
              <w14:schemeClr w14:val="tx1"/>
            </w14:solidFill>
          </w14:textFill>
        </w:rPr>
        <w:t>投标人认为需要提供的其他材料</w:t>
      </w:r>
    </w:p>
    <w:p>
      <w:pPr>
        <w:pStyle w:val="2"/>
        <w:widowControl w:val="0"/>
        <w:numPr>
          <w:ilvl w:val="0"/>
          <w:numId w:val="0"/>
        </w:numPr>
        <w:autoSpaceDE w:val="0"/>
        <w:autoSpaceDN w:val="0"/>
        <w:adjustRightInd w:val="0"/>
        <w:rPr>
          <w:rFonts w:hint="eastAsia"/>
          <w:lang w:val="zh-CN" w:eastAsia="zh-CN"/>
        </w:rPr>
      </w:pPr>
    </w:p>
    <w:p>
      <w:pPr>
        <w:pStyle w:val="2"/>
        <w:widowControl w:val="0"/>
        <w:numPr>
          <w:ilvl w:val="0"/>
          <w:numId w:val="0"/>
        </w:numPr>
        <w:autoSpaceDE w:val="0"/>
        <w:autoSpaceDN w:val="0"/>
        <w:adjustRightInd w:val="0"/>
        <w:rPr>
          <w:rFonts w:hint="eastAsia"/>
          <w:lang w:val="zh-CN" w:eastAsia="zh-CN"/>
        </w:rPr>
        <w:sectPr>
          <w:endnotePr>
            <w:numFmt w:val="decimal"/>
          </w:endnotePr>
          <w:pgSz w:w="12240" w:h="15840"/>
          <w:pgMar w:top="1417" w:right="1417" w:bottom="1417" w:left="1417" w:header="720" w:footer="720" w:gutter="0"/>
          <w:cols w:space="0" w:num="1"/>
          <w:docGrid w:type="lines" w:linePitch="312" w:charSpace="0"/>
        </w:sectPr>
      </w:pPr>
    </w:p>
    <w:p>
      <w:pPr>
        <w:rPr>
          <w:rFonts w:ascii="宋体" w:hAnsi="宋体" w:eastAsia="宋体" w:cs="仿宋_GB2312"/>
          <w:b/>
          <w:bCs/>
          <w:color w:val="000000"/>
          <w:kern w:val="0"/>
          <w:sz w:val="40"/>
          <w:szCs w:val="32"/>
        </w:rPr>
      </w:pPr>
      <w:r>
        <w:rPr>
          <w:rFonts w:hint="eastAsia" w:ascii="宋体" w:hAnsi="宋体" w:cs="仿宋_GB2312"/>
          <w:b/>
          <w:bCs/>
          <w:color w:val="000000"/>
          <w:kern w:val="0"/>
          <w:sz w:val="40"/>
          <w:szCs w:val="32"/>
          <w:lang w:val="en-US" w:eastAsia="zh-CN"/>
        </w:rPr>
        <w:t xml:space="preserve">附件：            </w:t>
      </w:r>
      <w:r>
        <w:rPr>
          <w:rFonts w:hint="eastAsia" w:ascii="宋体" w:hAnsi="宋体" w:eastAsia="宋体" w:cs="仿宋_GB2312"/>
          <w:b/>
          <w:bCs/>
          <w:color w:val="000000"/>
          <w:kern w:val="0"/>
          <w:sz w:val="40"/>
          <w:szCs w:val="32"/>
        </w:rPr>
        <w:t>外包方安全资质和安全条件审查表</w:t>
      </w:r>
    </w:p>
    <w:p>
      <w:pPr>
        <w:widowControl/>
        <w:spacing w:line="240" w:lineRule="atLeast"/>
        <w:jc w:val="left"/>
        <w:rPr>
          <w:rFonts w:ascii="宋体" w:hAnsi="宋体" w:eastAsia="宋体" w:cs="仿宋_GB2312"/>
          <w:b/>
          <w:bCs/>
          <w:color w:val="000000"/>
          <w:kern w:val="0"/>
          <w:sz w:val="28"/>
          <w:szCs w:val="28"/>
        </w:rPr>
      </w:pPr>
      <w:r>
        <w:rPr>
          <w:rFonts w:hint="eastAsia" w:ascii="宋体" w:hAnsi="宋体" w:eastAsia="宋体" w:cs="仿宋_GB2312"/>
          <w:b/>
          <w:bCs/>
          <w:color w:val="000000"/>
          <w:kern w:val="0"/>
          <w:sz w:val="28"/>
          <w:szCs w:val="28"/>
        </w:rPr>
        <w:t xml:space="preserve">被审查单位名称： </w:t>
      </w:r>
      <w:r>
        <w:rPr>
          <w:rFonts w:ascii="宋体" w:hAnsi="宋体" w:eastAsia="宋体" w:cs="仿宋_GB2312"/>
          <w:b/>
          <w:bCs/>
          <w:color w:val="000000"/>
          <w:kern w:val="0"/>
          <w:sz w:val="28"/>
          <w:szCs w:val="28"/>
        </w:rPr>
        <w:t xml:space="preserve">                                        </w:t>
      </w:r>
      <w:r>
        <w:rPr>
          <w:rFonts w:hint="eastAsia" w:ascii="宋体" w:hAnsi="宋体" w:eastAsia="宋体" w:cs="仿宋_GB2312"/>
          <w:b/>
          <w:bCs/>
          <w:color w:val="000000"/>
          <w:kern w:val="0"/>
          <w:sz w:val="28"/>
          <w:szCs w:val="28"/>
        </w:rPr>
        <w:t>检查时间：</w:t>
      </w:r>
    </w:p>
    <w:tbl>
      <w:tblPr>
        <w:tblStyle w:val="56"/>
        <w:tblpPr w:leftFromText="180" w:rightFromText="180" w:vertAnchor="text" w:horzAnchor="margin" w:tblpX="216" w:tblpY="537"/>
        <w:tblOverlap w:val="never"/>
        <w:tblW w:w="1407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1"/>
        <w:gridCol w:w="1918"/>
        <w:gridCol w:w="6521"/>
        <w:gridCol w:w="1660"/>
        <w:gridCol w:w="1106"/>
        <w:gridCol w:w="1244"/>
        <w:gridCol w:w="1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trPr>
        <w:tc>
          <w:tcPr>
            <w:tcW w:w="521" w:type="dxa"/>
            <w:tcBorders>
              <w:tl2br w:val="nil"/>
              <w:tr2bl w:val="nil"/>
            </w:tcBorders>
            <w:shd w:val="clear" w:color="auto" w:fill="auto"/>
            <w:noWrap/>
            <w:vAlign w:val="center"/>
          </w:tcPr>
          <w:p>
            <w:pPr>
              <w:widowControl/>
              <w:spacing w:line="240" w:lineRule="atLeas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序号</w:t>
            </w:r>
          </w:p>
        </w:tc>
        <w:tc>
          <w:tcPr>
            <w:tcW w:w="1918" w:type="dxa"/>
            <w:tcBorders>
              <w:tl2br w:val="nil"/>
              <w:tr2bl w:val="nil"/>
            </w:tcBorders>
            <w:shd w:val="clear" w:color="auto" w:fill="auto"/>
            <w:noWrap/>
            <w:vAlign w:val="center"/>
          </w:tcPr>
          <w:p>
            <w:pPr>
              <w:widowControl/>
              <w:spacing w:line="240" w:lineRule="atLeas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资质内容</w:t>
            </w:r>
          </w:p>
        </w:tc>
        <w:tc>
          <w:tcPr>
            <w:tcW w:w="6521" w:type="dxa"/>
            <w:tcBorders>
              <w:bottom w:val="single" w:color="auto" w:sz="4" w:space="0"/>
              <w:tl2br w:val="nil"/>
              <w:tr2bl w:val="nil"/>
            </w:tcBorders>
            <w:shd w:val="clear" w:color="auto" w:fill="auto"/>
            <w:noWrap/>
            <w:vAlign w:val="center"/>
          </w:tcPr>
          <w:p>
            <w:pPr>
              <w:widowControl/>
              <w:spacing w:line="240" w:lineRule="atLeas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相关要求</w:t>
            </w:r>
          </w:p>
        </w:tc>
        <w:tc>
          <w:tcPr>
            <w:tcW w:w="1660" w:type="dxa"/>
            <w:tcBorders>
              <w:bottom w:val="single" w:color="auto" w:sz="4" w:space="0"/>
              <w:tl2br w:val="nil"/>
              <w:tr2bl w:val="nil"/>
            </w:tcBorders>
            <w:vAlign w:val="center"/>
          </w:tcPr>
          <w:p>
            <w:pPr>
              <w:widowControl/>
              <w:spacing w:line="240" w:lineRule="atLeas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审查部门</w:t>
            </w:r>
          </w:p>
        </w:tc>
        <w:tc>
          <w:tcPr>
            <w:tcW w:w="1106" w:type="dxa"/>
            <w:tcBorders>
              <w:bottom w:val="single" w:color="auto" w:sz="4" w:space="0"/>
              <w:tl2br w:val="nil"/>
              <w:tr2bl w:val="nil"/>
            </w:tcBorders>
            <w:vAlign w:val="center"/>
          </w:tcPr>
          <w:p>
            <w:pPr>
              <w:widowControl/>
              <w:spacing w:line="240" w:lineRule="atLeas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审查人员</w:t>
            </w:r>
          </w:p>
        </w:tc>
        <w:tc>
          <w:tcPr>
            <w:tcW w:w="1244" w:type="dxa"/>
            <w:tcBorders>
              <w:tl2br w:val="nil"/>
              <w:tr2bl w:val="nil"/>
            </w:tcBorders>
            <w:vAlign w:val="center"/>
          </w:tcPr>
          <w:p>
            <w:pPr>
              <w:widowControl/>
              <w:spacing w:line="240" w:lineRule="atLeas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审查结果</w:t>
            </w:r>
          </w:p>
        </w:tc>
        <w:tc>
          <w:tcPr>
            <w:tcW w:w="1108" w:type="dxa"/>
            <w:tcBorders>
              <w:tl2br w:val="nil"/>
              <w:tr2bl w:val="nil"/>
            </w:tcBorders>
            <w:vAlign w:val="center"/>
          </w:tcPr>
          <w:p>
            <w:pPr>
              <w:widowControl/>
              <w:spacing w:line="240" w:lineRule="atLeast"/>
              <w:jc w:val="center"/>
              <w:rPr>
                <w:rFonts w:ascii="宋体" w:hAnsi="宋体" w:eastAsia="宋体" w:cs="仿宋_GB2312"/>
                <w:b/>
                <w:bCs/>
                <w:color w:val="000000"/>
                <w:kern w:val="0"/>
                <w:szCs w:val="21"/>
              </w:rPr>
            </w:pPr>
            <w:r>
              <w:rPr>
                <w:rFonts w:hint="eastAsia" w:ascii="宋体" w:hAnsi="宋体" w:eastAsia="宋体" w:cs="仿宋_GB2312"/>
                <w:b/>
                <w:bCs/>
                <w:color w:val="00000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rPr>
        <w:tc>
          <w:tcPr>
            <w:tcW w:w="521"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1</w:t>
            </w:r>
          </w:p>
        </w:tc>
        <w:tc>
          <w:tcPr>
            <w:tcW w:w="191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营业执照</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提供原件及复印件，复印件加盖公章。</w:t>
            </w:r>
          </w:p>
        </w:tc>
        <w:tc>
          <w:tcPr>
            <w:tcW w:w="1660" w:type="dxa"/>
            <w:vMerge w:val="restart"/>
            <w:tcBorders>
              <w:tl2br w:val="nil"/>
              <w:tr2bl w:val="nil"/>
            </w:tcBorders>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业务部门</w:t>
            </w: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21"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2</w:t>
            </w:r>
          </w:p>
        </w:tc>
        <w:tc>
          <w:tcPr>
            <w:tcW w:w="191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资质证书</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提供原件及复印件，复印件公司公章。资质等级需与承包项目相符，且在专业平台如全国建筑市场监管公共服务平台可查。</w:t>
            </w:r>
          </w:p>
        </w:tc>
        <w:tc>
          <w:tcPr>
            <w:tcW w:w="1660" w:type="dxa"/>
            <w:vMerge w:val="continue"/>
            <w:tcBorders>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21"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3</w:t>
            </w:r>
          </w:p>
        </w:tc>
        <w:tc>
          <w:tcPr>
            <w:tcW w:w="191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安全生产许可证</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提供原件及复印件，复印件加盖公章（涉及矿山企业、建筑施工企业和危险化学品、烟花爆竹、民用爆炸物品生产企业提供）。</w:t>
            </w:r>
          </w:p>
        </w:tc>
        <w:tc>
          <w:tcPr>
            <w:tcW w:w="1660" w:type="dxa"/>
            <w:vMerge w:val="continue"/>
            <w:tcBorders>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trPr>
        <w:tc>
          <w:tcPr>
            <w:tcW w:w="521"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4</w:t>
            </w:r>
          </w:p>
        </w:tc>
        <w:tc>
          <w:tcPr>
            <w:tcW w:w="191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法定代表人身份证</w:t>
            </w:r>
          </w:p>
        </w:tc>
        <w:tc>
          <w:tcPr>
            <w:tcW w:w="6521" w:type="dxa"/>
            <w:tcBorders>
              <w:bottom w:val="single" w:color="auto" w:sz="4" w:space="0"/>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合同或安全协议签订人为法定代表人时，需提供身份证复印件。</w:t>
            </w:r>
          </w:p>
        </w:tc>
        <w:tc>
          <w:tcPr>
            <w:tcW w:w="1660" w:type="dxa"/>
            <w:vMerge w:val="continue"/>
            <w:tcBorders>
              <w:bottom w:val="single" w:color="auto" w:sz="4" w:space="0"/>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521"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5</w:t>
            </w:r>
          </w:p>
        </w:tc>
        <w:tc>
          <w:tcPr>
            <w:tcW w:w="1918"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法定代表人授权委托书及身份证</w:t>
            </w:r>
          </w:p>
        </w:tc>
        <w:tc>
          <w:tcPr>
            <w:tcW w:w="6521" w:type="dxa"/>
            <w:vMerge w:val="restart"/>
            <w:tcBorders>
              <w:tl2br w:val="nil"/>
              <w:tr2bl w:val="nil"/>
            </w:tcBorders>
            <w:shd w:val="clear" w:color="auto" w:fill="auto"/>
            <w:vAlign w:val="center"/>
          </w:tcPr>
          <w:p>
            <w:pPr>
              <w:pStyle w:val="432"/>
              <w:widowControl/>
              <w:numPr>
                <w:ilvl w:val="0"/>
                <w:numId w:val="10"/>
              </w:numPr>
              <w:spacing w:line="340" w:lineRule="exact"/>
              <w:ind w:firstLineChars="0"/>
              <w:jc w:val="left"/>
              <w:rPr>
                <w:rFonts w:ascii="宋体" w:hAnsi="宋体" w:eastAsia="宋体" w:cs="仿宋_GB2312"/>
                <w:bCs/>
                <w:szCs w:val="21"/>
                <w:lang w:bidi="ar"/>
              </w:rPr>
            </w:pPr>
            <w:r>
              <w:rPr>
                <w:rFonts w:hint="eastAsia" w:ascii="宋体" w:hAnsi="宋体" w:eastAsia="宋体" w:cs="仿宋_GB2312"/>
                <w:bCs/>
                <w:szCs w:val="21"/>
                <w:lang w:bidi="ar"/>
              </w:rPr>
              <w:t>合同或安全协议签订人不是法人代表本人时，须提供授权委托书（由法定代表人签字或签章，有身份证照片并加盖公司公章）及委托代理人身份证，委托期限。</w:t>
            </w:r>
          </w:p>
          <w:p>
            <w:pPr>
              <w:pStyle w:val="432"/>
              <w:widowControl/>
              <w:numPr>
                <w:ilvl w:val="0"/>
                <w:numId w:val="10"/>
              </w:numPr>
              <w:spacing w:line="340" w:lineRule="exact"/>
              <w:ind w:firstLineChars="0"/>
              <w:jc w:val="left"/>
              <w:rPr>
                <w:rFonts w:ascii="宋体" w:hAnsi="宋体" w:eastAsia="宋体" w:cs="仿宋_GB2312"/>
                <w:bCs/>
                <w:szCs w:val="21"/>
                <w:lang w:bidi="ar"/>
              </w:rPr>
            </w:pPr>
            <w:r>
              <w:rPr>
                <w:rFonts w:hint="eastAsia" w:ascii="宋体" w:hAnsi="宋体" w:eastAsia="宋体" w:cs="仿宋_GB2312"/>
                <w:bCs/>
                <w:szCs w:val="21"/>
                <w:lang w:bidi="ar"/>
              </w:rPr>
              <w:t>签订《外包项目安全生产管理协议书》、《外包项目环境管理协议书》、《外包项目职业健康安全管理协议书》，签订合同，</w:t>
            </w:r>
            <w:r>
              <w:rPr>
                <w:rFonts w:hint="eastAsia" w:ascii="宋体" w:hAnsi="宋体" w:eastAsia="宋体" w:cs="仿宋_GB2312"/>
                <w:b/>
                <w:bCs/>
                <w:szCs w:val="21"/>
                <w:lang w:bidi="ar"/>
              </w:rPr>
              <w:t>注意需要加盖骑缝章。</w:t>
            </w:r>
          </w:p>
        </w:tc>
        <w:tc>
          <w:tcPr>
            <w:tcW w:w="1660" w:type="dxa"/>
            <w:vMerge w:val="restart"/>
            <w:tcBorders>
              <w:top w:val="single" w:color="auto" w:sz="4" w:space="0"/>
              <w:tl2br w:val="nil"/>
              <w:tr2bl w:val="nil"/>
            </w:tcBorders>
          </w:tcPr>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业务部门自查、</w:t>
            </w:r>
          </w:p>
          <w:p>
            <w:pPr>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安全生产部审核</w:t>
            </w:r>
          </w:p>
        </w:tc>
        <w:tc>
          <w:tcPr>
            <w:tcW w:w="1106"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0" w:hRule="atLeast"/>
        </w:trPr>
        <w:tc>
          <w:tcPr>
            <w:tcW w:w="521"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1918"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6521" w:type="dxa"/>
            <w:vMerge w:val="continue"/>
            <w:tcBorders>
              <w:tl2br w:val="nil"/>
              <w:tr2bl w:val="nil"/>
            </w:tcBorders>
            <w:shd w:val="clear" w:color="auto" w:fill="auto"/>
            <w:vAlign w:val="center"/>
          </w:tcPr>
          <w:p>
            <w:pPr>
              <w:pStyle w:val="432"/>
              <w:widowControl/>
              <w:numPr>
                <w:ilvl w:val="0"/>
                <w:numId w:val="10"/>
              </w:numPr>
              <w:spacing w:line="340" w:lineRule="exact"/>
              <w:ind w:firstLineChars="0"/>
              <w:jc w:val="left"/>
              <w:rPr>
                <w:rFonts w:ascii="宋体" w:hAnsi="宋体" w:eastAsia="宋体" w:cs="仿宋_GB2312"/>
                <w:bCs/>
                <w:szCs w:val="21"/>
                <w:lang w:bidi="ar"/>
              </w:rPr>
            </w:pPr>
          </w:p>
        </w:tc>
        <w:tc>
          <w:tcPr>
            <w:tcW w:w="1660" w:type="dxa"/>
            <w:vMerge w:val="continue"/>
            <w:tcBorders>
              <w:top w:val="single" w:color="auto" w:sz="4" w:space="0"/>
              <w:bottom w:val="single" w:color="auto" w:sz="4" w:space="0"/>
              <w:tl2br w:val="nil"/>
              <w:tr2bl w:val="nil"/>
            </w:tcBorders>
          </w:tcPr>
          <w:p>
            <w:pPr>
              <w:spacing w:line="340" w:lineRule="exact"/>
              <w:jc w:val="center"/>
              <w:rPr>
                <w:rFonts w:ascii="宋体" w:hAnsi="宋体" w:eastAsia="宋体" w:cs="仿宋_GB2312"/>
                <w:bCs/>
                <w:szCs w:val="21"/>
                <w:lang w:bidi="ar"/>
              </w:rPr>
            </w:pPr>
          </w:p>
        </w:tc>
        <w:tc>
          <w:tcPr>
            <w:tcW w:w="1106"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21"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6</w:t>
            </w:r>
          </w:p>
        </w:tc>
        <w:tc>
          <w:tcPr>
            <w:tcW w:w="191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施工业绩</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施工业绩需与承揽项目一致或类似，证明具有承揽同类项目施工能力，且业绩良好。</w:t>
            </w:r>
          </w:p>
        </w:tc>
        <w:tc>
          <w:tcPr>
            <w:tcW w:w="1660" w:type="dxa"/>
            <w:vMerge w:val="restart"/>
            <w:tcBorders>
              <w:top w:val="single" w:color="auto" w:sz="4" w:space="0"/>
              <w:tl2br w:val="nil"/>
              <w:tr2bl w:val="nil"/>
            </w:tcBorders>
          </w:tcPr>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业务部门</w:t>
            </w: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21"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7</w:t>
            </w:r>
          </w:p>
        </w:tc>
        <w:tc>
          <w:tcPr>
            <w:tcW w:w="191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安全承诺</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企业三年无一般及以上安全生产责任事故及提供材料证实性承诺，提供国家企业信用信息公示系统查询结果，并均加盖公章。</w:t>
            </w:r>
          </w:p>
        </w:tc>
        <w:tc>
          <w:tcPr>
            <w:tcW w:w="1660" w:type="dxa"/>
            <w:vMerge w:val="continue"/>
            <w:tcBorders>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trPr>
        <w:tc>
          <w:tcPr>
            <w:tcW w:w="521"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8</w:t>
            </w:r>
          </w:p>
        </w:tc>
        <w:tc>
          <w:tcPr>
            <w:tcW w:w="191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安全施工（作业）方案</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1、施工方案：安全管理网络、施工方式、作业流程、技术方案措施、环保方案措施等；</w:t>
            </w:r>
            <w:r>
              <w:rPr>
                <w:rFonts w:ascii="宋体" w:hAnsi="宋体" w:eastAsia="宋体" w:cs="仿宋_GB2312"/>
                <w:bCs/>
                <w:szCs w:val="21"/>
                <w:lang w:bidi="ar"/>
              </w:rPr>
              <w:t xml:space="preserve"> </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4、应急处置措施：即发生事故后的应急处置措施，如何抢救伤者、如何逃离、如何扑灭初起火灾、如何进行事故报告等。</w:t>
            </w:r>
          </w:p>
        </w:tc>
        <w:tc>
          <w:tcPr>
            <w:tcW w:w="1660" w:type="dxa"/>
            <w:vMerge w:val="continue"/>
            <w:tcBorders>
              <w:tl2br w:val="nil"/>
              <w:tr2bl w:val="nil"/>
            </w:tcBorders>
            <w:vAlign w:val="center"/>
          </w:tcPr>
          <w:p>
            <w:pPr>
              <w:widowControl/>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521"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9</w:t>
            </w:r>
          </w:p>
        </w:tc>
        <w:tc>
          <w:tcPr>
            <w:tcW w:w="1918"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拟进厂设备登记表</w:t>
            </w:r>
          </w:p>
        </w:tc>
        <w:tc>
          <w:tcPr>
            <w:tcW w:w="6521" w:type="dxa"/>
            <w:vMerge w:val="restart"/>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2、特种设备使用登记证、检测报告与实际设备设施相符，复印加盖单位公章。</w:t>
            </w:r>
          </w:p>
        </w:tc>
        <w:tc>
          <w:tcPr>
            <w:tcW w:w="1660" w:type="dxa"/>
            <w:vMerge w:val="restart"/>
            <w:tcBorders>
              <w:tl2br w:val="nil"/>
              <w:tr2bl w:val="nil"/>
            </w:tcBorders>
          </w:tcPr>
          <w:p>
            <w:pPr>
              <w:widowControl/>
              <w:spacing w:line="340" w:lineRule="exact"/>
              <w:rPr>
                <w:rFonts w:ascii="宋体" w:hAnsi="宋体" w:eastAsia="宋体" w:cs="仿宋_GB2312"/>
                <w:bCs/>
                <w:szCs w:val="21"/>
                <w:lang w:bidi="ar"/>
              </w:rPr>
            </w:pPr>
          </w:p>
          <w:p>
            <w:pPr>
              <w:widowControl/>
              <w:spacing w:line="340" w:lineRule="exact"/>
              <w:rPr>
                <w:rFonts w:ascii="宋体" w:hAnsi="宋体" w:eastAsia="宋体" w:cs="仿宋_GB2312"/>
                <w:bCs/>
                <w:szCs w:val="21"/>
                <w:lang w:bidi="ar"/>
              </w:rPr>
            </w:pPr>
            <w:r>
              <w:rPr>
                <w:rFonts w:hint="eastAsia" w:ascii="宋体" w:hAnsi="宋体" w:eastAsia="宋体" w:cs="仿宋_GB2312"/>
                <w:bCs/>
                <w:szCs w:val="21"/>
                <w:lang w:bidi="ar"/>
              </w:rPr>
              <w:t>业务部门自查、</w:t>
            </w: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设备部检查、</w:t>
            </w: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安全生产部抽查</w:t>
            </w:r>
          </w:p>
        </w:tc>
        <w:tc>
          <w:tcPr>
            <w:tcW w:w="1106"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521"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1918"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6521" w:type="dxa"/>
            <w:vMerge w:val="continue"/>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p>
        </w:tc>
        <w:tc>
          <w:tcPr>
            <w:tcW w:w="1660" w:type="dxa"/>
            <w:vMerge w:val="continue"/>
            <w:tcBorders>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trPr>
        <w:tc>
          <w:tcPr>
            <w:tcW w:w="521"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1918"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6521" w:type="dxa"/>
            <w:vMerge w:val="continue"/>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p>
        </w:tc>
        <w:tc>
          <w:tcPr>
            <w:tcW w:w="1660" w:type="dxa"/>
            <w:vMerge w:val="continue"/>
            <w:tcBorders>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521"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1</w:t>
            </w:r>
            <w:r>
              <w:rPr>
                <w:rFonts w:ascii="宋体" w:hAnsi="宋体" w:eastAsia="宋体" w:cs="仿宋_GB2312"/>
                <w:bCs/>
                <w:szCs w:val="21"/>
                <w:lang w:bidi="ar"/>
              </w:rPr>
              <w:t>0</w:t>
            </w:r>
          </w:p>
        </w:tc>
        <w:tc>
          <w:tcPr>
            <w:tcW w:w="1918"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拟进场作业人员清单及身份证件</w:t>
            </w:r>
          </w:p>
        </w:tc>
        <w:tc>
          <w:tcPr>
            <w:tcW w:w="6521" w:type="dxa"/>
            <w:vMerge w:val="restart"/>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人员信息包括序号、姓名、性别、出生年月、文化程度、所在岗位和资格证书、血型、健康状况、保险有效期、紧急联系人及电话等。作业人员年龄必须符合《劳动法》要求，普工年龄男不大于60周岁、女不大于</w:t>
            </w:r>
            <w:r>
              <w:rPr>
                <w:rFonts w:ascii="宋体" w:hAnsi="宋体" w:eastAsia="宋体" w:cs="仿宋_GB2312"/>
                <w:bCs/>
                <w:szCs w:val="21"/>
                <w:lang w:bidi="ar"/>
              </w:rPr>
              <w:t>50</w:t>
            </w:r>
            <w:r>
              <w:rPr>
                <w:rFonts w:hint="eastAsia" w:ascii="宋体" w:hAnsi="宋体" w:eastAsia="宋体" w:cs="仿宋_GB2312"/>
                <w:bCs/>
                <w:szCs w:val="21"/>
                <w:lang w:bidi="ar"/>
              </w:rPr>
              <w:t>周岁；对年龄有特殊规定的，按照规定执行，如清库作业为21～50周岁。</w:t>
            </w:r>
          </w:p>
        </w:tc>
        <w:tc>
          <w:tcPr>
            <w:tcW w:w="1660" w:type="dxa"/>
            <w:vMerge w:val="restart"/>
            <w:tcBorders>
              <w:tl2br w:val="nil"/>
              <w:tr2bl w:val="nil"/>
            </w:tcBorders>
          </w:tcPr>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业务部门自查、</w:t>
            </w: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安全生产部审核</w:t>
            </w:r>
          </w:p>
        </w:tc>
        <w:tc>
          <w:tcPr>
            <w:tcW w:w="1106" w:type="dxa"/>
            <w:tcBorders>
              <w:top w:val="single" w:color="auto" w:sz="4" w:space="0"/>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op w:val="single" w:color="auto" w:sz="4" w:space="0"/>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 w:hRule="atLeast"/>
        </w:trPr>
        <w:tc>
          <w:tcPr>
            <w:tcW w:w="521"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1918"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6521" w:type="dxa"/>
            <w:vMerge w:val="continue"/>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p>
        </w:tc>
        <w:tc>
          <w:tcPr>
            <w:tcW w:w="1660" w:type="dxa"/>
            <w:vMerge w:val="continue"/>
            <w:tcBorders>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2" w:hRule="atLeast"/>
        </w:trPr>
        <w:tc>
          <w:tcPr>
            <w:tcW w:w="521"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11</w:t>
            </w:r>
          </w:p>
        </w:tc>
        <w:tc>
          <w:tcPr>
            <w:tcW w:w="1918"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拟进场作业人员缴纳工伤保险或人身意外伤害险证明</w:t>
            </w:r>
          </w:p>
        </w:tc>
        <w:tc>
          <w:tcPr>
            <w:tcW w:w="6521" w:type="dxa"/>
            <w:vMerge w:val="restart"/>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1、提供的保险证明需由社保局或保险公司提供，并有社保局或保险公司印章。</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2、人身意外伤害险保额不应低于工伤保险一次性工亡补助金的额度。</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3、保险的范围要包括作业项目。</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4、</w:t>
            </w:r>
            <w:r>
              <w:rPr>
                <w:rFonts w:ascii="宋体" w:hAnsi="宋体" w:eastAsia="宋体" w:cs="仿宋_GB2312"/>
                <w:bCs/>
                <w:szCs w:val="21"/>
                <w:lang w:bidi="ar"/>
              </w:rPr>
              <w:t>第一类：国家机关</w:t>
            </w:r>
            <w:r>
              <w:rPr>
                <w:rFonts w:hint="eastAsia" w:ascii="宋体" w:hAnsi="宋体" w:eastAsia="宋体" w:cs="仿宋_GB2312"/>
                <w:bCs/>
                <w:szCs w:val="21"/>
                <w:lang w:bidi="ar"/>
              </w:rPr>
              <w:t>、</w:t>
            </w:r>
            <w:r>
              <w:rPr>
                <w:rFonts w:ascii="宋体" w:hAnsi="宋体" w:eastAsia="宋体" w:cs="仿宋_GB2312"/>
                <w:bCs/>
                <w:szCs w:val="21"/>
                <w:lang w:bidi="ar"/>
              </w:rPr>
              <w:t>企业、事业单位负责人； 第二类：专业技术人员； 第三类：办事人员和有关人员；第四类：商业、服务业人员。</w:t>
            </w:r>
            <w:r>
              <w:rPr>
                <w:rFonts w:hint="eastAsia" w:ascii="宋体" w:hAnsi="宋体" w:eastAsia="宋体" w:cs="仿宋_GB2312"/>
                <w:bCs/>
                <w:szCs w:val="21"/>
                <w:lang w:bidi="ar"/>
              </w:rPr>
              <w:t>第五类：危险性较高的工作；如高空作业、电工、焊工、起重、叉车等。第六</w:t>
            </w:r>
            <w:r>
              <w:rPr>
                <w:rFonts w:ascii="宋体" w:hAnsi="宋体" w:eastAsia="宋体" w:cs="仿宋_GB2312"/>
                <w:bCs/>
                <w:szCs w:val="21"/>
                <w:lang w:bidi="ar"/>
              </w:rPr>
              <w:t>类</w:t>
            </w:r>
            <w:r>
              <w:rPr>
                <w:rFonts w:hint="eastAsia" w:ascii="宋体" w:hAnsi="宋体" w:eastAsia="宋体" w:cs="仿宋_GB2312"/>
                <w:bCs/>
                <w:szCs w:val="21"/>
                <w:lang w:bidi="ar"/>
              </w:rPr>
              <w:t>：</w:t>
            </w:r>
            <w:r>
              <w:rPr>
                <w:rFonts w:ascii="宋体" w:hAnsi="宋体" w:eastAsia="宋体" w:cs="仿宋_GB2312"/>
                <w:bCs/>
                <w:szCs w:val="21"/>
                <w:lang w:bidi="ar"/>
              </w:rPr>
              <w:t>从事的工作风险系数很高，</w:t>
            </w:r>
            <w:r>
              <w:rPr>
                <w:rFonts w:hint="eastAsia" w:ascii="宋体" w:hAnsi="宋体" w:eastAsia="宋体" w:cs="仿宋_GB2312"/>
                <w:bCs/>
                <w:szCs w:val="21"/>
                <w:lang w:bidi="ar"/>
              </w:rPr>
              <w:t>如消防员、水手、前线军人等</w:t>
            </w:r>
            <w:r>
              <w:rPr>
                <w:rFonts w:ascii="宋体" w:hAnsi="宋体" w:eastAsia="宋体" w:cs="仿宋_GB2312"/>
                <w:bCs/>
                <w:szCs w:val="21"/>
                <w:lang w:bidi="ar"/>
              </w:rPr>
              <w:t>。</w:t>
            </w:r>
          </w:p>
        </w:tc>
        <w:tc>
          <w:tcPr>
            <w:tcW w:w="1660" w:type="dxa"/>
            <w:vMerge w:val="restart"/>
            <w:tcBorders>
              <w:tl2br w:val="nil"/>
              <w:tr2bl w:val="nil"/>
            </w:tcBorders>
          </w:tcPr>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业务部门自查、</w:t>
            </w: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办公室审核</w:t>
            </w:r>
          </w:p>
        </w:tc>
        <w:tc>
          <w:tcPr>
            <w:tcW w:w="1106" w:type="dxa"/>
            <w:tcBorders>
              <w:top w:val="single" w:color="auto" w:sz="4" w:space="0"/>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op w:val="single" w:color="auto" w:sz="4" w:space="0"/>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bottom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9" w:hRule="atLeast"/>
        </w:trPr>
        <w:tc>
          <w:tcPr>
            <w:tcW w:w="521"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1918"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6521" w:type="dxa"/>
            <w:vMerge w:val="continue"/>
            <w:tcBorders>
              <w:tl2br w:val="nil"/>
              <w:tr2bl w:val="nil"/>
            </w:tcBorders>
            <w:shd w:val="clear" w:color="auto" w:fill="auto"/>
            <w:vAlign w:val="center"/>
          </w:tcPr>
          <w:p>
            <w:pPr>
              <w:rPr>
                <w:rFonts w:ascii="宋体" w:hAnsi="宋体" w:eastAsia="宋体" w:cs="仿宋_GB2312"/>
                <w:bCs/>
                <w:szCs w:val="21"/>
                <w:lang w:bidi="ar"/>
              </w:rPr>
            </w:pPr>
          </w:p>
        </w:tc>
        <w:tc>
          <w:tcPr>
            <w:tcW w:w="1660" w:type="dxa"/>
            <w:vMerge w:val="continue"/>
            <w:tcBorders>
              <w:tl2br w:val="nil"/>
              <w:tr2bl w:val="nil"/>
            </w:tcBorders>
          </w:tcPr>
          <w:p>
            <w:pPr>
              <w:widowControl/>
              <w:spacing w:line="340" w:lineRule="exact"/>
              <w:jc w:val="center"/>
              <w:rPr>
                <w:rFonts w:ascii="宋体" w:hAnsi="宋体" w:eastAsia="宋体" w:cs="仿宋_GB2312"/>
                <w:bCs/>
                <w:szCs w:val="21"/>
                <w:lang w:bidi="ar"/>
              </w:rPr>
            </w:pPr>
          </w:p>
        </w:tc>
        <w:tc>
          <w:tcPr>
            <w:tcW w:w="1106"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521"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12</w:t>
            </w:r>
          </w:p>
        </w:tc>
        <w:tc>
          <w:tcPr>
            <w:tcW w:w="1918" w:type="dxa"/>
            <w:vMerge w:val="restart"/>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全体项目人员的安全教育培训考核记录</w:t>
            </w:r>
          </w:p>
        </w:tc>
        <w:tc>
          <w:tcPr>
            <w:tcW w:w="6521" w:type="dxa"/>
            <w:vMerge w:val="restart"/>
            <w:tcBorders>
              <w:tl2br w:val="nil"/>
              <w:tr2bl w:val="nil"/>
            </w:tcBorders>
            <w:shd w:val="clear" w:color="auto" w:fill="auto"/>
            <w:vAlign w:val="center"/>
          </w:tcPr>
          <w:p>
            <w:pPr>
              <w:rPr>
                <w:rFonts w:ascii="宋体" w:hAnsi="宋体" w:eastAsia="宋体" w:cs="仿宋_GB2312"/>
                <w:bCs/>
                <w:szCs w:val="21"/>
                <w:lang w:bidi="ar"/>
              </w:rPr>
            </w:pPr>
            <w:r>
              <w:rPr>
                <w:rFonts w:hint="eastAsia" w:ascii="宋体" w:hAnsi="宋体" w:eastAsia="宋体" w:cs="仿宋_GB2312"/>
                <w:bCs/>
                <w:szCs w:val="21"/>
                <w:lang w:bidi="ar"/>
              </w:rPr>
              <w:t>提供每名进场作业人员考试试卷，必须本人答题，不得出现代答代签、替考问题，得分、判分有效，不得随意涂改；加盖公司公章。</w:t>
            </w:r>
          </w:p>
        </w:tc>
        <w:tc>
          <w:tcPr>
            <w:tcW w:w="1660" w:type="dxa"/>
            <w:vMerge w:val="restart"/>
            <w:tcBorders>
              <w:tl2br w:val="nil"/>
              <w:tr2bl w:val="nil"/>
            </w:tcBorders>
          </w:tcPr>
          <w:p>
            <w:pPr>
              <w:widowControl/>
              <w:spacing w:line="340" w:lineRule="exact"/>
              <w:rPr>
                <w:rFonts w:ascii="宋体" w:hAnsi="宋体" w:eastAsia="宋体" w:cs="仿宋_GB2312"/>
                <w:bCs/>
                <w:szCs w:val="21"/>
                <w:lang w:bidi="ar"/>
              </w:rPr>
            </w:pPr>
            <w:r>
              <w:rPr>
                <w:rFonts w:hint="eastAsia" w:ascii="宋体" w:hAnsi="宋体" w:eastAsia="宋体" w:cs="仿宋_GB2312"/>
                <w:bCs/>
                <w:szCs w:val="21"/>
                <w:lang w:bidi="ar"/>
              </w:rPr>
              <w:t>业务部门自查、</w:t>
            </w: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安全生产部</w:t>
            </w:r>
          </w:p>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审核</w:t>
            </w:r>
          </w:p>
        </w:tc>
        <w:tc>
          <w:tcPr>
            <w:tcW w:w="1106"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r>
              <w:rPr>
                <w:rFonts w:ascii="宋体" w:hAnsi="宋体" w:eastAsia="宋体" w:cs="仿宋_GB2312"/>
                <w:bCs/>
                <w:szCs w:val="21"/>
              </w:rPr>
              <w:drawing>
                <wp:inline distT="0" distB="0" distL="0" distR="0">
                  <wp:extent cx="10287000" cy="12150725"/>
                  <wp:effectExtent l="0" t="0" r="0" b="3175"/>
                  <wp:docPr id="4" name="图片 4" descr="C:\Users\ADMINI~1\AppData\Local\Temp\WeChat Files\dff3ebf82504ce7aa9cc176fc477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dff3ebf82504ce7aa9cc176fc4772a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287000" cy="12150725"/>
                          </a:xfrm>
                          <a:prstGeom prst="rect">
                            <a:avLst/>
                          </a:prstGeom>
                          <a:noFill/>
                          <a:ln>
                            <a:noFill/>
                          </a:ln>
                        </pic:spPr>
                      </pic:pic>
                    </a:graphicData>
                  </a:graphic>
                </wp:inline>
              </w:drawing>
            </w:r>
          </w:p>
        </w:tc>
        <w:tc>
          <w:tcPr>
            <w:tcW w:w="1244"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trPr>
        <w:tc>
          <w:tcPr>
            <w:tcW w:w="521"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1918" w:type="dxa"/>
            <w:vMerge w:val="continue"/>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p>
        </w:tc>
        <w:tc>
          <w:tcPr>
            <w:tcW w:w="6521" w:type="dxa"/>
            <w:vMerge w:val="continue"/>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p>
        </w:tc>
        <w:tc>
          <w:tcPr>
            <w:tcW w:w="1660" w:type="dxa"/>
            <w:vMerge w:val="continue"/>
            <w:tcBorders>
              <w:tl2br w:val="nil"/>
              <w:tr2bl w:val="nil"/>
            </w:tcBorders>
            <w:vAlign w:val="center"/>
          </w:tcPr>
          <w:p>
            <w:pPr>
              <w:widowControl/>
              <w:spacing w:line="340" w:lineRule="exact"/>
              <w:jc w:val="center"/>
              <w:rPr>
                <w:rFonts w:ascii="宋体" w:hAnsi="宋体" w:eastAsia="宋体" w:cs="仿宋_GB2312"/>
                <w:bCs/>
                <w:szCs w:val="21"/>
                <w:lang w:bidi="ar"/>
              </w:rPr>
            </w:pPr>
          </w:p>
        </w:tc>
        <w:tc>
          <w:tcPr>
            <w:tcW w:w="1106"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op w:val="single" w:color="auto" w:sz="4" w:space="0"/>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trPr>
        <w:tc>
          <w:tcPr>
            <w:tcW w:w="521"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13</w:t>
            </w:r>
            <w:r>
              <w:rPr>
                <w:rFonts w:hint="eastAsia" w:ascii="宋体" w:hAnsi="宋体" w:eastAsia="宋体" w:cs="仿宋_GB2312"/>
                <w:bCs/>
                <w:szCs w:val="21"/>
                <w:lang w:bidi="ar"/>
              </w:rPr>
              <w:t>※</w:t>
            </w:r>
          </w:p>
        </w:tc>
        <w:tc>
          <w:tcPr>
            <w:tcW w:w="191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※三项管理制度及生产安全事故应急救援预案</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提供安全生产责任制、安全管理制度和岗位安全操作规程目录，提供涉及本项目的生产安全事故应急救援预案，复印加盖单位公章。</w:t>
            </w:r>
          </w:p>
        </w:tc>
        <w:tc>
          <w:tcPr>
            <w:tcW w:w="1660" w:type="dxa"/>
            <w:vMerge w:val="restart"/>
            <w:tcBorders>
              <w:tl2br w:val="nil"/>
              <w:tr2bl w:val="nil"/>
            </w:tcBorders>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安全生产部</w:t>
            </w:r>
          </w:p>
          <w:p>
            <w:pPr>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3" w:hRule="atLeast"/>
        </w:trPr>
        <w:tc>
          <w:tcPr>
            <w:tcW w:w="521"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14</w:t>
            </w:r>
            <w:r>
              <w:rPr>
                <w:rFonts w:hint="eastAsia" w:ascii="宋体" w:hAnsi="宋体" w:eastAsia="宋体" w:cs="仿宋_GB2312"/>
                <w:bCs/>
                <w:szCs w:val="21"/>
                <w:lang w:bidi="ar"/>
              </w:rPr>
              <w:t>※</w:t>
            </w:r>
          </w:p>
        </w:tc>
        <w:tc>
          <w:tcPr>
            <w:tcW w:w="191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项目负责人、拟进场专（兼）职安全管理人员的证书及特种作业人员操作证</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1、项目负责人、安全管理人员培训合格证明必须真实有效，且在有效期内，加盖单位公章。提供的安全管理人员必须在本次作业人员名单中，并负责现场安全。</w:t>
            </w:r>
          </w:p>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2、特种作业人员操作证应提供国家应急管理部网站查询结果纸质版并加盖公司公章。</w:t>
            </w:r>
          </w:p>
        </w:tc>
        <w:tc>
          <w:tcPr>
            <w:tcW w:w="1660" w:type="dxa"/>
            <w:vMerge w:val="continue"/>
            <w:tcBorders>
              <w:tl2br w:val="nil"/>
              <w:tr2bl w:val="nil"/>
            </w:tcBorders>
            <w:vAlign w:val="center"/>
          </w:tcPr>
          <w:p>
            <w:pPr>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r>
              <w:rPr>
                <w:rFonts w:ascii="宋体" w:hAnsi="宋体" w:eastAsia="宋体" w:cs="仿宋_GB2312"/>
                <w:bCs/>
                <w:szCs w:val="21"/>
              </w:rPr>
              <w:drawing>
                <wp:inline distT="0" distB="0" distL="0" distR="0">
                  <wp:extent cx="10287000" cy="12150725"/>
                  <wp:effectExtent l="0" t="0" r="0" b="3175"/>
                  <wp:docPr id="5" name="图片 5" descr="C:\Users\ADMINI~1\AppData\Local\Temp\WeChat Files\dff3ebf82504ce7aa9cc176fc477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dff3ebf82504ce7aa9cc176fc4772a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287000" cy="12150725"/>
                          </a:xfrm>
                          <a:prstGeom prst="rect">
                            <a:avLst/>
                          </a:prstGeom>
                          <a:noFill/>
                          <a:ln>
                            <a:noFill/>
                          </a:ln>
                        </pic:spPr>
                      </pic:pic>
                    </a:graphicData>
                  </a:graphic>
                </wp:inline>
              </w:drawing>
            </w: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trPr>
        <w:tc>
          <w:tcPr>
            <w:tcW w:w="521"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15</w:t>
            </w:r>
            <w:r>
              <w:rPr>
                <w:rFonts w:hint="eastAsia" w:ascii="宋体" w:hAnsi="宋体" w:eastAsia="宋体" w:cs="仿宋_GB2312"/>
                <w:bCs/>
                <w:szCs w:val="21"/>
                <w:lang w:bidi="ar"/>
              </w:rPr>
              <w:t>※</w:t>
            </w:r>
          </w:p>
        </w:tc>
        <w:tc>
          <w:tcPr>
            <w:tcW w:w="191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涉及职业禁忌症作业人员的健康体检证明</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对电工、焊工等特种作业人员要提供由县级以上医院开具的体检报告原件及复印件。</w:t>
            </w:r>
          </w:p>
        </w:tc>
        <w:tc>
          <w:tcPr>
            <w:tcW w:w="1660" w:type="dxa"/>
            <w:vMerge w:val="continue"/>
            <w:tcBorders>
              <w:tl2br w:val="nil"/>
              <w:tr2bl w:val="nil"/>
            </w:tcBorders>
          </w:tcPr>
          <w:p>
            <w:pPr>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 w:hRule="atLeast"/>
        </w:trPr>
        <w:tc>
          <w:tcPr>
            <w:tcW w:w="521"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16</w:t>
            </w:r>
            <w:r>
              <w:rPr>
                <w:rFonts w:hint="eastAsia" w:ascii="宋体" w:hAnsi="宋体" w:eastAsia="宋体" w:cs="仿宋_GB2312"/>
                <w:bCs/>
                <w:szCs w:val="21"/>
                <w:lang w:bidi="ar"/>
              </w:rPr>
              <w:t>※</w:t>
            </w:r>
          </w:p>
        </w:tc>
        <w:tc>
          <w:tcPr>
            <w:tcW w:w="191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涉及职业健康危害岗位人员的职业健康岗前体检证明</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作业人员职业健康体检项目必须包含噪声、粉尘、高温项目（如作业项目确实不包含上述三项，经确认可减少），其他项目可根据实际情况进行添加。</w:t>
            </w:r>
          </w:p>
        </w:tc>
        <w:tc>
          <w:tcPr>
            <w:tcW w:w="1660" w:type="dxa"/>
            <w:vMerge w:val="continue"/>
            <w:tcBorders>
              <w:tl2br w:val="nil"/>
              <w:tr2bl w:val="nil"/>
            </w:tcBorders>
            <w:vAlign w:val="center"/>
          </w:tcPr>
          <w:p>
            <w:pPr>
              <w:widowControl/>
              <w:spacing w:line="340" w:lineRule="exact"/>
              <w:jc w:val="center"/>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atLeast"/>
        </w:trPr>
        <w:tc>
          <w:tcPr>
            <w:tcW w:w="521"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17</w:t>
            </w:r>
            <w:r>
              <w:rPr>
                <w:rFonts w:hint="eastAsia" w:ascii="宋体" w:hAnsi="宋体" w:eastAsia="宋体" w:cs="仿宋_GB2312"/>
                <w:bCs/>
                <w:szCs w:val="21"/>
                <w:lang w:bidi="ar"/>
              </w:rPr>
              <w:t>※</w:t>
            </w:r>
          </w:p>
        </w:tc>
        <w:tc>
          <w:tcPr>
            <w:tcW w:w="191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安全施工保证金</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r>
              <w:rPr>
                <w:rFonts w:hint="eastAsia" w:ascii="宋体" w:hAnsi="宋体" w:eastAsia="宋体" w:cs="仿宋_GB2312"/>
                <w:bCs/>
                <w:szCs w:val="21"/>
                <w:lang w:bidi="ar"/>
              </w:rPr>
              <w:t>按照项目进行缴纳，每个项目均需缴纳安全保证金，金额按照合同标的2%-10%（最低不少于5000元，最高不多于20万元）；如外包单位没有缴纳安全责任险或意外险，需缴纳不低于1</w:t>
            </w:r>
            <w:r>
              <w:rPr>
                <w:rFonts w:ascii="宋体" w:hAnsi="宋体" w:eastAsia="宋体" w:cs="仿宋_GB2312"/>
                <w:bCs/>
                <w:szCs w:val="21"/>
                <w:lang w:bidi="ar"/>
              </w:rPr>
              <w:t>50</w:t>
            </w:r>
            <w:r>
              <w:rPr>
                <w:rFonts w:hint="eastAsia" w:ascii="宋体" w:hAnsi="宋体" w:eastAsia="宋体" w:cs="仿宋_GB2312"/>
                <w:bCs/>
                <w:szCs w:val="21"/>
                <w:lang w:bidi="ar"/>
              </w:rPr>
              <w:t>万元的安全施工保证金，中标后收取。</w:t>
            </w:r>
          </w:p>
        </w:tc>
        <w:tc>
          <w:tcPr>
            <w:tcW w:w="1660" w:type="dxa"/>
            <w:vMerge w:val="continue"/>
            <w:tcBorders>
              <w:tl2br w:val="nil"/>
              <w:tr2bl w:val="nil"/>
            </w:tcBorders>
          </w:tcPr>
          <w:p>
            <w:pPr>
              <w:widowControl/>
              <w:spacing w:line="340" w:lineRule="exact"/>
              <w:jc w:val="left"/>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21"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ascii="宋体" w:hAnsi="宋体" w:eastAsia="宋体" w:cs="仿宋_GB2312"/>
                <w:bCs/>
                <w:szCs w:val="21"/>
                <w:lang w:bidi="ar"/>
              </w:rPr>
              <w:t>18</w:t>
            </w:r>
          </w:p>
        </w:tc>
        <w:tc>
          <w:tcPr>
            <w:tcW w:w="191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lang w:bidi="ar"/>
              </w:rPr>
            </w:pPr>
            <w:r>
              <w:rPr>
                <w:rFonts w:hint="eastAsia" w:ascii="宋体" w:hAnsi="宋体" w:eastAsia="宋体" w:cs="仿宋_GB2312"/>
                <w:bCs/>
                <w:szCs w:val="21"/>
                <w:lang w:bidi="ar"/>
              </w:rPr>
              <w:t>视具体情况需要审查的其他有关材料</w:t>
            </w:r>
          </w:p>
        </w:tc>
        <w:tc>
          <w:tcPr>
            <w:tcW w:w="652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lang w:bidi="ar"/>
              </w:rPr>
            </w:pPr>
          </w:p>
        </w:tc>
        <w:tc>
          <w:tcPr>
            <w:tcW w:w="1660" w:type="dxa"/>
            <w:tcBorders>
              <w:tl2br w:val="nil"/>
              <w:tr2bl w:val="nil"/>
            </w:tcBorders>
          </w:tcPr>
          <w:p>
            <w:pPr>
              <w:widowControl/>
              <w:spacing w:line="340" w:lineRule="exact"/>
              <w:jc w:val="left"/>
              <w:rPr>
                <w:rFonts w:ascii="宋体" w:hAnsi="宋体" w:eastAsia="宋体" w:cs="仿宋_GB2312"/>
                <w:bCs/>
                <w:szCs w:val="21"/>
                <w:lang w:bidi="ar"/>
              </w:rPr>
            </w:pPr>
          </w:p>
        </w:tc>
        <w:tc>
          <w:tcPr>
            <w:tcW w:w="1106" w:type="dxa"/>
            <w:tcBorders>
              <w:tl2br w:val="nil"/>
              <w:tr2bl w:val="nil"/>
            </w:tcBorders>
          </w:tcPr>
          <w:p>
            <w:pPr>
              <w:widowControl/>
              <w:spacing w:line="340" w:lineRule="exact"/>
              <w:jc w:val="left"/>
              <w:rPr>
                <w:rFonts w:ascii="宋体" w:hAnsi="宋体" w:eastAsia="宋体" w:cs="仿宋_GB2312"/>
                <w:bCs/>
                <w:szCs w:val="21"/>
                <w:lang w:bidi="ar"/>
              </w:rPr>
            </w:pPr>
          </w:p>
        </w:tc>
        <w:tc>
          <w:tcPr>
            <w:tcW w:w="1244" w:type="dxa"/>
            <w:tcBorders>
              <w:tl2br w:val="nil"/>
              <w:tr2bl w:val="nil"/>
            </w:tcBorders>
          </w:tcPr>
          <w:p>
            <w:pPr>
              <w:widowControl/>
              <w:spacing w:line="340" w:lineRule="exact"/>
              <w:jc w:val="left"/>
              <w:rPr>
                <w:rFonts w:ascii="宋体" w:hAnsi="宋体" w:eastAsia="宋体" w:cs="仿宋_GB2312"/>
                <w:bCs/>
                <w:szCs w:val="21"/>
                <w:lang w:bidi="ar"/>
              </w:rPr>
            </w:pPr>
          </w:p>
        </w:tc>
        <w:tc>
          <w:tcPr>
            <w:tcW w:w="1108" w:type="dxa"/>
            <w:tcBorders>
              <w:tl2br w:val="nil"/>
              <w:tr2bl w:val="nil"/>
            </w:tcBorders>
          </w:tcPr>
          <w:p>
            <w:pPr>
              <w:widowControl/>
              <w:spacing w:line="340" w:lineRule="exact"/>
              <w:jc w:val="left"/>
              <w:rPr>
                <w:rFonts w:ascii="宋体" w:hAnsi="宋体" w:eastAsia="宋体" w:cs="仿宋_GB2312"/>
                <w:bCs/>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trPr>
        <w:tc>
          <w:tcPr>
            <w:tcW w:w="521"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sz w:val="24"/>
                <w:szCs w:val="24"/>
                <w:lang w:bidi="ar"/>
              </w:rPr>
            </w:pPr>
            <w:r>
              <w:rPr>
                <w:rFonts w:hint="eastAsia" w:ascii="宋体" w:hAnsi="宋体" w:eastAsia="宋体" w:cs="仿宋_GB2312"/>
                <w:b/>
                <w:bCs/>
                <w:sz w:val="24"/>
                <w:szCs w:val="24"/>
                <w:lang w:bidi="ar"/>
              </w:rPr>
              <w:t>备注</w:t>
            </w:r>
          </w:p>
        </w:tc>
        <w:tc>
          <w:tcPr>
            <w:tcW w:w="13557" w:type="dxa"/>
            <w:gridSpan w:val="6"/>
            <w:tcBorders>
              <w:tl2br w:val="nil"/>
              <w:tr2bl w:val="nil"/>
            </w:tcBorders>
            <w:shd w:val="clear" w:color="auto" w:fill="auto"/>
            <w:noWrap/>
            <w:vAlign w:val="center"/>
          </w:tcPr>
          <w:p>
            <w:pPr>
              <w:pStyle w:val="449"/>
              <w:spacing w:line="400" w:lineRule="exact"/>
              <w:ind w:firstLine="0" w:firstLineChars="0"/>
              <w:rPr>
                <w:rFonts w:hint="default" w:ascii="宋体" w:hAnsi="宋体" w:eastAsia="宋体" w:cs="仿宋_GB2312"/>
                <w:bCs/>
                <w:sz w:val="21"/>
                <w:szCs w:val="21"/>
                <w:lang w:bidi="ar"/>
              </w:rPr>
            </w:pPr>
            <w:r>
              <w:rPr>
                <w:rFonts w:ascii="宋体" w:hAnsi="宋体" w:eastAsia="宋体" w:cs="仿宋_GB2312"/>
                <w:bCs/>
                <w:sz w:val="21"/>
                <w:szCs w:val="21"/>
                <w:lang w:bidi="ar"/>
              </w:rPr>
              <w:t>1、发包部门（如企业管理部、设备部、物资部门、合同签订等）负责将此审查清单提前交至投标单位，准备相关资料材料；</w:t>
            </w:r>
          </w:p>
          <w:p>
            <w:pPr>
              <w:pStyle w:val="449"/>
              <w:spacing w:line="400" w:lineRule="exact"/>
              <w:ind w:firstLine="0" w:firstLineChars="0"/>
              <w:rPr>
                <w:rFonts w:hint="default" w:ascii="宋体" w:hAnsi="宋体" w:eastAsia="宋体" w:cs="仿宋_GB2312"/>
                <w:bCs/>
                <w:sz w:val="21"/>
                <w:szCs w:val="21"/>
                <w:lang w:bidi="ar"/>
              </w:rPr>
            </w:pPr>
            <w:r>
              <w:rPr>
                <w:rFonts w:ascii="宋体" w:hAnsi="宋体" w:eastAsia="宋体" w:cs="仿宋_GB2312"/>
                <w:bCs/>
                <w:sz w:val="21"/>
                <w:szCs w:val="21"/>
                <w:lang w:bidi="ar"/>
              </w:rPr>
              <w:t>2、企业成立评标委员会或评标小组对投标单位的资质进行审查；</w:t>
            </w:r>
          </w:p>
          <w:p>
            <w:pPr>
              <w:pStyle w:val="449"/>
              <w:spacing w:line="400" w:lineRule="exact"/>
              <w:ind w:firstLine="0" w:firstLineChars="0"/>
              <w:rPr>
                <w:rFonts w:hint="default" w:ascii="宋体" w:hAnsi="宋体" w:eastAsia="宋体" w:cs="仿宋_GB2312"/>
                <w:bCs/>
                <w:sz w:val="21"/>
                <w:szCs w:val="21"/>
                <w:lang w:bidi="ar"/>
              </w:rPr>
            </w:pPr>
            <w:r>
              <w:rPr>
                <w:rFonts w:ascii="宋体" w:hAnsi="宋体" w:eastAsia="宋体" w:cs="仿宋_GB2312"/>
                <w:bCs/>
                <w:sz w:val="21"/>
                <w:szCs w:val="21"/>
                <w:lang w:bidi="ar"/>
              </w:rPr>
              <w:t>3、上述材料中均需审查原件，存档复印件需加盖外包单位公章；</w:t>
            </w:r>
          </w:p>
          <w:p>
            <w:pPr>
              <w:pStyle w:val="449"/>
              <w:spacing w:line="400" w:lineRule="exact"/>
              <w:ind w:firstLine="0" w:firstLineChars="0"/>
              <w:rPr>
                <w:rFonts w:hint="default" w:ascii="宋体" w:hAnsi="宋体" w:eastAsia="宋体" w:cs="仿宋_GB2312"/>
                <w:bCs/>
                <w:sz w:val="21"/>
                <w:szCs w:val="21"/>
                <w:lang w:bidi="ar"/>
              </w:rPr>
            </w:pPr>
            <w:r>
              <w:rPr>
                <w:rFonts w:hint="default" w:ascii="宋体" w:hAnsi="宋体" w:eastAsia="宋体" w:cs="仿宋_GB2312"/>
                <w:bCs/>
                <w:sz w:val="21"/>
                <w:szCs w:val="21"/>
                <w:lang w:bidi="ar"/>
              </w:rPr>
              <w:t>4</w:t>
            </w:r>
            <w:r>
              <w:rPr>
                <w:rFonts w:ascii="宋体" w:hAnsi="宋体" w:eastAsia="宋体" w:cs="仿宋_GB2312"/>
                <w:bCs/>
                <w:sz w:val="21"/>
                <w:szCs w:val="21"/>
                <w:lang w:bidi="ar"/>
              </w:rPr>
              <w:t>、在中标后，加※项目为再次审查和核验项目，确保施工方案科学合理、进场人员和设备符合安全条件。</w:t>
            </w:r>
          </w:p>
        </w:tc>
      </w:tr>
    </w:tbl>
    <w:p>
      <w:pPr>
        <w:pStyle w:val="2"/>
        <w:widowControl w:val="0"/>
        <w:numPr>
          <w:ilvl w:val="0"/>
          <w:numId w:val="0"/>
        </w:numPr>
        <w:autoSpaceDE w:val="0"/>
        <w:autoSpaceDN w:val="0"/>
        <w:adjustRightInd w:val="0"/>
        <w:rPr>
          <w:rFonts w:hint="eastAsia"/>
          <w:lang w:val="zh-CN" w:eastAsia="zh-CN"/>
        </w:rPr>
      </w:pPr>
    </w:p>
    <w:p>
      <w:pPr>
        <w:pStyle w:val="2"/>
        <w:widowControl w:val="0"/>
        <w:numPr>
          <w:ilvl w:val="0"/>
          <w:numId w:val="0"/>
        </w:numPr>
        <w:autoSpaceDE w:val="0"/>
        <w:autoSpaceDN w:val="0"/>
        <w:adjustRightInd w:val="0"/>
        <w:rPr>
          <w:rFonts w:hint="eastAsia"/>
          <w:lang w:val="zh-CN" w:eastAsia="zh-CN"/>
        </w:rPr>
      </w:pPr>
    </w:p>
    <w:sectPr>
      <w:endnotePr>
        <w:numFmt w:val="decimal"/>
      </w:endnotePr>
      <w:pgSz w:w="15840" w:h="12240" w:orient="landscape"/>
      <w:pgMar w:top="1417" w:right="1417" w:bottom="1417" w:left="1417"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大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PBMSN+StoneSans-Semibold">
    <w:altName w:val="微软雅黑"/>
    <w:panose1 w:val="00000000000000000000"/>
    <w:charset w:val="86"/>
    <w:family w:val="swiss"/>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MT">
    <w:altName w:val="Arial"/>
    <w:panose1 w:val="00000000000000000000"/>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jc w:val="both"/>
      <w:rPr>
        <w:rFonts w:hint="eastAsia"/>
      </w:rPr>
    </w:pPr>
    <w:r>
      <w:rPr>
        <w:rFonts w:hint="eastAsia"/>
      </w:rPr>
      <w:t xml:space="preserve">        </w:t>
    </w:r>
    <w:r>
      <w:t xml:space="preserve">   </w:t>
    </w:r>
    <w:r>
      <w:rPr>
        <w:rFonts w:hint="eastAsia"/>
      </w:rPr>
      <w:t xml:space="preserve">                                                 </w:t>
    </w: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jc w:val="both"/>
      <w:rPr>
        <w:rFonts w:hint="eastAsia"/>
      </w:rPr>
    </w:pPr>
    <w:r>
      <w:rPr>
        <w:rFonts w:hint="eastAsia"/>
      </w:rPr>
      <w:t xml:space="preserve">        </w:t>
    </w:r>
    <w:r>
      <w:t xml:space="preserve">   </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84257"/>
    <w:multiLevelType w:val="singleLevel"/>
    <w:tmpl w:val="85884257"/>
    <w:lvl w:ilvl="0" w:tentative="0">
      <w:start w:val="1"/>
      <w:numFmt w:val="decimal"/>
      <w:suff w:val="space"/>
      <w:lvlText w:val="（%1）"/>
      <w:lvlJc w:val="left"/>
    </w:lvl>
  </w:abstractNum>
  <w:abstractNum w:abstractNumId="1">
    <w:nsid w:val="D83A731E"/>
    <w:multiLevelType w:val="singleLevel"/>
    <w:tmpl w:val="D83A731E"/>
    <w:lvl w:ilvl="0" w:tentative="0">
      <w:start w:val="1"/>
      <w:numFmt w:val="chineseCounting"/>
      <w:suff w:val="nothing"/>
      <w:lvlText w:val="%1、"/>
      <w:lvlJc w:val="left"/>
      <w:pPr>
        <w:ind w:left="0" w:firstLine="420"/>
      </w:pPr>
      <w:rPr>
        <w:rFonts w:hint="eastAsia"/>
      </w:rPr>
    </w:lvl>
  </w:abstractNum>
  <w:abstractNum w:abstractNumId="2">
    <w:nsid w:val="DEB32A15"/>
    <w:multiLevelType w:val="singleLevel"/>
    <w:tmpl w:val="DEB32A15"/>
    <w:lvl w:ilvl="0" w:tentative="0">
      <w:start w:val="1"/>
      <w:numFmt w:val="decimal"/>
      <w:suff w:val="space"/>
      <w:lvlText w:val="%1."/>
      <w:lvlJc w:val="left"/>
    </w:lvl>
  </w:abstractNum>
  <w:abstractNum w:abstractNumId="3">
    <w:nsid w:val="E36973BD"/>
    <w:multiLevelType w:val="singleLevel"/>
    <w:tmpl w:val="E36973BD"/>
    <w:lvl w:ilvl="0" w:tentative="0">
      <w:start w:val="1"/>
      <w:numFmt w:val="decimal"/>
      <w:suff w:val="nothing"/>
      <w:lvlText w:val="%1、"/>
      <w:lvlJc w:val="left"/>
    </w:lvl>
  </w:abstractNum>
  <w:abstractNum w:abstractNumId="4">
    <w:nsid w:val="24F6BE9B"/>
    <w:multiLevelType w:val="singleLevel"/>
    <w:tmpl w:val="24F6BE9B"/>
    <w:lvl w:ilvl="0" w:tentative="0">
      <w:start w:val="1"/>
      <w:numFmt w:val="decimal"/>
      <w:suff w:val="nothing"/>
      <w:lvlText w:val="%1、"/>
      <w:lvlJc w:val="left"/>
      <w:pPr>
        <w:ind w:left="420"/>
      </w:pPr>
    </w:lvl>
  </w:abstractNum>
  <w:abstractNum w:abstractNumId="5">
    <w:nsid w:val="3968BBF0"/>
    <w:multiLevelType w:val="singleLevel"/>
    <w:tmpl w:val="3968BBF0"/>
    <w:lvl w:ilvl="0" w:tentative="0">
      <w:start w:val="2"/>
      <w:numFmt w:val="decimal"/>
      <w:suff w:val="nothing"/>
      <w:lvlText w:val="%1、"/>
      <w:lvlJc w:val="left"/>
    </w:lvl>
  </w:abstractNum>
  <w:abstractNum w:abstractNumId="6">
    <w:nsid w:val="509D52F2"/>
    <w:multiLevelType w:val="multilevel"/>
    <w:tmpl w:val="509D52F2"/>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7F2AC0F"/>
    <w:multiLevelType w:val="singleLevel"/>
    <w:tmpl w:val="57F2AC0F"/>
    <w:lvl w:ilvl="0" w:tentative="0">
      <w:start w:val="1"/>
      <w:numFmt w:val="chineseCounting"/>
      <w:suff w:val="nothing"/>
      <w:lvlText w:val="%1、"/>
      <w:lvlJc w:val="left"/>
      <w:pPr>
        <w:ind w:left="420"/>
      </w:pPr>
      <w:rPr>
        <w:rFonts w:hint="eastAsia"/>
      </w:rPr>
    </w:lvl>
  </w:abstractNum>
  <w:abstractNum w:abstractNumId="8">
    <w:nsid w:val="62942624"/>
    <w:multiLevelType w:val="multilevel"/>
    <w:tmpl w:val="629426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6B8364"/>
    <w:multiLevelType w:val="singleLevel"/>
    <w:tmpl w:val="776B8364"/>
    <w:lvl w:ilvl="0" w:tentative="0">
      <w:start w:val="4"/>
      <w:numFmt w:val="decimal"/>
      <w:suff w:val="nothing"/>
      <w:lvlText w:val="（%1）"/>
      <w:lvlJc w:val="left"/>
      <w:pPr>
        <w:ind w:left="480" w:leftChars="0" w:firstLine="0" w:firstLineChars="0"/>
      </w:pPr>
    </w:lvl>
  </w:abstractNum>
  <w:num w:numId="1">
    <w:abstractNumId w:val="3"/>
  </w:num>
  <w:num w:numId="2">
    <w:abstractNumId w:val="4"/>
  </w:num>
  <w:num w:numId="3">
    <w:abstractNumId w:val="9"/>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NDE5MDRhNGQ4MGNjMGFkYjZhNmRjMzJmM2M2YTEifQ=="/>
  </w:docVars>
  <w:rsids>
    <w:rsidRoot w:val="006563A5"/>
    <w:rsid w:val="00003FFC"/>
    <w:rsid w:val="000043AD"/>
    <w:rsid w:val="00004C55"/>
    <w:rsid w:val="000067BB"/>
    <w:rsid w:val="000112B9"/>
    <w:rsid w:val="00013145"/>
    <w:rsid w:val="00014367"/>
    <w:rsid w:val="00020BC2"/>
    <w:rsid w:val="00020CDF"/>
    <w:rsid w:val="00022667"/>
    <w:rsid w:val="00022D56"/>
    <w:rsid w:val="00024121"/>
    <w:rsid w:val="00026BE9"/>
    <w:rsid w:val="00027013"/>
    <w:rsid w:val="00027A2A"/>
    <w:rsid w:val="00027F15"/>
    <w:rsid w:val="00031487"/>
    <w:rsid w:val="00031DA0"/>
    <w:rsid w:val="00034294"/>
    <w:rsid w:val="00034625"/>
    <w:rsid w:val="00034827"/>
    <w:rsid w:val="00036F68"/>
    <w:rsid w:val="00037051"/>
    <w:rsid w:val="000416F8"/>
    <w:rsid w:val="00042260"/>
    <w:rsid w:val="00043E35"/>
    <w:rsid w:val="000440A9"/>
    <w:rsid w:val="0004506D"/>
    <w:rsid w:val="00046B52"/>
    <w:rsid w:val="000509D2"/>
    <w:rsid w:val="00050E3B"/>
    <w:rsid w:val="000514BF"/>
    <w:rsid w:val="00051703"/>
    <w:rsid w:val="00054025"/>
    <w:rsid w:val="0005678B"/>
    <w:rsid w:val="0005777E"/>
    <w:rsid w:val="000601EE"/>
    <w:rsid w:val="00061D19"/>
    <w:rsid w:val="00062295"/>
    <w:rsid w:val="00062C59"/>
    <w:rsid w:val="000634A0"/>
    <w:rsid w:val="00071552"/>
    <w:rsid w:val="00071ACA"/>
    <w:rsid w:val="00071BF2"/>
    <w:rsid w:val="00072817"/>
    <w:rsid w:val="000751A4"/>
    <w:rsid w:val="00076515"/>
    <w:rsid w:val="000773C9"/>
    <w:rsid w:val="00077782"/>
    <w:rsid w:val="000803DA"/>
    <w:rsid w:val="00081903"/>
    <w:rsid w:val="00082AA8"/>
    <w:rsid w:val="00082C6F"/>
    <w:rsid w:val="0008325E"/>
    <w:rsid w:val="000848E9"/>
    <w:rsid w:val="00085C2E"/>
    <w:rsid w:val="00086BFB"/>
    <w:rsid w:val="00090BEA"/>
    <w:rsid w:val="00091E0B"/>
    <w:rsid w:val="00093BCF"/>
    <w:rsid w:val="0009669E"/>
    <w:rsid w:val="000969BA"/>
    <w:rsid w:val="00097886"/>
    <w:rsid w:val="000A11EE"/>
    <w:rsid w:val="000A1A07"/>
    <w:rsid w:val="000A2EFE"/>
    <w:rsid w:val="000A5933"/>
    <w:rsid w:val="000A59D8"/>
    <w:rsid w:val="000A5EDC"/>
    <w:rsid w:val="000A6126"/>
    <w:rsid w:val="000A654E"/>
    <w:rsid w:val="000A6875"/>
    <w:rsid w:val="000B02F1"/>
    <w:rsid w:val="000B1A46"/>
    <w:rsid w:val="000B23C7"/>
    <w:rsid w:val="000B34CC"/>
    <w:rsid w:val="000B3B3B"/>
    <w:rsid w:val="000B5296"/>
    <w:rsid w:val="000B5C97"/>
    <w:rsid w:val="000B5E66"/>
    <w:rsid w:val="000B67B3"/>
    <w:rsid w:val="000B77BA"/>
    <w:rsid w:val="000B7B5F"/>
    <w:rsid w:val="000C050D"/>
    <w:rsid w:val="000C28EF"/>
    <w:rsid w:val="000C2C74"/>
    <w:rsid w:val="000C3E33"/>
    <w:rsid w:val="000C523D"/>
    <w:rsid w:val="000D013E"/>
    <w:rsid w:val="000D2493"/>
    <w:rsid w:val="000D292E"/>
    <w:rsid w:val="000D2F28"/>
    <w:rsid w:val="000D3846"/>
    <w:rsid w:val="000D4065"/>
    <w:rsid w:val="000D5694"/>
    <w:rsid w:val="000D5EC9"/>
    <w:rsid w:val="000D6B29"/>
    <w:rsid w:val="000D7B24"/>
    <w:rsid w:val="000E048E"/>
    <w:rsid w:val="000E0808"/>
    <w:rsid w:val="000E1015"/>
    <w:rsid w:val="000E2943"/>
    <w:rsid w:val="000E3F57"/>
    <w:rsid w:val="000E6764"/>
    <w:rsid w:val="000E6E0E"/>
    <w:rsid w:val="000E7B1F"/>
    <w:rsid w:val="000F0EB1"/>
    <w:rsid w:val="000F1662"/>
    <w:rsid w:val="000F2E38"/>
    <w:rsid w:val="000F5953"/>
    <w:rsid w:val="001006DA"/>
    <w:rsid w:val="0010252C"/>
    <w:rsid w:val="00102B2B"/>
    <w:rsid w:val="00104434"/>
    <w:rsid w:val="0010499D"/>
    <w:rsid w:val="00105EE1"/>
    <w:rsid w:val="00106E17"/>
    <w:rsid w:val="001143DC"/>
    <w:rsid w:val="001164C5"/>
    <w:rsid w:val="0011793F"/>
    <w:rsid w:val="001204F8"/>
    <w:rsid w:val="00121C82"/>
    <w:rsid w:val="001232ED"/>
    <w:rsid w:val="00124825"/>
    <w:rsid w:val="00125615"/>
    <w:rsid w:val="00130B37"/>
    <w:rsid w:val="00131537"/>
    <w:rsid w:val="00131969"/>
    <w:rsid w:val="00131F4D"/>
    <w:rsid w:val="00134898"/>
    <w:rsid w:val="00141431"/>
    <w:rsid w:val="00141655"/>
    <w:rsid w:val="00142B64"/>
    <w:rsid w:val="00143069"/>
    <w:rsid w:val="0014309D"/>
    <w:rsid w:val="0014392F"/>
    <w:rsid w:val="00143EAB"/>
    <w:rsid w:val="00150908"/>
    <w:rsid w:val="001529AF"/>
    <w:rsid w:val="00152FB8"/>
    <w:rsid w:val="00153B48"/>
    <w:rsid w:val="001565E2"/>
    <w:rsid w:val="00156EC5"/>
    <w:rsid w:val="001605C4"/>
    <w:rsid w:val="00160E8F"/>
    <w:rsid w:val="00161905"/>
    <w:rsid w:val="001619F9"/>
    <w:rsid w:val="00161A7A"/>
    <w:rsid w:val="00161D11"/>
    <w:rsid w:val="00161FC9"/>
    <w:rsid w:val="00165673"/>
    <w:rsid w:val="00167453"/>
    <w:rsid w:val="001677BF"/>
    <w:rsid w:val="001678FC"/>
    <w:rsid w:val="00171D50"/>
    <w:rsid w:val="001724BD"/>
    <w:rsid w:val="00175966"/>
    <w:rsid w:val="001819E4"/>
    <w:rsid w:val="0018362F"/>
    <w:rsid w:val="00183668"/>
    <w:rsid w:val="001838D9"/>
    <w:rsid w:val="00185449"/>
    <w:rsid w:val="00185DE7"/>
    <w:rsid w:val="001870CA"/>
    <w:rsid w:val="00187F5A"/>
    <w:rsid w:val="00195E65"/>
    <w:rsid w:val="00197D2A"/>
    <w:rsid w:val="001A1878"/>
    <w:rsid w:val="001A1D6A"/>
    <w:rsid w:val="001A2546"/>
    <w:rsid w:val="001A29D4"/>
    <w:rsid w:val="001A55CA"/>
    <w:rsid w:val="001A684B"/>
    <w:rsid w:val="001B0F5C"/>
    <w:rsid w:val="001B16EE"/>
    <w:rsid w:val="001B3D2B"/>
    <w:rsid w:val="001B3D71"/>
    <w:rsid w:val="001B5A86"/>
    <w:rsid w:val="001B5DF9"/>
    <w:rsid w:val="001C2E22"/>
    <w:rsid w:val="001C4A34"/>
    <w:rsid w:val="001C70CD"/>
    <w:rsid w:val="001D12CA"/>
    <w:rsid w:val="001D209D"/>
    <w:rsid w:val="001D6E42"/>
    <w:rsid w:val="001E0FF4"/>
    <w:rsid w:val="001E4634"/>
    <w:rsid w:val="001E52D0"/>
    <w:rsid w:val="001E6EC7"/>
    <w:rsid w:val="001F546C"/>
    <w:rsid w:val="001F74FF"/>
    <w:rsid w:val="002020E4"/>
    <w:rsid w:val="00202E55"/>
    <w:rsid w:val="002077D4"/>
    <w:rsid w:val="002079A4"/>
    <w:rsid w:val="00207FCA"/>
    <w:rsid w:val="0021004F"/>
    <w:rsid w:val="0021183C"/>
    <w:rsid w:val="00211ED0"/>
    <w:rsid w:val="00212406"/>
    <w:rsid w:val="0021391E"/>
    <w:rsid w:val="00213A50"/>
    <w:rsid w:val="0021411D"/>
    <w:rsid w:val="0021428E"/>
    <w:rsid w:val="00216081"/>
    <w:rsid w:val="00216A21"/>
    <w:rsid w:val="00217CA8"/>
    <w:rsid w:val="002201FD"/>
    <w:rsid w:val="00224AC0"/>
    <w:rsid w:val="00227F7F"/>
    <w:rsid w:val="002305DC"/>
    <w:rsid w:val="00230681"/>
    <w:rsid w:val="0023108E"/>
    <w:rsid w:val="00231A8B"/>
    <w:rsid w:val="00231AF9"/>
    <w:rsid w:val="00232CA6"/>
    <w:rsid w:val="002357D1"/>
    <w:rsid w:val="00240082"/>
    <w:rsid w:val="002410C2"/>
    <w:rsid w:val="00241D02"/>
    <w:rsid w:val="0024520C"/>
    <w:rsid w:val="002456F0"/>
    <w:rsid w:val="0024628E"/>
    <w:rsid w:val="00246CA3"/>
    <w:rsid w:val="00250740"/>
    <w:rsid w:val="00252B13"/>
    <w:rsid w:val="00253FFC"/>
    <w:rsid w:val="00255EB0"/>
    <w:rsid w:val="0025623C"/>
    <w:rsid w:val="002574CE"/>
    <w:rsid w:val="00261A74"/>
    <w:rsid w:val="00262E65"/>
    <w:rsid w:val="002677A3"/>
    <w:rsid w:val="00270CB1"/>
    <w:rsid w:val="0027128D"/>
    <w:rsid w:val="00271BF8"/>
    <w:rsid w:val="00273D91"/>
    <w:rsid w:val="002749FB"/>
    <w:rsid w:val="00274B90"/>
    <w:rsid w:val="00274C9E"/>
    <w:rsid w:val="0027501F"/>
    <w:rsid w:val="0027673A"/>
    <w:rsid w:val="00277004"/>
    <w:rsid w:val="002774FA"/>
    <w:rsid w:val="00277C3A"/>
    <w:rsid w:val="00284FD6"/>
    <w:rsid w:val="00286D53"/>
    <w:rsid w:val="00291100"/>
    <w:rsid w:val="00292B13"/>
    <w:rsid w:val="00292B7F"/>
    <w:rsid w:val="002942ED"/>
    <w:rsid w:val="00296E50"/>
    <w:rsid w:val="0029779E"/>
    <w:rsid w:val="00297C58"/>
    <w:rsid w:val="002A1EF7"/>
    <w:rsid w:val="002A2D2B"/>
    <w:rsid w:val="002A53BD"/>
    <w:rsid w:val="002A6C43"/>
    <w:rsid w:val="002B0972"/>
    <w:rsid w:val="002B30EF"/>
    <w:rsid w:val="002B7C59"/>
    <w:rsid w:val="002C006C"/>
    <w:rsid w:val="002C0799"/>
    <w:rsid w:val="002C0999"/>
    <w:rsid w:val="002C0C9B"/>
    <w:rsid w:val="002C1D7F"/>
    <w:rsid w:val="002C340E"/>
    <w:rsid w:val="002C3695"/>
    <w:rsid w:val="002C4094"/>
    <w:rsid w:val="002C45D5"/>
    <w:rsid w:val="002C4619"/>
    <w:rsid w:val="002C657C"/>
    <w:rsid w:val="002D0443"/>
    <w:rsid w:val="002D1E8F"/>
    <w:rsid w:val="002D2832"/>
    <w:rsid w:val="002D3C94"/>
    <w:rsid w:val="002D586E"/>
    <w:rsid w:val="002D63E3"/>
    <w:rsid w:val="002E2B90"/>
    <w:rsid w:val="002E2FC0"/>
    <w:rsid w:val="002E52A6"/>
    <w:rsid w:val="002E6B3F"/>
    <w:rsid w:val="002E6D01"/>
    <w:rsid w:val="002F0944"/>
    <w:rsid w:val="002F09DF"/>
    <w:rsid w:val="002F119B"/>
    <w:rsid w:val="002F1C9B"/>
    <w:rsid w:val="002F30AA"/>
    <w:rsid w:val="002F3904"/>
    <w:rsid w:val="002F49C8"/>
    <w:rsid w:val="002F55E0"/>
    <w:rsid w:val="00300384"/>
    <w:rsid w:val="0030132A"/>
    <w:rsid w:val="00303263"/>
    <w:rsid w:val="00303AF6"/>
    <w:rsid w:val="0030519A"/>
    <w:rsid w:val="003068D3"/>
    <w:rsid w:val="003068F8"/>
    <w:rsid w:val="00311C45"/>
    <w:rsid w:val="00313287"/>
    <w:rsid w:val="00314824"/>
    <w:rsid w:val="003155DE"/>
    <w:rsid w:val="0031570D"/>
    <w:rsid w:val="00317728"/>
    <w:rsid w:val="00320EE8"/>
    <w:rsid w:val="00320EEB"/>
    <w:rsid w:val="00321C6C"/>
    <w:rsid w:val="003223D2"/>
    <w:rsid w:val="003251A8"/>
    <w:rsid w:val="00325A08"/>
    <w:rsid w:val="00330E25"/>
    <w:rsid w:val="0033214A"/>
    <w:rsid w:val="00333729"/>
    <w:rsid w:val="0033590B"/>
    <w:rsid w:val="00336416"/>
    <w:rsid w:val="00336FAC"/>
    <w:rsid w:val="003419EF"/>
    <w:rsid w:val="003450D4"/>
    <w:rsid w:val="00345E77"/>
    <w:rsid w:val="00346DD8"/>
    <w:rsid w:val="00351896"/>
    <w:rsid w:val="00351BE0"/>
    <w:rsid w:val="00354711"/>
    <w:rsid w:val="00355050"/>
    <w:rsid w:val="00356F9D"/>
    <w:rsid w:val="00357D50"/>
    <w:rsid w:val="00360D1C"/>
    <w:rsid w:val="00360E4D"/>
    <w:rsid w:val="00360E73"/>
    <w:rsid w:val="00362E0B"/>
    <w:rsid w:val="00366F02"/>
    <w:rsid w:val="00371EF5"/>
    <w:rsid w:val="00371FB8"/>
    <w:rsid w:val="003725B9"/>
    <w:rsid w:val="00373880"/>
    <w:rsid w:val="003740C4"/>
    <w:rsid w:val="00375F18"/>
    <w:rsid w:val="00377BE9"/>
    <w:rsid w:val="00380F14"/>
    <w:rsid w:val="00380F85"/>
    <w:rsid w:val="0038227F"/>
    <w:rsid w:val="00382F8D"/>
    <w:rsid w:val="0038330F"/>
    <w:rsid w:val="0038423A"/>
    <w:rsid w:val="00385B87"/>
    <w:rsid w:val="00386864"/>
    <w:rsid w:val="003906B4"/>
    <w:rsid w:val="00392309"/>
    <w:rsid w:val="0039295A"/>
    <w:rsid w:val="003936EE"/>
    <w:rsid w:val="0039380B"/>
    <w:rsid w:val="0039492B"/>
    <w:rsid w:val="003953DD"/>
    <w:rsid w:val="00395856"/>
    <w:rsid w:val="00395E68"/>
    <w:rsid w:val="003975B8"/>
    <w:rsid w:val="003A12C2"/>
    <w:rsid w:val="003A14CB"/>
    <w:rsid w:val="003A174E"/>
    <w:rsid w:val="003A46B2"/>
    <w:rsid w:val="003A559E"/>
    <w:rsid w:val="003A68DF"/>
    <w:rsid w:val="003A73DB"/>
    <w:rsid w:val="003B4B2D"/>
    <w:rsid w:val="003B607F"/>
    <w:rsid w:val="003B63DF"/>
    <w:rsid w:val="003C002C"/>
    <w:rsid w:val="003C050E"/>
    <w:rsid w:val="003C33D0"/>
    <w:rsid w:val="003C348B"/>
    <w:rsid w:val="003C454F"/>
    <w:rsid w:val="003C4727"/>
    <w:rsid w:val="003C4869"/>
    <w:rsid w:val="003C5BAC"/>
    <w:rsid w:val="003C66B3"/>
    <w:rsid w:val="003C67F1"/>
    <w:rsid w:val="003C741C"/>
    <w:rsid w:val="003D0D10"/>
    <w:rsid w:val="003D10DF"/>
    <w:rsid w:val="003D355F"/>
    <w:rsid w:val="003D384B"/>
    <w:rsid w:val="003D399D"/>
    <w:rsid w:val="003D54E0"/>
    <w:rsid w:val="003D629F"/>
    <w:rsid w:val="003E1022"/>
    <w:rsid w:val="003E3B6A"/>
    <w:rsid w:val="003E4C9D"/>
    <w:rsid w:val="003E61D6"/>
    <w:rsid w:val="003E7F77"/>
    <w:rsid w:val="003F2D57"/>
    <w:rsid w:val="003F3519"/>
    <w:rsid w:val="003F4637"/>
    <w:rsid w:val="003F4FB2"/>
    <w:rsid w:val="003F57ED"/>
    <w:rsid w:val="003F6DE9"/>
    <w:rsid w:val="00400D4A"/>
    <w:rsid w:val="00402783"/>
    <w:rsid w:val="00402A50"/>
    <w:rsid w:val="00402F18"/>
    <w:rsid w:val="00403187"/>
    <w:rsid w:val="004048D9"/>
    <w:rsid w:val="00405504"/>
    <w:rsid w:val="004055A4"/>
    <w:rsid w:val="00405B9A"/>
    <w:rsid w:val="00412F6F"/>
    <w:rsid w:val="004130B7"/>
    <w:rsid w:val="00413DA7"/>
    <w:rsid w:val="00416F4D"/>
    <w:rsid w:val="004171F1"/>
    <w:rsid w:val="00420E05"/>
    <w:rsid w:val="0042275C"/>
    <w:rsid w:val="00424C84"/>
    <w:rsid w:val="00425969"/>
    <w:rsid w:val="00425C0C"/>
    <w:rsid w:val="004307A8"/>
    <w:rsid w:val="00430B32"/>
    <w:rsid w:val="00431146"/>
    <w:rsid w:val="00432E51"/>
    <w:rsid w:val="004336F3"/>
    <w:rsid w:val="00434517"/>
    <w:rsid w:val="00435798"/>
    <w:rsid w:val="0043587F"/>
    <w:rsid w:val="00436059"/>
    <w:rsid w:val="00441C2E"/>
    <w:rsid w:val="00441E9B"/>
    <w:rsid w:val="0044262B"/>
    <w:rsid w:val="004432E5"/>
    <w:rsid w:val="00443607"/>
    <w:rsid w:val="00443C73"/>
    <w:rsid w:val="00444716"/>
    <w:rsid w:val="00445263"/>
    <w:rsid w:val="004456A0"/>
    <w:rsid w:val="00446013"/>
    <w:rsid w:val="0044694E"/>
    <w:rsid w:val="00446B35"/>
    <w:rsid w:val="004508BA"/>
    <w:rsid w:val="00450D76"/>
    <w:rsid w:val="00451F6E"/>
    <w:rsid w:val="00455A57"/>
    <w:rsid w:val="004562D6"/>
    <w:rsid w:val="00456EA6"/>
    <w:rsid w:val="00464908"/>
    <w:rsid w:val="00467940"/>
    <w:rsid w:val="0046796E"/>
    <w:rsid w:val="004706AF"/>
    <w:rsid w:val="0047229E"/>
    <w:rsid w:val="00474A74"/>
    <w:rsid w:val="00475B26"/>
    <w:rsid w:val="004776CF"/>
    <w:rsid w:val="00480186"/>
    <w:rsid w:val="004848A7"/>
    <w:rsid w:val="00484947"/>
    <w:rsid w:val="00485471"/>
    <w:rsid w:val="00486FEE"/>
    <w:rsid w:val="00490815"/>
    <w:rsid w:val="004919B1"/>
    <w:rsid w:val="00492DD0"/>
    <w:rsid w:val="0049314E"/>
    <w:rsid w:val="00493E3D"/>
    <w:rsid w:val="00494E6C"/>
    <w:rsid w:val="00496317"/>
    <w:rsid w:val="004972C4"/>
    <w:rsid w:val="0049784D"/>
    <w:rsid w:val="004A13DF"/>
    <w:rsid w:val="004A59BC"/>
    <w:rsid w:val="004A59E0"/>
    <w:rsid w:val="004A627E"/>
    <w:rsid w:val="004A67CA"/>
    <w:rsid w:val="004B2282"/>
    <w:rsid w:val="004B34E2"/>
    <w:rsid w:val="004B5251"/>
    <w:rsid w:val="004B559F"/>
    <w:rsid w:val="004B63E1"/>
    <w:rsid w:val="004B7000"/>
    <w:rsid w:val="004B7B7A"/>
    <w:rsid w:val="004C030A"/>
    <w:rsid w:val="004C03FA"/>
    <w:rsid w:val="004C0C07"/>
    <w:rsid w:val="004C26FA"/>
    <w:rsid w:val="004C40D2"/>
    <w:rsid w:val="004C463F"/>
    <w:rsid w:val="004C5962"/>
    <w:rsid w:val="004C6307"/>
    <w:rsid w:val="004C66BC"/>
    <w:rsid w:val="004D234E"/>
    <w:rsid w:val="004D2A4E"/>
    <w:rsid w:val="004D3728"/>
    <w:rsid w:val="004D47C0"/>
    <w:rsid w:val="004E0EE0"/>
    <w:rsid w:val="004E286A"/>
    <w:rsid w:val="004E32E0"/>
    <w:rsid w:val="004E5FEC"/>
    <w:rsid w:val="004E6DBC"/>
    <w:rsid w:val="004E78BE"/>
    <w:rsid w:val="004E7EEA"/>
    <w:rsid w:val="004F1604"/>
    <w:rsid w:val="004F3A07"/>
    <w:rsid w:val="004F4308"/>
    <w:rsid w:val="004F4709"/>
    <w:rsid w:val="004F548B"/>
    <w:rsid w:val="004F61FE"/>
    <w:rsid w:val="004F6C03"/>
    <w:rsid w:val="004F72F2"/>
    <w:rsid w:val="004F747E"/>
    <w:rsid w:val="00501F59"/>
    <w:rsid w:val="00502E6E"/>
    <w:rsid w:val="0050372E"/>
    <w:rsid w:val="005055DC"/>
    <w:rsid w:val="00506263"/>
    <w:rsid w:val="005068F4"/>
    <w:rsid w:val="00506ECE"/>
    <w:rsid w:val="00507655"/>
    <w:rsid w:val="00510617"/>
    <w:rsid w:val="005120A1"/>
    <w:rsid w:val="005131A9"/>
    <w:rsid w:val="00513AF5"/>
    <w:rsid w:val="00514140"/>
    <w:rsid w:val="00516B59"/>
    <w:rsid w:val="00523C72"/>
    <w:rsid w:val="00523E29"/>
    <w:rsid w:val="00524184"/>
    <w:rsid w:val="0052448E"/>
    <w:rsid w:val="00527BF5"/>
    <w:rsid w:val="00531C92"/>
    <w:rsid w:val="005320A8"/>
    <w:rsid w:val="00532123"/>
    <w:rsid w:val="005331CA"/>
    <w:rsid w:val="00533F96"/>
    <w:rsid w:val="00536455"/>
    <w:rsid w:val="00536A7B"/>
    <w:rsid w:val="00536F0F"/>
    <w:rsid w:val="00537FA3"/>
    <w:rsid w:val="005448B7"/>
    <w:rsid w:val="00544E75"/>
    <w:rsid w:val="00545362"/>
    <w:rsid w:val="005469D7"/>
    <w:rsid w:val="0055010F"/>
    <w:rsid w:val="00550A13"/>
    <w:rsid w:val="0055169A"/>
    <w:rsid w:val="00552403"/>
    <w:rsid w:val="005542D0"/>
    <w:rsid w:val="0055455D"/>
    <w:rsid w:val="00555B8E"/>
    <w:rsid w:val="005564CB"/>
    <w:rsid w:val="00556E53"/>
    <w:rsid w:val="005605DB"/>
    <w:rsid w:val="00562D49"/>
    <w:rsid w:val="00564389"/>
    <w:rsid w:val="00574546"/>
    <w:rsid w:val="00581D8E"/>
    <w:rsid w:val="00581F9F"/>
    <w:rsid w:val="005835D9"/>
    <w:rsid w:val="00583ED9"/>
    <w:rsid w:val="00584E40"/>
    <w:rsid w:val="00587955"/>
    <w:rsid w:val="0059186C"/>
    <w:rsid w:val="0059204E"/>
    <w:rsid w:val="005921D1"/>
    <w:rsid w:val="005925E1"/>
    <w:rsid w:val="00597F8E"/>
    <w:rsid w:val="005A1675"/>
    <w:rsid w:val="005A178B"/>
    <w:rsid w:val="005A1F7D"/>
    <w:rsid w:val="005A233E"/>
    <w:rsid w:val="005A2637"/>
    <w:rsid w:val="005A2CE7"/>
    <w:rsid w:val="005A388D"/>
    <w:rsid w:val="005A4357"/>
    <w:rsid w:val="005A6619"/>
    <w:rsid w:val="005A71E7"/>
    <w:rsid w:val="005B060D"/>
    <w:rsid w:val="005B1A90"/>
    <w:rsid w:val="005B1B8E"/>
    <w:rsid w:val="005B3AC7"/>
    <w:rsid w:val="005B3CE8"/>
    <w:rsid w:val="005B7005"/>
    <w:rsid w:val="005C03FB"/>
    <w:rsid w:val="005C0A1F"/>
    <w:rsid w:val="005C2093"/>
    <w:rsid w:val="005C264D"/>
    <w:rsid w:val="005C3354"/>
    <w:rsid w:val="005D0380"/>
    <w:rsid w:val="005D0532"/>
    <w:rsid w:val="005D1409"/>
    <w:rsid w:val="005D17D7"/>
    <w:rsid w:val="005D1A38"/>
    <w:rsid w:val="005D1B65"/>
    <w:rsid w:val="005D2325"/>
    <w:rsid w:val="005D3335"/>
    <w:rsid w:val="005D4533"/>
    <w:rsid w:val="005D48B8"/>
    <w:rsid w:val="005D6A4D"/>
    <w:rsid w:val="005D794A"/>
    <w:rsid w:val="005E1574"/>
    <w:rsid w:val="005E4BB2"/>
    <w:rsid w:val="005E5AF2"/>
    <w:rsid w:val="005E60A2"/>
    <w:rsid w:val="005F22F8"/>
    <w:rsid w:val="005F2E74"/>
    <w:rsid w:val="005F3B2E"/>
    <w:rsid w:val="005F46C7"/>
    <w:rsid w:val="005F4815"/>
    <w:rsid w:val="005F551E"/>
    <w:rsid w:val="005F6F52"/>
    <w:rsid w:val="005F7156"/>
    <w:rsid w:val="005F7FFD"/>
    <w:rsid w:val="0060044C"/>
    <w:rsid w:val="006004CB"/>
    <w:rsid w:val="0060063C"/>
    <w:rsid w:val="0060274E"/>
    <w:rsid w:val="00602D12"/>
    <w:rsid w:val="00604081"/>
    <w:rsid w:val="0060673E"/>
    <w:rsid w:val="00607D5A"/>
    <w:rsid w:val="006140A0"/>
    <w:rsid w:val="00616717"/>
    <w:rsid w:val="00616C76"/>
    <w:rsid w:val="00616E99"/>
    <w:rsid w:val="00620003"/>
    <w:rsid w:val="00620A9C"/>
    <w:rsid w:val="006303BA"/>
    <w:rsid w:val="00633E41"/>
    <w:rsid w:val="00633EA8"/>
    <w:rsid w:val="00636611"/>
    <w:rsid w:val="006369D8"/>
    <w:rsid w:val="00636BE3"/>
    <w:rsid w:val="00640B98"/>
    <w:rsid w:val="00641AB0"/>
    <w:rsid w:val="006440E5"/>
    <w:rsid w:val="00644829"/>
    <w:rsid w:val="00645207"/>
    <w:rsid w:val="006500F5"/>
    <w:rsid w:val="006512E0"/>
    <w:rsid w:val="0065256C"/>
    <w:rsid w:val="0065409F"/>
    <w:rsid w:val="006563A5"/>
    <w:rsid w:val="0065669C"/>
    <w:rsid w:val="00657A83"/>
    <w:rsid w:val="0066179D"/>
    <w:rsid w:val="00661815"/>
    <w:rsid w:val="00663B1C"/>
    <w:rsid w:val="0066406E"/>
    <w:rsid w:val="00664B5C"/>
    <w:rsid w:val="00665423"/>
    <w:rsid w:val="0066545D"/>
    <w:rsid w:val="00665FFB"/>
    <w:rsid w:val="00666846"/>
    <w:rsid w:val="00670B30"/>
    <w:rsid w:val="006710BE"/>
    <w:rsid w:val="00672B84"/>
    <w:rsid w:val="0067419B"/>
    <w:rsid w:val="00674E4C"/>
    <w:rsid w:val="00675534"/>
    <w:rsid w:val="00675B2D"/>
    <w:rsid w:val="00677119"/>
    <w:rsid w:val="00677279"/>
    <w:rsid w:val="0067735D"/>
    <w:rsid w:val="00687FD1"/>
    <w:rsid w:val="0069081F"/>
    <w:rsid w:val="0069363A"/>
    <w:rsid w:val="00693766"/>
    <w:rsid w:val="006954C3"/>
    <w:rsid w:val="0069560E"/>
    <w:rsid w:val="0069718E"/>
    <w:rsid w:val="00697712"/>
    <w:rsid w:val="00697C8A"/>
    <w:rsid w:val="006A034A"/>
    <w:rsid w:val="006A12FC"/>
    <w:rsid w:val="006A2502"/>
    <w:rsid w:val="006A523B"/>
    <w:rsid w:val="006A58DA"/>
    <w:rsid w:val="006A70B2"/>
    <w:rsid w:val="006A70EB"/>
    <w:rsid w:val="006A75C3"/>
    <w:rsid w:val="006B00CA"/>
    <w:rsid w:val="006B0F3A"/>
    <w:rsid w:val="006B2B0B"/>
    <w:rsid w:val="006B3127"/>
    <w:rsid w:val="006B31A7"/>
    <w:rsid w:val="006B4EB0"/>
    <w:rsid w:val="006B58CA"/>
    <w:rsid w:val="006B6EC0"/>
    <w:rsid w:val="006B755B"/>
    <w:rsid w:val="006C0104"/>
    <w:rsid w:val="006C1744"/>
    <w:rsid w:val="006C3392"/>
    <w:rsid w:val="006C41DD"/>
    <w:rsid w:val="006C51C5"/>
    <w:rsid w:val="006C5DDC"/>
    <w:rsid w:val="006C66CD"/>
    <w:rsid w:val="006D0E1F"/>
    <w:rsid w:val="006D21B2"/>
    <w:rsid w:val="006D5FD4"/>
    <w:rsid w:val="006D67AD"/>
    <w:rsid w:val="006E0320"/>
    <w:rsid w:val="006E4E20"/>
    <w:rsid w:val="006E772E"/>
    <w:rsid w:val="006F0329"/>
    <w:rsid w:val="006F3C11"/>
    <w:rsid w:val="006F41B1"/>
    <w:rsid w:val="006F4D02"/>
    <w:rsid w:val="006F50D9"/>
    <w:rsid w:val="006F601F"/>
    <w:rsid w:val="006F78F2"/>
    <w:rsid w:val="007007B0"/>
    <w:rsid w:val="0070263C"/>
    <w:rsid w:val="00702B89"/>
    <w:rsid w:val="00703D94"/>
    <w:rsid w:val="007044FD"/>
    <w:rsid w:val="007045A4"/>
    <w:rsid w:val="00704EA9"/>
    <w:rsid w:val="0070538D"/>
    <w:rsid w:val="007054DD"/>
    <w:rsid w:val="0070562D"/>
    <w:rsid w:val="00705F7A"/>
    <w:rsid w:val="00706047"/>
    <w:rsid w:val="00706614"/>
    <w:rsid w:val="00707007"/>
    <w:rsid w:val="007102F3"/>
    <w:rsid w:val="007110A8"/>
    <w:rsid w:val="00712003"/>
    <w:rsid w:val="007124E9"/>
    <w:rsid w:val="00713ECF"/>
    <w:rsid w:val="00715EA9"/>
    <w:rsid w:val="00717D3E"/>
    <w:rsid w:val="00720927"/>
    <w:rsid w:val="00720A69"/>
    <w:rsid w:val="00722799"/>
    <w:rsid w:val="00725935"/>
    <w:rsid w:val="00725E14"/>
    <w:rsid w:val="00727C1A"/>
    <w:rsid w:val="0073014C"/>
    <w:rsid w:val="00732066"/>
    <w:rsid w:val="007343DA"/>
    <w:rsid w:val="00735024"/>
    <w:rsid w:val="0073590A"/>
    <w:rsid w:val="00736438"/>
    <w:rsid w:val="00736ED9"/>
    <w:rsid w:val="007370B9"/>
    <w:rsid w:val="00740A37"/>
    <w:rsid w:val="00740C91"/>
    <w:rsid w:val="007410BC"/>
    <w:rsid w:val="00741F79"/>
    <w:rsid w:val="007422D2"/>
    <w:rsid w:val="0074384C"/>
    <w:rsid w:val="0074457C"/>
    <w:rsid w:val="00744DFC"/>
    <w:rsid w:val="00746240"/>
    <w:rsid w:val="00750097"/>
    <w:rsid w:val="007517DE"/>
    <w:rsid w:val="00752DF7"/>
    <w:rsid w:val="00752EC2"/>
    <w:rsid w:val="00762113"/>
    <w:rsid w:val="00764513"/>
    <w:rsid w:val="007651A9"/>
    <w:rsid w:val="00765697"/>
    <w:rsid w:val="00765B26"/>
    <w:rsid w:val="007715BC"/>
    <w:rsid w:val="0077387A"/>
    <w:rsid w:val="00774342"/>
    <w:rsid w:val="00775CD7"/>
    <w:rsid w:val="00777B85"/>
    <w:rsid w:val="007803C1"/>
    <w:rsid w:val="007806AC"/>
    <w:rsid w:val="00782004"/>
    <w:rsid w:val="00783E19"/>
    <w:rsid w:val="007860C9"/>
    <w:rsid w:val="007869C7"/>
    <w:rsid w:val="00787306"/>
    <w:rsid w:val="0078730F"/>
    <w:rsid w:val="00790334"/>
    <w:rsid w:val="00791768"/>
    <w:rsid w:val="0079662F"/>
    <w:rsid w:val="0079679E"/>
    <w:rsid w:val="007968ED"/>
    <w:rsid w:val="00796999"/>
    <w:rsid w:val="00797BC1"/>
    <w:rsid w:val="007A00B7"/>
    <w:rsid w:val="007A4699"/>
    <w:rsid w:val="007A691E"/>
    <w:rsid w:val="007A6BC5"/>
    <w:rsid w:val="007A6D5D"/>
    <w:rsid w:val="007A7097"/>
    <w:rsid w:val="007B04E5"/>
    <w:rsid w:val="007B1149"/>
    <w:rsid w:val="007B2680"/>
    <w:rsid w:val="007B2B2D"/>
    <w:rsid w:val="007B300E"/>
    <w:rsid w:val="007B72C7"/>
    <w:rsid w:val="007B7A82"/>
    <w:rsid w:val="007C00EC"/>
    <w:rsid w:val="007C05AD"/>
    <w:rsid w:val="007C0A32"/>
    <w:rsid w:val="007C117B"/>
    <w:rsid w:val="007C349B"/>
    <w:rsid w:val="007C383A"/>
    <w:rsid w:val="007C3869"/>
    <w:rsid w:val="007C5413"/>
    <w:rsid w:val="007C6402"/>
    <w:rsid w:val="007C690D"/>
    <w:rsid w:val="007D1DF6"/>
    <w:rsid w:val="007D2960"/>
    <w:rsid w:val="007D2A74"/>
    <w:rsid w:val="007D4A0B"/>
    <w:rsid w:val="007D5C4A"/>
    <w:rsid w:val="007D63CE"/>
    <w:rsid w:val="007E14FD"/>
    <w:rsid w:val="007E2379"/>
    <w:rsid w:val="007E2A29"/>
    <w:rsid w:val="007E5293"/>
    <w:rsid w:val="007E6B35"/>
    <w:rsid w:val="007E72BD"/>
    <w:rsid w:val="007F0262"/>
    <w:rsid w:val="007F0C9A"/>
    <w:rsid w:val="007F15A7"/>
    <w:rsid w:val="007F1F5D"/>
    <w:rsid w:val="007F5633"/>
    <w:rsid w:val="007F5B7C"/>
    <w:rsid w:val="007F5E92"/>
    <w:rsid w:val="007F6BD3"/>
    <w:rsid w:val="0080253B"/>
    <w:rsid w:val="0080298B"/>
    <w:rsid w:val="00802BAE"/>
    <w:rsid w:val="00802EAF"/>
    <w:rsid w:val="0080387F"/>
    <w:rsid w:val="00804111"/>
    <w:rsid w:val="008072DA"/>
    <w:rsid w:val="008078CB"/>
    <w:rsid w:val="008124D7"/>
    <w:rsid w:val="00813D2B"/>
    <w:rsid w:val="00815F16"/>
    <w:rsid w:val="00816409"/>
    <w:rsid w:val="008168F5"/>
    <w:rsid w:val="00817FB5"/>
    <w:rsid w:val="00821429"/>
    <w:rsid w:val="00822273"/>
    <w:rsid w:val="00825049"/>
    <w:rsid w:val="00825F5B"/>
    <w:rsid w:val="00831527"/>
    <w:rsid w:val="00832238"/>
    <w:rsid w:val="00835F58"/>
    <w:rsid w:val="00836A76"/>
    <w:rsid w:val="00837B6B"/>
    <w:rsid w:val="00842FFA"/>
    <w:rsid w:val="008437D6"/>
    <w:rsid w:val="00843C78"/>
    <w:rsid w:val="0084445A"/>
    <w:rsid w:val="00846C1B"/>
    <w:rsid w:val="00846E4A"/>
    <w:rsid w:val="00846ED3"/>
    <w:rsid w:val="00851A99"/>
    <w:rsid w:val="008536FF"/>
    <w:rsid w:val="0085424B"/>
    <w:rsid w:val="0085526E"/>
    <w:rsid w:val="008554A0"/>
    <w:rsid w:val="008558CB"/>
    <w:rsid w:val="008558F4"/>
    <w:rsid w:val="008568DE"/>
    <w:rsid w:val="00860CD7"/>
    <w:rsid w:val="00861DBA"/>
    <w:rsid w:val="00862710"/>
    <w:rsid w:val="008627E1"/>
    <w:rsid w:val="0086303D"/>
    <w:rsid w:val="00863932"/>
    <w:rsid w:val="00864841"/>
    <w:rsid w:val="00866559"/>
    <w:rsid w:val="00870D0D"/>
    <w:rsid w:val="00873F2A"/>
    <w:rsid w:val="008740F3"/>
    <w:rsid w:val="008745D5"/>
    <w:rsid w:val="00877DDF"/>
    <w:rsid w:val="008808DF"/>
    <w:rsid w:val="00881ABA"/>
    <w:rsid w:val="00891B2A"/>
    <w:rsid w:val="008920BE"/>
    <w:rsid w:val="0089222E"/>
    <w:rsid w:val="0089365D"/>
    <w:rsid w:val="00894E38"/>
    <w:rsid w:val="00897162"/>
    <w:rsid w:val="00897DFB"/>
    <w:rsid w:val="008A2BDD"/>
    <w:rsid w:val="008A37EC"/>
    <w:rsid w:val="008A4835"/>
    <w:rsid w:val="008A602B"/>
    <w:rsid w:val="008A67E7"/>
    <w:rsid w:val="008A7115"/>
    <w:rsid w:val="008A75A8"/>
    <w:rsid w:val="008B04B8"/>
    <w:rsid w:val="008B16F0"/>
    <w:rsid w:val="008B4131"/>
    <w:rsid w:val="008C3882"/>
    <w:rsid w:val="008D0695"/>
    <w:rsid w:val="008D1532"/>
    <w:rsid w:val="008D3899"/>
    <w:rsid w:val="008D63EB"/>
    <w:rsid w:val="008D6A92"/>
    <w:rsid w:val="008D7858"/>
    <w:rsid w:val="008E21D3"/>
    <w:rsid w:val="008E25E2"/>
    <w:rsid w:val="008E7313"/>
    <w:rsid w:val="008F18DE"/>
    <w:rsid w:val="008F20E7"/>
    <w:rsid w:val="008F21B3"/>
    <w:rsid w:val="008F3390"/>
    <w:rsid w:val="008F4573"/>
    <w:rsid w:val="008F4D1A"/>
    <w:rsid w:val="00900920"/>
    <w:rsid w:val="00901564"/>
    <w:rsid w:val="00901C43"/>
    <w:rsid w:val="009028D9"/>
    <w:rsid w:val="00903880"/>
    <w:rsid w:val="009038E2"/>
    <w:rsid w:val="0090421F"/>
    <w:rsid w:val="0090657C"/>
    <w:rsid w:val="00907B8E"/>
    <w:rsid w:val="00910C9C"/>
    <w:rsid w:val="00910D32"/>
    <w:rsid w:val="00914700"/>
    <w:rsid w:val="00915055"/>
    <w:rsid w:val="0091760F"/>
    <w:rsid w:val="00917AFF"/>
    <w:rsid w:val="009214CA"/>
    <w:rsid w:val="00921FC1"/>
    <w:rsid w:val="00923D04"/>
    <w:rsid w:val="00923E01"/>
    <w:rsid w:val="0092470A"/>
    <w:rsid w:val="0092530B"/>
    <w:rsid w:val="00927519"/>
    <w:rsid w:val="0093154A"/>
    <w:rsid w:val="009315E2"/>
    <w:rsid w:val="00932820"/>
    <w:rsid w:val="0093400C"/>
    <w:rsid w:val="00934678"/>
    <w:rsid w:val="00935BA9"/>
    <w:rsid w:val="0093734F"/>
    <w:rsid w:val="0094077A"/>
    <w:rsid w:val="00942EDD"/>
    <w:rsid w:val="00944007"/>
    <w:rsid w:val="00945EA7"/>
    <w:rsid w:val="0094742D"/>
    <w:rsid w:val="0095398F"/>
    <w:rsid w:val="00953ED8"/>
    <w:rsid w:val="00953EE9"/>
    <w:rsid w:val="00955D2A"/>
    <w:rsid w:val="00955E60"/>
    <w:rsid w:val="00961AAA"/>
    <w:rsid w:val="009635B7"/>
    <w:rsid w:val="00963A22"/>
    <w:rsid w:val="00970AC9"/>
    <w:rsid w:val="00970D17"/>
    <w:rsid w:val="00972B33"/>
    <w:rsid w:val="0097398F"/>
    <w:rsid w:val="00975AEA"/>
    <w:rsid w:val="00975E1C"/>
    <w:rsid w:val="00980D81"/>
    <w:rsid w:val="00981390"/>
    <w:rsid w:val="00981C54"/>
    <w:rsid w:val="009828A9"/>
    <w:rsid w:val="009832DA"/>
    <w:rsid w:val="00983531"/>
    <w:rsid w:val="00984DDA"/>
    <w:rsid w:val="009864F8"/>
    <w:rsid w:val="00986A8E"/>
    <w:rsid w:val="0099016C"/>
    <w:rsid w:val="009902E4"/>
    <w:rsid w:val="0099058C"/>
    <w:rsid w:val="00990C0E"/>
    <w:rsid w:val="00997436"/>
    <w:rsid w:val="00997874"/>
    <w:rsid w:val="00997DB7"/>
    <w:rsid w:val="009A0A40"/>
    <w:rsid w:val="009A4C77"/>
    <w:rsid w:val="009A543E"/>
    <w:rsid w:val="009A69C8"/>
    <w:rsid w:val="009A6A4D"/>
    <w:rsid w:val="009B04BA"/>
    <w:rsid w:val="009B0D80"/>
    <w:rsid w:val="009B2742"/>
    <w:rsid w:val="009B3505"/>
    <w:rsid w:val="009B363B"/>
    <w:rsid w:val="009B4056"/>
    <w:rsid w:val="009B682B"/>
    <w:rsid w:val="009C05CD"/>
    <w:rsid w:val="009C22EF"/>
    <w:rsid w:val="009C282A"/>
    <w:rsid w:val="009C52B8"/>
    <w:rsid w:val="009C6A07"/>
    <w:rsid w:val="009D0020"/>
    <w:rsid w:val="009D0C24"/>
    <w:rsid w:val="009D1C3A"/>
    <w:rsid w:val="009D1C88"/>
    <w:rsid w:val="009D1D60"/>
    <w:rsid w:val="009D27E3"/>
    <w:rsid w:val="009D4213"/>
    <w:rsid w:val="009D4518"/>
    <w:rsid w:val="009D6DA1"/>
    <w:rsid w:val="009E248B"/>
    <w:rsid w:val="009E27D1"/>
    <w:rsid w:val="009E45F5"/>
    <w:rsid w:val="009E75FA"/>
    <w:rsid w:val="009F00E7"/>
    <w:rsid w:val="009F0A5B"/>
    <w:rsid w:val="009F24DE"/>
    <w:rsid w:val="009F421D"/>
    <w:rsid w:val="009F466B"/>
    <w:rsid w:val="009F54B3"/>
    <w:rsid w:val="00A022F5"/>
    <w:rsid w:val="00A037E5"/>
    <w:rsid w:val="00A043AD"/>
    <w:rsid w:val="00A04BC7"/>
    <w:rsid w:val="00A05426"/>
    <w:rsid w:val="00A06212"/>
    <w:rsid w:val="00A06A66"/>
    <w:rsid w:val="00A06CAD"/>
    <w:rsid w:val="00A131C2"/>
    <w:rsid w:val="00A13B43"/>
    <w:rsid w:val="00A13E0C"/>
    <w:rsid w:val="00A14095"/>
    <w:rsid w:val="00A16468"/>
    <w:rsid w:val="00A2336E"/>
    <w:rsid w:val="00A24C8E"/>
    <w:rsid w:val="00A33127"/>
    <w:rsid w:val="00A3389D"/>
    <w:rsid w:val="00A37B34"/>
    <w:rsid w:val="00A37B87"/>
    <w:rsid w:val="00A405C7"/>
    <w:rsid w:val="00A40F63"/>
    <w:rsid w:val="00A4280E"/>
    <w:rsid w:val="00A42FB3"/>
    <w:rsid w:val="00A432CA"/>
    <w:rsid w:val="00A45908"/>
    <w:rsid w:val="00A505C6"/>
    <w:rsid w:val="00A53114"/>
    <w:rsid w:val="00A54D4D"/>
    <w:rsid w:val="00A5707C"/>
    <w:rsid w:val="00A575B6"/>
    <w:rsid w:val="00A60BBD"/>
    <w:rsid w:val="00A63299"/>
    <w:rsid w:val="00A63C05"/>
    <w:rsid w:val="00A64731"/>
    <w:rsid w:val="00A65C6F"/>
    <w:rsid w:val="00A6653B"/>
    <w:rsid w:val="00A66554"/>
    <w:rsid w:val="00A67ACB"/>
    <w:rsid w:val="00A706D5"/>
    <w:rsid w:val="00A72AB4"/>
    <w:rsid w:val="00A7319C"/>
    <w:rsid w:val="00A7488E"/>
    <w:rsid w:val="00A76263"/>
    <w:rsid w:val="00A8055C"/>
    <w:rsid w:val="00A8105E"/>
    <w:rsid w:val="00A81649"/>
    <w:rsid w:val="00A81B6C"/>
    <w:rsid w:val="00A81CBD"/>
    <w:rsid w:val="00A81E22"/>
    <w:rsid w:val="00A85139"/>
    <w:rsid w:val="00A86E63"/>
    <w:rsid w:val="00A92694"/>
    <w:rsid w:val="00A92823"/>
    <w:rsid w:val="00A935C1"/>
    <w:rsid w:val="00A9573C"/>
    <w:rsid w:val="00A95DA4"/>
    <w:rsid w:val="00A96576"/>
    <w:rsid w:val="00A965D0"/>
    <w:rsid w:val="00A96AFD"/>
    <w:rsid w:val="00A97BF8"/>
    <w:rsid w:val="00AA0642"/>
    <w:rsid w:val="00AA1044"/>
    <w:rsid w:val="00AA2ACC"/>
    <w:rsid w:val="00AA3057"/>
    <w:rsid w:val="00AA747A"/>
    <w:rsid w:val="00AB0939"/>
    <w:rsid w:val="00AB0AF5"/>
    <w:rsid w:val="00AB2323"/>
    <w:rsid w:val="00AB2423"/>
    <w:rsid w:val="00AB2C65"/>
    <w:rsid w:val="00AB34F3"/>
    <w:rsid w:val="00AB57C4"/>
    <w:rsid w:val="00AC0044"/>
    <w:rsid w:val="00AC11FB"/>
    <w:rsid w:val="00AC20BD"/>
    <w:rsid w:val="00AC2288"/>
    <w:rsid w:val="00AC24AD"/>
    <w:rsid w:val="00AC317F"/>
    <w:rsid w:val="00AC4B73"/>
    <w:rsid w:val="00AC6F9B"/>
    <w:rsid w:val="00AD25D2"/>
    <w:rsid w:val="00AD3921"/>
    <w:rsid w:val="00AD3E79"/>
    <w:rsid w:val="00AD689B"/>
    <w:rsid w:val="00AD693E"/>
    <w:rsid w:val="00AD7BB4"/>
    <w:rsid w:val="00AE1194"/>
    <w:rsid w:val="00AE1D04"/>
    <w:rsid w:val="00AE252F"/>
    <w:rsid w:val="00AE2F7F"/>
    <w:rsid w:val="00AE578F"/>
    <w:rsid w:val="00AE70B4"/>
    <w:rsid w:val="00AE77E7"/>
    <w:rsid w:val="00AF070D"/>
    <w:rsid w:val="00AF1451"/>
    <w:rsid w:val="00AF39CC"/>
    <w:rsid w:val="00AF3D49"/>
    <w:rsid w:val="00AF3D5A"/>
    <w:rsid w:val="00AF4375"/>
    <w:rsid w:val="00AF6387"/>
    <w:rsid w:val="00AF714A"/>
    <w:rsid w:val="00B00CF0"/>
    <w:rsid w:val="00B00E71"/>
    <w:rsid w:val="00B04C66"/>
    <w:rsid w:val="00B06664"/>
    <w:rsid w:val="00B122EF"/>
    <w:rsid w:val="00B12D26"/>
    <w:rsid w:val="00B12F9A"/>
    <w:rsid w:val="00B14D72"/>
    <w:rsid w:val="00B162A1"/>
    <w:rsid w:val="00B17D41"/>
    <w:rsid w:val="00B23651"/>
    <w:rsid w:val="00B239FD"/>
    <w:rsid w:val="00B24AD3"/>
    <w:rsid w:val="00B268D1"/>
    <w:rsid w:val="00B279BE"/>
    <w:rsid w:val="00B331F7"/>
    <w:rsid w:val="00B332BC"/>
    <w:rsid w:val="00B33334"/>
    <w:rsid w:val="00B3408D"/>
    <w:rsid w:val="00B346DF"/>
    <w:rsid w:val="00B3735E"/>
    <w:rsid w:val="00B37913"/>
    <w:rsid w:val="00B403D2"/>
    <w:rsid w:val="00B408F9"/>
    <w:rsid w:val="00B417E6"/>
    <w:rsid w:val="00B41AF5"/>
    <w:rsid w:val="00B42C60"/>
    <w:rsid w:val="00B43674"/>
    <w:rsid w:val="00B4374F"/>
    <w:rsid w:val="00B43A1E"/>
    <w:rsid w:val="00B44F90"/>
    <w:rsid w:val="00B45241"/>
    <w:rsid w:val="00B5068A"/>
    <w:rsid w:val="00B51396"/>
    <w:rsid w:val="00B5193B"/>
    <w:rsid w:val="00B53E26"/>
    <w:rsid w:val="00B54582"/>
    <w:rsid w:val="00B55976"/>
    <w:rsid w:val="00B55EAE"/>
    <w:rsid w:val="00B56C9E"/>
    <w:rsid w:val="00B57803"/>
    <w:rsid w:val="00B57A4C"/>
    <w:rsid w:val="00B61F02"/>
    <w:rsid w:val="00B62C0E"/>
    <w:rsid w:val="00B62DC6"/>
    <w:rsid w:val="00B63003"/>
    <w:rsid w:val="00B6553F"/>
    <w:rsid w:val="00B6683D"/>
    <w:rsid w:val="00B66C6D"/>
    <w:rsid w:val="00B670AF"/>
    <w:rsid w:val="00B73088"/>
    <w:rsid w:val="00B73D4F"/>
    <w:rsid w:val="00B73E7F"/>
    <w:rsid w:val="00B7456B"/>
    <w:rsid w:val="00B74BA9"/>
    <w:rsid w:val="00B74CC7"/>
    <w:rsid w:val="00B753D6"/>
    <w:rsid w:val="00B76F8E"/>
    <w:rsid w:val="00B778A8"/>
    <w:rsid w:val="00B8030A"/>
    <w:rsid w:val="00B8476D"/>
    <w:rsid w:val="00B853AB"/>
    <w:rsid w:val="00B85593"/>
    <w:rsid w:val="00B86557"/>
    <w:rsid w:val="00B86FD6"/>
    <w:rsid w:val="00B929A7"/>
    <w:rsid w:val="00B92B5E"/>
    <w:rsid w:val="00B96213"/>
    <w:rsid w:val="00B967C2"/>
    <w:rsid w:val="00BA014F"/>
    <w:rsid w:val="00BA15AA"/>
    <w:rsid w:val="00BA27B0"/>
    <w:rsid w:val="00BB0489"/>
    <w:rsid w:val="00BB354F"/>
    <w:rsid w:val="00BB59DB"/>
    <w:rsid w:val="00BB5B42"/>
    <w:rsid w:val="00BB60D8"/>
    <w:rsid w:val="00BB6DE5"/>
    <w:rsid w:val="00BC3ACC"/>
    <w:rsid w:val="00BC3C4B"/>
    <w:rsid w:val="00BC59F7"/>
    <w:rsid w:val="00BC5EC6"/>
    <w:rsid w:val="00BC735F"/>
    <w:rsid w:val="00BD01D9"/>
    <w:rsid w:val="00BD5064"/>
    <w:rsid w:val="00BD5B43"/>
    <w:rsid w:val="00BD61EF"/>
    <w:rsid w:val="00BD62A0"/>
    <w:rsid w:val="00BD7EC5"/>
    <w:rsid w:val="00BD7FEE"/>
    <w:rsid w:val="00BE01C6"/>
    <w:rsid w:val="00BE0318"/>
    <w:rsid w:val="00BE08BE"/>
    <w:rsid w:val="00BE0CEC"/>
    <w:rsid w:val="00BE202F"/>
    <w:rsid w:val="00BE380F"/>
    <w:rsid w:val="00BE4759"/>
    <w:rsid w:val="00BE4ECF"/>
    <w:rsid w:val="00BE59B4"/>
    <w:rsid w:val="00BE64BE"/>
    <w:rsid w:val="00BF22C1"/>
    <w:rsid w:val="00BF3D68"/>
    <w:rsid w:val="00BF40EC"/>
    <w:rsid w:val="00BF4F89"/>
    <w:rsid w:val="00BF5655"/>
    <w:rsid w:val="00BF58CB"/>
    <w:rsid w:val="00BF767B"/>
    <w:rsid w:val="00C00803"/>
    <w:rsid w:val="00C0146E"/>
    <w:rsid w:val="00C03652"/>
    <w:rsid w:val="00C039C8"/>
    <w:rsid w:val="00C04335"/>
    <w:rsid w:val="00C04B75"/>
    <w:rsid w:val="00C0759E"/>
    <w:rsid w:val="00C10042"/>
    <w:rsid w:val="00C11F72"/>
    <w:rsid w:val="00C12340"/>
    <w:rsid w:val="00C13DF7"/>
    <w:rsid w:val="00C14554"/>
    <w:rsid w:val="00C14BF9"/>
    <w:rsid w:val="00C152B5"/>
    <w:rsid w:val="00C16F3C"/>
    <w:rsid w:val="00C172F6"/>
    <w:rsid w:val="00C17ED8"/>
    <w:rsid w:val="00C207DF"/>
    <w:rsid w:val="00C21049"/>
    <w:rsid w:val="00C227F3"/>
    <w:rsid w:val="00C22E5E"/>
    <w:rsid w:val="00C23A62"/>
    <w:rsid w:val="00C23CC2"/>
    <w:rsid w:val="00C24DBE"/>
    <w:rsid w:val="00C25D1D"/>
    <w:rsid w:val="00C31136"/>
    <w:rsid w:val="00C3141E"/>
    <w:rsid w:val="00C3262B"/>
    <w:rsid w:val="00C326D8"/>
    <w:rsid w:val="00C327B5"/>
    <w:rsid w:val="00C32976"/>
    <w:rsid w:val="00C340EC"/>
    <w:rsid w:val="00C40394"/>
    <w:rsid w:val="00C40F5A"/>
    <w:rsid w:val="00C43845"/>
    <w:rsid w:val="00C43AE9"/>
    <w:rsid w:val="00C455CF"/>
    <w:rsid w:val="00C45CBA"/>
    <w:rsid w:val="00C5131D"/>
    <w:rsid w:val="00C51B8A"/>
    <w:rsid w:val="00C52A08"/>
    <w:rsid w:val="00C53E87"/>
    <w:rsid w:val="00C540BC"/>
    <w:rsid w:val="00C54314"/>
    <w:rsid w:val="00C5481F"/>
    <w:rsid w:val="00C5585E"/>
    <w:rsid w:val="00C577A1"/>
    <w:rsid w:val="00C57C13"/>
    <w:rsid w:val="00C60EB5"/>
    <w:rsid w:val="00C614B8"/>
    <w:rsid w:val="00C61DDC"/>
    <w:rsid w:val="00C63B70"/>
    <w:rsid w:val="00C64F2A"/>
    <w:rsid w:val="00C664F8"/>
    <w:rsid w:val="00C71ADB"/>
    <w:rsid w:val="00C7236B"/>
    <w:rsid w:val="00C73193"/>
    <w:rsid w:val="00C73707"/>
    <w:rsid w:val="00C73AEA"/>
    <w:rsid w:val="00C7599C"/>
    <w:rsid w:val="00C75DE4"/>
    <w:rsid w:val="00C75EAE"/>
    <w:rsid w:val="00C76254"/>
    <w:rsid w:val="00C806AF"/>
    <w:rsid w:val="00C80D58"/>
    <w:rsid w:val="00C83630"/>
    <w:rsid w:val="00C85274"/>
    <w:rsid w:val="00C86E52"/>
    <w:rsid w:val="00C86FA1"/>
    <w:rsid w:val="00C87A64"/>
    <w:rsid w:val="00C87E54"/>
    <w:rsid w:val="00C93857"/>
    <w:rsid w:val="00C9418C"/>
    <w:rsid w:val="00C94858"/>
    <w:rsid w:val="00C94A7D"/>
    <w:rsid w:val="00C94C0A"/>
    <w:rsid w:val="00C95064"/>
    <w:rsid w:val="00C95CC8"/>
    <w:rsid w:val="00C95D57"/>
    <w:rsid w:val="00C96C0A"/>
    <w:rsid w:val="00C96E46"/>
    <w:rsid w:val="00C97EB3"/>
    <w:rsid w:val="00CA0EDA"/>
    <w:rsid w:val="00CA255A"/>
    <w:rsid w:val="00CA31FD"/>
    <w:rsid w:val="00CA38B1"/>
    <w:rsid w:val="00CA4A23"/>
    <w:rsid w:val="00CA6243"/>
    <w:rsid w:val="00CA7C59"/>
    <w:rsid w:val="00CB06CB"/>
    <w:rsid w:val="00CB0BE7"/>
    <w:rsid w:val="00CB0FF3"/>
    <w:rsid w:val="00CB1131"/>
    <w:rsid w:val="00CB1B19"/>
    <w:rsid w:val="00CB2DEB"/>
    <w:rsid w:val="00CB40B5"/>
    <w:rsid w:val="00CB5D8A"/>
    <w:rsid w:val="00CB74D4"/>
    <w:rsid w:val="00CC3A11"/>
    <w:rsid w:val="00CC45A3"/>
    <w:rsid w:val="00CC4A3F"/>
    <w:rsid w:val="00CC4C2E"/>
    <w:rsid w:val="00CC52BC"/>
    <w:rsid w:val="00CC5EF6"/>
    <w:rsid w:val="00CD0F9C"/>
    <w:rsid w:val="00CD1BEA"/>
    <w:rsid w:val="00CD1D57"/>
    <w:rsid w:val="00CD2C96"/>
    <w:rsid w:val="00CD37ED"/>
    <w:rsid w:val="00CD44F9"/>
    <w:rsid w:val="00CD4B67"/>
    <w:rsid w:val="00CD6E32"/>
    <w:rsid w:val="00CD7C93"/>
    <w:rsid w:val="00CE07A6"/>
    <w:rsid w:val="00CE0B73"/>
    <w:rsid w:val="00CE18F9"/>
    <w:rsid w:val="00CE1AE8"/>
    <w:rsid w:val="00CE1DAB"/>
    <w:rsid w:val="00CE2E45"/>
    <w:rsid w:val="00CE2EF7"/>
    <w:rsid w:val="00CE4167"/>
    <w:rsid w:val="00CE4837"/>
    <w:rsid w:val="00CF0693"/>
    <w:rsid w:val="00CF3E55"/>
    <w:rsid w:val="00CF4272"/>
    <w:rsid w:val="00CF47BF"/>
    <w:rsid w:val="00CF572A"/>
    <w:rsid w:val="00CF6064"/>
    <w:rsid w:val="00CF607B"/>
    <w:rsid w:val="00D00BF2"/>
    <w:rsid w:val="00D0148C"/>
    <w:rsid w:val="00D01762"/>
    <w:rsid w:val="00D01BF2"/>
    <w:rsid w:val="00D02768"/>
    <w:rsid w:val="00D0375D"/>
    <w:rsid w:val="00D03798"/>
    <w:rsid w:val="00D03CBD"/>
    <w:rsid w:val="00D0561C"/>
    <w:rsid w:val="00D05759"/>
    <w:rsid w:val="00D06C6D"/>
    <w:rsid w:val="00D0759B"/>
    <w:rsid w:val="00D07C03"/>
    <w:rsid w:val="00D07E92"/>
    <w:rsid w:val="00D07EEB"/>
    <w:rsid w:val="00D147BB"/>
    <w:rsid w:val="00D20164"/>
    <w:rsid w:val="00D2085E"/>
    <w:rsid w:val="00D20B3E"/>
    <w:rsid w:val="00D21339"/>
    <w:rsid w:val="00D2195A"/>
    <w:rsid w:val="00D2240E"/>
    <w:rsid w:val="00D22C4E"/>
    <w:rsid w:val="00D23E3A"/>
    <w:rsid w:val="00D242BF"/>
    <w:rsid w:val="00D26D9F"/>
    <w:rsid w:val="00D27532"/>
    <w:rsid w:val="00D30F54"/>
    <w:rsid w:val="00D326FC"/>
    <w:rsid w:val="00D3383F"/>
    <w:rsid w:val="00D33851"/>
    <w:rsid w:val="00D33B02"/>
    <w:rsid w:val="00D37E97"/>
    <w:rsid w:val="00D427AF"/>
    <w:rsid w:val="00D45506"/>
    <w:rsid w:val="00D459DF"/>
    <w:rsid w:val="00D45BC7"/>
    <w:rsid w:val="00D45FFA"/>
    <w:rsid w:val="00D47BA3"/>
    <w:rsid w:val="00D50354"/>
    <w:rsid w:val="00D5202A"/>
    <w:rsid w:val="00D52615"/>
    <w:rsid w:val="00D55516"/>
    <w:rsid w:val="00D5690F"/>
    <w:rsid w:val="00D6077D"/>
    <w:rsid w:val="00D6165D"/>
    <w:rsid w:val="00D6259D"/>
    <w:rsid w:val="00D62E42"/>
    <w:rsid w:val="00D63D72"/>
    <w:rsid w:val="00D6405E"/>
    <w:rsid w:val="00D64357"/>
    <w:rsid w:val="00D66BA6"/>
    <w:rsid w:val="00D67CAD"/>
    <w:rsid w:val="00D67FD2"/>
    <w:rsid w:val="00D71211"/>
    <w:rsid w:val="00D74280"/>
    <w:rsid w:val="00D74F8A"/>
    <w:rsid w:val="00D768FB"/>
    <w:rsid w:val="00D800A1"/>
    <w:rsid w:val="00D80CA1"/>
    <w:rsid w:val="00D83752"/>
    <w:rsid w:val="00D8497C"/>
    <w:rsid w:val="00D858FD"/>
    <w:rsid w:val="00D85F6F"/>
    <w:rsid w:val="00D877C1"/>
    <w:rsid w:val="00D90AC1"/>
    <w:rsid w:val="00D91205"/>
    <w:rsid w:val="00D952F6"/>
    <w:rsid w:val="00D96D69"/>
    <w:rsid w:val="00D97673"/>
    <w:rsid w:val="00DA0207"/>
    <w:rsid w:val="00DA0908"/>
    <w:rsid w:val="00DA2127"/>
    <w:rsid w:val="00DA4133"/>
    <w:rsid w:val="00DA4A30"/>
    <w:rsid w:val="00DA684B"/>
    <w:rsid w:val="00DB02BC"/>
    <w:rsid w:val="00DB5A89"/>
    <w:rsid w:val="00DB5EEC"/>
    <w:rsid w:val="00DC2E07"/>
    <w:rsid w:val="00DC3024"/>
    <w:rsid w:val="00DC48F3"/>
    <w:rsid w:val="00DC4D60"/>
    <w:rsid w:val="00DC602F"/>
    <w:rsid w:val="00DC6B2B"/>
    <w:rsid w:val="00DD521E"/>
    <w:rsid w:val="00DE2771"/>
    <w:rsid w:val="00DE462D"/>
    <w:rsid w:val="00DE4C5B"/>
    <w:rsid w:val="00DE5096"/>
    <w:rsid w:val="00DE7C45"/>
    <w:rsid w:val="00DF4649"/>
    <w:rsid w:val="00DF4A58"/>
    <w:rsid w:val="00DF52C0"/>
    <w:rsid w:val="00DF5906"/>
    <w:rsid w:val="00DF649D"/>
    <w:rsid w:val="00DF7F2D"/>
    <w:rsid w:val="00E01874"/>
    <w:rsid w:val="00E04171"/>
    <w:rsid w:val="00E04753"/>
    <w:rsid w:val="00E05279"/>
    <w:rsid w:val="00E1030E"/>
    <w:rsid w:val="00E10626"/>
    <w:rsid w:val="00E124FC"/>
    <w:rsid w:val="00E125FF"/>
    <w:rsid w:val="00E12B24"/>
    <w:rsid w:val="00E13356"/>
    <w:rsid w:val="00E1389E"/>
    <w:rsid w:val="00E143B0"/>
    <w:rsid w:val="00E151BB"/>
    <w:rsid w:val="00E156D7"/>
    <w:rsid w:val="00E175AA"/>
    <w:rsid w:val="00E2003F"/>
    <w:rsid w:val="00E20AAA"/>
    <w:rsid w:val="00E20AEB"/>
    <w:rsid w:val="00E20F22"/>
    <w:rsid w:val="00E2543B"/>
    <w:rsid w:val="00E2577A"/>
    <w:rsid w:val="00E259A5"/>
    <w:rsid w:val="00E263E9"/>
    <w:rsid w:val="00E271FA"/>
    <w:rsid w:val="00E27E46"/>
    <w:rsid w:val="00E303AB"/>
    <w:rsid w:val="00E36246"/>
    <w:rsid w:val="00E36ABB"/>
    <w:rsid w:val="00E418A4"/>
    <w:rsid w:val="00E42E6A"/>
    <w:rsid w:val="00E4379E"/>
    <w:rsid w:val="00E46432"/>
    <w:rsid w:val="00E46536"/>
    <w:rsid w:val="00E478A6"/>
    <w:rsid w:val="00E51204"/>
    <w:rsid w:val="00E5242F"/>
    <w:rsid w:val="00E53A67"/>
    <w:rsid w:val="00E54F42"/>
    <w:rsid w:val="00E56013"/>
    <w:rsid w:val="00E57537"/>
    <w:rsid w:val="00E577A5"/>
    <w:rsid w:val="00E62B1A"/>
    <w:rsid w:val="00E6368F"/>
    <w:rsid w:val="00E64AAC"/>
    <w:rsid w:val="00E64AFF"/>
    <w:rsid w:val="00E64C77"/>
    <w:rsid w:val="00E6615A"/>
    <w:rsid w:val="00E672FA"/>
    <w:rsid w:val="00E67917"/>
    <w:rsid w:val="00E71A4C"/>
    <w:rsid w:val="00E723AF"/>
    <w:rsid w:val="00E76D30"/>
    <w:rsid w:val="00E77BA7"/>
    <w:rsid w:val="00E77D9D"/>
    <w:rsid w:val="00E80E43"/>
    <w:rsid w:val="00E81B75"/>
    <w:rsid w:val="00E825A5"/>
    <w:rsid w:val="00E83029"/>
    <w:rsid w:val="00E83CCE"/>
    <w:rsid w:val="00E862D0"/>
    <w:rsid w:val="00E86A91"/>
    <w:rsid w:val="00E87E13"/>
    <w:rsid w:val="00E91926"/>
    <w:rsid w:val="00E91EB3"/>
    <w:rsid w:val="00E94030"/>
    <w:rsid w:val="00E95046"/>
    <w:rsid w:val="00EA128E"/>
    <w:rsid w:val="00EA3369"/>
    <w:rsid w:val="00EA370D"/>
    <w:rsid w:val="00EA3BB4"/>
    <w:rsid w:val="00EA3C91"/>
    <w:rsid w:val="00EB0AB9"/>
    <w:rsid w:val="00EB1DD6"/>
    <w:rsid w:val="00EB1FB9"/>
    <w:rsid w:val="00EB3E00"/>
    <w:rsid w:val="00EB615D"/>
    <w:rsid w:val="00EB6ACD"/>
    <w:rsid w:val="00EB70E8"/>
    <w:rsid w:val="00EC0C7D"/>
    <w:rsid w:val="00EC21BA"/>
    <w:rsid w:val="00EC29BC"/>
    <w:rsid w:val="00EC4C88"/>
    <w:rsid w:val="00EC609D"/>
    <w:rsid w:val="00EC7988"/>
    <w:rsid w:val="00ED201D"/>
    <w:rsid w:val="00ED46D7"/>
    <w:rsid w:val="00ED5B53"/>
    <w:rsid w:val="00ED6221"/>
    <w:rsid w:val="00EE1E45"/>
    <w:rsid w:val="00EE448F"/>
    <w:rsid w:val="00EE546E"/>
    <w:rsid w:val="00EE5C39"/>
    <w:rsid w:val="00EE7513"/>
    <w:rsid w:val="00EE7BE9"/>
    <w:rsid w:val="00EF0613"/>
    <w:rsid w:val="00EF06EB"/>
    <w:rsid w:val="00EF158C"/>
    <w:rsid w:val="00EF15CC"/>
    <w:rsid w:val="00EF16FF"/>
    <w:rsid w:val="00EF1906"/>
    <w:rsid w:val="00EF449D"/>
    <w:rsid w:val="00EF48BB"/>
    <w:rsid w:val="00EF5B7F"/>
    <w:rsid w:val="00EF61C6"/>
    <w:rsid w:val="00EF62E5"/>
    <w:rsid w:val="00EF63E2"/>
    <w:rsid w:val="00EF69CD"/>
    <w:rsid w:val="00F0006D"/>
    <w:rsid w:val="00F011D4"/>
    <w:rsid w:val="00F04193"/>
    <w:rsid w:val="00F07527"/>
    <w:rsid w:val="00F075EC"/>
    <w:rsid w:val="00F11292"/>
    <w:rsid w:val="00F11929"/>
    <w:rsid w:val="00F11A8C"/>
    <w:rsid w:val="00F11D18"/>
    <w:rsid w:val="00F13468"/>
    <w:rsid w:val="00F13481"/>
    <w:rsid w:val="00F13DAC"/>
    <w:rsid w:val="00F1410D"/>
    <w:rsid w:val="00F14732"/>
    <w:rsid w:val="00F1494C"/>
    <w:rsid w:val="00F1495C"/>
    <w:rsid w:val="00F16800"/>
    <w:rsid w:val="00F16A5D"/>
    <w:rsid w:val="00F170B9"/>
    <w:rsid w:val="00F226AB"/>
    <w:rsid w:val="00F23259"/>
    <w:rsid w:val="00F23360"/>
    <w:rsid w:val="00F246C4"/>
    <w:rsid w:val="00F24CF6"/>
    <w:rsid w:val="00F25344"/>
    <w:rsid w:val="00F254D8"/>
    <w:rsid w:val="00F26DB5"/>
    <w:rsid w:val="00F337CB"/>
    <w:rsid w:val="00F363A8"/>
    <w:rsid w:val="00F36F43"/>
    <w:rsid w:val="00F40896"/>
    <w:rsid w:val="00F4168F"/>
    <w:rsid w:val="00F42FA8"/>
    <w:rsid w:val="00F431ED"/>
    <w:rsid w:val="00F44B7F"/>
    <w:rsid w:val="00F466C7"/>
    <w:rsid w:val="00F47E8B"/>
    <w:rsid w:val="00F47F4E"/>
    <w:rsid w:val="00F5000C"/>
    <w:rsid w:val="00F53FE6"/>
    <w:rsid w:val="00F54B31"/>
    <w:rsid w:val="00F559E8"/>
    <w:rsid w:val="00F6271D"/>
    <w:rsid w:val="00F641B8"/>
    <w:rsid w:val="00F67D96"/>
    <w:rsid w:val="00F72B47"/>
    <w:rsid w:val="00F7428C"/>
    <w:rsid w:val="00F75CB9"/>
    <w:rsid w:val="00F76CDB"/>
    <w:rsid w:val="00F84D22"/>
    <w:rsid w:val="00F91E3A"/>
    <w:rsid w:val="00F9200E"/>
    <w:rsid w:val="00F9457C"/>
    <w:rsid w:val="00F9507B"/>
    <w:rsid w:val="00F95A43"/>
    <w:rsid w:val="00F95B31"/>
    <w:rsid w:val="00F969FB"/>
    <w:rsid w:val="00FA26F3"/>
    <w:rsid w:val="00FA47AD"/>
    <w:rsid w:val="00FA4965"/>
    <w:rsid w:val="00FA57E2"/>
    <w:rsid w:val="00FA5FA2"/>
    <w:rsid w:val="00FA79B7"/>
    <w:rsid w:val="00FB028D"/>
    <w:rsid w:val="00FB10DB"/>
    <w:rsid w:val="00FB1D35"/>
    <w:rsid w:val="00FB479F"/>
    <w:rsid w:val="00FB741A"/>
    <w:rsid w:val="00FC03B8"/>
    <w:rsid w:val="00FC2694"/>
    <w:rsid w:val="00FC2FD0"/>
    <w:rsid w:val="00FC3624"/>
    <w:rsid w:val="00FC4193"/>
    <w:rsid w:val="00FC49A3"/>
    <w:rsid w:val="00FC5AD8"/>
    <w:rsid w:val="00FD0D73"/>
    <w:rsid w:val="00FD0EED"/>
    <w:rsid w:val="00FD1469"/>
    <w:rsid w:val="00FD2858"/>
    <w:rsid w:val="00FD2C21"/>
    <w:rsid w:val="00FD2F01"/>
    <w:rsid w:val="00FD34CD"/>
    <w:rsid w:val="00FD3B27"/>
    <w:rsid w:val="00FD68E8"/>
    <w:rsid w:val="00FE0130"/>
    <w:rsid w:val="00FE1384"/>
    <w:rsid w:val="00FE5058"/>
    <w:rsid w:val="00FE5B89"/>
    <w:rsid w:val="00FE612E"/>
    <w:rsid w:val="00FF08E4"/>
    <w:rsid w:val="00FF39A0"/>
    <w:rsid w:val="00FF39BB"/>
    <w:rsid w:val="00FF5574"/>
    <w:rsid w:val="00FF65D9"/>
    <w:rsid w:val="00FF791F"/>
    <w:rsid w:val="011473B7"/>
    <w:rsid w:val="01192C1F"/>
    <w:rsid w:val="012041B1"/>
    <w:rsid w:val="01441991"/>
    <w:rsid w:val="015C1658"/>
    <w:rsid w:val="017B15A4"/>
    <w:rsid w:val="01CE2F0C"/>
    <w:rsid w:val="01E52978"/>
    <w:rsid w:val="02166FB0"/>
    <w:rsid w:val="023C371B"/>
    <w:rsid w:val="02981D43"/>
    <w:rsid w:val="02B73400"/>
    <w:rsid w:val="02BE0F5B"/>
    <w:rsid w:val="02FE20CD"/>
    <w:rsid w:val="03334117"/>
    <w:rsid w:val="037763D4"/>
    <w:rsid w:val="03C13595"/>
    <w:rsid w:val="03C77CAA"/>
    <w:rsid w:val="05101035"/>
    <w:rsid w:val="054D617B"/>
    <w:rsid w:val="05946C94"/>
    <w:rsid w:val="06C723F9"/>
    <w:rsid w:val="07FA6F03"/>
    <w:rsid w:val="08675DDA"/>
    <w:rsid w:val="087C739F"/>
    <w:rsid w:val="08C329F8"/>
    <w:rsid w:val="095910D9"/>
    <w:rsid w:val="096C2EB9"/>
    <w:rsid w:val="0A2409EF"/>
    <w:rsid w:val="0A851326"/>
    <w:rsid w:val="0AB66FEF"/>
    <w:rsid w:val="0AE4020E"/>
    <w:rsid w:val="0AF12517"/>
    <w:rsid w:val="0B477ECE"/>
    <w:rsid w:val="0C0603F5"/>
    <w:rsid w:val="0C2B5269"/>
    <w:rsid w:val="0C9F0120"/>
    <w:rsid w:val="0CA71EF8"/>
    <w:rsid w:val="0CD653D2"/>
    <w:rsid w:val="0CFC2D6B"/>
    <w:rsid w:val="0D0C53E6"/>
    <w:rsid w:val="0D35493D"/>
    <w:rsid w:val="0D584C28"/>
    <w:rsid w:val="0DA779A8"/>
    <w:rsid w:val="0E925DBF"/>
    <w:rsid w:val="0EE7610B"/>
    <w:rsid w:val="0F482232"/>
    <w:rsid w:val="0FA06510"/>
    <w:rsid w:val="0FF660A4"/>
    <w:rsid w:val="105A5310"/>
    <w:rsid w:val="10DF65DD"/>
    <w:rsid w:val="113D31F3"/>
    <w:rsid w:val="11525A86"/>
    <w:rsid w:val="11CA7A81"/>
    <w:rsid w:val="11D01758"/>
    <w:rsid w:val="11E92B4F"/>
    <w:rsid w:val="11F80D4E"/>
    <w:rsid w:val="12650FBB"/>
    <w:rsid w:val="12B20445"/>
    <w:rsid w:val="12B90AA0"/>
    <w:rsid w:val="131A6F2E"/>
    <w:rsid w:val="132D4769"/>
    <w:rsid w:val="13451652"/>
    <w:rsid w:val="13B74D6C"/>
    <w:rsid w:val="13BC70A7"/>
    <w:rsid w:val="13C1375D"/>
    <w:rsid w:val="13E231B9"/>
    <w:rsid w:val="13EA20C6"/>
    <w:rsid w:val="14874C4B"/>
    <w:rsid w:val="14E3438B"/>
    <w:rsid w:val="153346FC"/>
    <w:rsid w:val="1585042C"/>
    <w:rsid w:val="15CA198C"/>
    <w:rsid w:val="15D942D4"/>
    <w:rsid w:val="1666624C"/>
    <w:rsid w:val="16B5087C"/>
    <w:rsid w:val="16FA54FD"/>
    <w:rsid w:val="1710609E"/>
    <w:rsid w:val="17420CB0"/>
    <w:rsid w:val="185633FD"/>
    <w:rsid w:val="189578F6"/>
    <w:rsid w:val="190379D8"/>
    <w:rsid w:val="19286884"/>
    <w:rsid w:val="193A5BFE"/>
    <w:rsid w:val="198F7ACB"/>
    <w:rsid w:val="19A74E14"/>
    <w:rsid w:val="1A2C356C"/>
    <w:rsid w:val="1AF57590"/>
    <w:rsid w:val="1BBC762D"/>
    <w:rsid w:val="1BF96253"/>
    <w:rsid w:val="1C5C710C"/>
    <w:rsid w:val="1C9553F8"/>
    <w:rsid w:val="1D084F1F"/>
    <w:rsid w:val="1D8F272E"/>
    <w:rsid w:val="1DE179B4"/>
    <w:rsid w:val="1DED2E12"/>
    <w:rsid w:val="1DF055E7"/>
    <w:rsid w:val="1DFF7EB5"/>
    <w:rsid w:val="1E9D2342"/>
    <w:rsid w:val="1EBB01AC"/>
    <w:rsid w:val="1F0D56A6"/>
    <w:rsid w:val="1F1A1BE5"/>
    <w:rsid w:val="1F2A3EE6"/>
    <w:rsid w:val="1F356A1F"/>
    <w:rsid w:val="1F4C79CA"/>
    <w:rsid w:val="1FAC2E71"/>
    <w:rsid w:val="1FB97650"/>
    <w:rsid w:val="20296979"/>
    <w:rsid w:val="20360DC8"/>
    <w:rsid w:val="20670E5A"/>
    <w:rsid w:val="20940615"/>
    <w:rsid w:val="20A0237E"/>
    <w:rsid w:val="21051C81"/>
    <w:rsid w:val="212217BB"/>
    <w:rsid w:val="21C33357"/>
    <w:rsid w:val="22145699"/>
    <w:rsid w:val="22637833"/>
    <w:rsid w:val="23C12F77"/>
    <w:rsid w:val="23F532F5"/>
    <w:rsid w:val="24B8162B"/>
    <w:rsid w:val="25371704"/>
    <w:rsid w:val="25A82F5B"/>
    <w:rsid w:val="25C212FC"/>
    <w:rsid w:val="26B32721"/>
    <w:rsid w:val="26C14336"/>
    <w:rsid w:val="27025A6F"/>
    <w:rsid w:val="2720227E"/>
    <w:rsid w:val="272F7E1E"/>
    <w:rsid w:val="27514612"/>
    <w:rsid w:val="27AD6902"/>
    <w:rsid w:val="28366C34"/>
    <w:rsid w:val="28610884"/>
    <w:rsid w:val="28D27195"/>
    <w:rsid w:val="29151936"/>
    <w:rsid w:val="29246EF5"/>
    <w:rsid w:val="29884C59"/>
    <w:rsid w:val="29A50C45"/>
    <w:rsid w:val="2A391AB9"/>
    <w:rsid w:val="2B462942"/>
    <w:rsid w:val="2B6C1A1A"/>
    <w:rsid w:val="2B6E786C"/>
    <w:rsid w:val="2BB31C03"/>
    <w:rsid w:val="2D2C0D7F"/>
    <w:rsid w:val="2D4A458D"/>
    <w:rsid w:val="2D912DBE"/>
    <w:rsid w:val="2DB85A91"/>
    <w:rsid w:val="2DD778B2"/>
    <w:rsid w:val="2DE61FC5"/>
    <w:rsid w:val="2E216200"/>
    <w:rsid w:val="2E892AD4"/>
    <w:rsid w:val="2EA9716C"/>
    <w:rsid w:val="2EB77450"/>
    <w:rsid w:val="2ED01F0F"/>
    <w:rsid w:val="2EEF12C4"/>
    <w:rsid w:val="2F22047F"/>
    <w:rsid w:val="2F407445"/>
    <w:rsid w:val="2F7522D8"/>
    <w:rsid w:val="2F81180C"/>
    <w:rsid w:val="2FAD520D"/>
    <w:rsid w:val="300F33E1"/>
    <w:rsid w:val="301A4265"/>
    <w:rsid w:val="306B3F84"/>
    <w:rsid w:val="30B77D0A"/>
    <w:rsid w:val="313360FD"/>
    <w:rsid w:val="314B2488"/>
    <w:rsid w:val="31DA5BB8"/>
    <w:rsid w:val="320F75A3"/>
    <w:rsid w:val="32156142"/>
    <w:rsid w:val="330C4DE0"/>
    <w:rsid w:val="33541FAA"/>
    <w:rsid w:val="337E12C5"/>
    <w:rsid w:val="33C10429"/>
    <w:rsid w:val="33D463AE"/>
    <w:rsid w:val="348B3420"/>
    <w:rsid w:val="349F21B3"/>
    <w:rsid w:val="34D7351B"/>
    <w:rsid w:val="34FA62E8"/>
    <w:rsid w:val="359E7EF4"/>
    <w:rsid w:val="35DA3C54"/>
    <w:rsid w:val="36723C5D"/>
    <w:rsid w:val="36DF5796"/>
    <w:rsid w:val="37157F7B"/>
    <w:rsid w:val="37395A7F"/>
    <w:rsid w:val="37431774"/>
    <w:rsid w:val="37812D95"/>
    <w:rsid w:val="386D0AE5"/>
    <w:rsid w:val="38C20ECB"/>
    <w:rsid w:val="39066384"/>
    <w:rsid w:val="39D218F7"/>
    <w:rsid w:val="39D561D2"/>
    <w:rsid w:val="3A244F84"/>
    <w:rsid w:val="3A382F57"/>
    <w:rsid w:val="3A573AE5"/>
    <w:rsid w:val="3A7356B8"/>
    <w:rsid w:val="3A7872EC"/>
    <w:rsid w:val="3ADA1E29"/>
    <w:rsid w:val="3B2B6369"/>
    <w:rsid w:val="3B394D62"/>
    <w:rsid w:val="3BA40241"/>
    <w:rsid w:val="3C1A7255"/>
    <w:rsid w:val="3C854F01"/>
    <w:rsid w:val="3D107046"/>
    <w:rsid w:val="3DE400A4"/>
    <w:rsid w:val="3DE4348C"/>
    <w:rsid w:val="3E105C72"/>
    <w:rsid w:val="3E2F392F"/>
    <w:rsid w:val="3E5500EC"/>
    <w:rsid w:val="3E6D0195"/>
    <w:rsid w:val="3ED73874"/>
    <w:rsid w:val="3F20694C"/>
    <w:rsid w:val="3F256E40"/>
    <w:rsid w:val="3FD42674"/>
    <w:rsid w:val="3FE45884"/>
    <w:rsid w:val="401821C0"/>
    <w:rsid w:val="405F065E"/>
    <w:rsid w:val="40771ED5"/>
    <w:rsid w:val="40B46084"/>
    <w:rsid w:val="40ED5796"/>
    <w:rsid w:val="4121524D"/>
    <w:rsid w:val="412F1923"/>
    <w:rsid w:val="418D4040"/>
    <w:rsid w:val="423C0D41"/>
    <w:rsid w:val="42642FF3"/>
    <w:rsid w:val="42644DA1"/>
    <w:rsid w:val="42D812EB"/>
    <w:rsid w:val="42D85DC2"/>
    <w:rsid w:val="42EF24CB"/>
    <w:rsid w:val="42FA497A"/>
    <w:rsid w:val="43171E14"/>
    <w:rsid w:val="4373705C"/>
    <w:rsid w:val="437E1E93"/>
    <w:rsid w:val="438E7C50"/>
    <w:rsid w:val="4390574B"/>
    <w:rsid w:val="43AF643A"/>
    <w:rsid w:val="442E38B9"/>
    <w:rsid w:val="443C09BF"/>
    <w:rsid w:val="44C26FD4"/>
    <w:rsid w:val="44FC23A8"/>
    <w:rsid w:val="4548150B"/>
    <w:rsid w:val="4568381D"/>
    <w:rsid w:val="464D5F70"/>
    <w:rsid w:val="46B313EE"/>
    <w:rsid w:val="46EF6F8D"/>
    <w:rsid w:val="46FC617D"/>
    <w:rsid w:val="47305B9A"/>
    <w:rsid w:val="47752D13"/>
    <w:rsid w:val="477C15F9"/>
    <w:rsid w:val="47966069"/>
    <w:rsid w:val="47CA1ABF"/>
    <w:rsid w:val="48223734"/>
    <w:rsid w:val="482F1D4E"/>
    <w:rsid w:val="485109FE"/>
    <w:rsid w:val="48873598"/>
    <w:rsid w:val="48B11AC7"/>
    <w:rsid w:val="48C540C0"/>
    <w:rsid w:val="49816916"/>
    <w:rsid w:val="49C075BA"/>
    <w:rsid w:val="49ED0786"/>
    <w:rsid w:val="49FC64C2"/>
    <w:rsid w:val="4A001907"/>
    <w:rsid w:val="4A226989"/>
    <w:rsid w:val="4A321043"/>
    <w:rsid w:val="4A736B73"/>
    <w:rsid w:val="4B0C247A"/>
    <w:rsid w:val="4BDD292C"/>
    <w:rsid w:val="4BFA22D2"/>
    <w:rsid w:val="4C4D68A6"/>
    <w:rsid w:val="4C9F44B2"/>
    <w:rsid w:val="4D151ABA"/>
    <w:rsid w:val="4D792866"/>
    <w:rsid w:val="4E2E23B0"/>
    <w:rsid w:val="4E8005CA"/>
    <w:rsid w:val="4EA63C2D"/>
    <w:rsid w:val="4FAC2F9E"/>
    <w:rsid w:val="4FC42A5A"/>
    <w:rsid w:val="4FEB76A1"/>
    <w:rsid w:val="501871CB"/>
    <w:rsid w:val="502C464D"/>
    <w:rsid w:val="50311C66"/>
    <w:rsid w:val="509519F2"/>
    <w:rsid w:val="51236C0A"/>
    <w:rsid w:val="51662BD8"/>
    <w:rsid w:val="51AA6947"/>
    <w:rsid w:val="51C03487"/>
    <w:rsid w:val="51C62724"/>
    <w:rsid w:val="52013BE4"/>
    <w:rsid w:val="52171081"/>
    <w:rsid w:val="522151ED"/>
    <w:rsid w:val="525E180D"/>
    <w:rsid w:val="527B23BF"/>
    <w:rsid w:val="52B7716F"/>
    <w:rsid w:val="52D52224"/>
    <w:rsid w:val="52FA5CD4"/>
    <w:rsid w:val="531C658D"/>
    <w:rsid w:val="537D396D"/>
    <w:rsid w:val="53AB6B4B"/>
    <w:rsid w:val="53D53D51"/>
    <w:rsid w:val="541F7C02"/>
    <w:rsid w:val="54563E15"/>
    <w:rsid w:val="545A2CDF"/>
    <w:rsid w:val="552705DC"/>
    <w:rsid w:val="552B422E"/>
    <w:rsid w:val="556B40CE"/>
    <w:rsid w:val="55C22900"/>
    <w:rsid w:val="56903F5F"/>
    <w:rsid w:val="56F537C9"/>
    <w:rsid w:val="579D2DD8"/>
    <w:rsid w:val="588A77C9"/>
    <w:rsid w:val="58B03792"/>
    <w:rsid w:val="58D42829"/>
    <w:rsid w:val="59BB3CE7"/>
    <w:rsid w:val="59DA6268"/>
    <w:rsid w:val="5A0507C0"/>
    <w:rsid w:val="5B3475C3"/>
    <w:rsid w:val="5B7E596F"/>
    <w:rsid w:val="5BB36CEA"/>
    <w:rsid w:val="5C0F7DC2"/>
    <w:rsid w:val="5C3B2BBF"/>
    <w:rsid w:val="5C7E3350"/>
    <w:rsid w:val="5D0931AD"/>
    <w:rsid w:val="5D8250D4"/>
    <w:rsid w:val="5D8934C8"/>
    <w:rsid w:val="5D8B6298"/>
    <w:rsid w:val="5D8D3B84"/>
    <w:rsid w:val="5E261783"/>
    <w:rsid w:val="5E8B07C8"/>
    <w:rsid w:val="5EB86749"/>
    <w:rsid w:val="5ED52268"/>
    <w:rsid w:val="5EE25574"/>
    <w:rsid w:val="5F050FF6"/>
    <w:rsid w:val="5F2922E6"/>
    <w:rsid w:val="5FAE3AED"/>
    <w:rsid w:val="5FC11DC0"/>
    <w:rsid w:val="6029637A"/>
    <w:rsid w:val="60AE4D3E"/>
    <w:rsid w:val="60B21992"/>
    <w:rsid w:val="61106427"/>
    <w:rsid w:val="615E35D8"/>
    <w:rsid w:val="617B4EFF"/>
    <w:rsid w:val="61E4130F"/>
    <w:rsid w:val="621E40EC"/>
    <w:rsid w:val="62BE7F77"/>
    <w:rsid w:val="636E694D"/>
    <w:rsid w:val="63C60FC0"/>
    <w:rsid w:val="63CD05D2"/>
    <w:rsid w:val="63D7141F"/>
    <w:rsid w:val="64132C46"/>
    <w:rsid w:val="644D348F"/>
    <w:rsid w:val="64A25D5D"/>
    <w:rsid w:val="65037359"/>
    <w:rsid w:val="65BB5C51"/>
    <w:rsid w:val="66933380"/>
    <w:rsid w:val="66CC2D91"/>
    <w:rsid w:val="66FB71D3"/>
    <w:rsid w:val="6736645D"/>
    <w:rsid w:val="6762050A"/>
    <w:rsid w:val="678761CC"/>
    <w:rsid w:val="678E6299"/>
    <w:rsid w:val="67A72C5B"/>
    <w:rsid w:val="68A45648"/>
    <w:rsid w:val="68B935A2"/>
    <w:rsid w:val="68DB3F3D"/>
    <w:rsid w:val="69121C69"/>
    <w:rsid w:val="69540E1C"/>
    <w:rsid w:val="6A0A7A64"/>
    <w:rsid w:val="6A107439"/>
    <w:rsid w:val="6A341757"/>
    <w:rsid w:val="6A5258A8"/>
    <w:rsid w:val="6B1940CB"/>
    <w:rsid w:val="6BBC25A9"/>
    <w:rsid w:val="6BE71CA2"/>
    <w:rsid w:val="6C1057FF"/>
    <w:rsid w:val="6C967DBF"/>
    <w:rsid w:val="6D5B4193"/>
    <w:rsid w:val="6DA801E2"/>
    <w:rsid w:val="6DB05724"/>
    <w:rsid w:val="6E5F098F"/>
    <w:rsid w:val="6E810905"/>
    <w:rsid w:val="6E9323E7"/>
    <w:rsid w:val="6ED16C35"/>
    <w:rsid w:val="6F7E5635"/>
    <w:rsid w:val="7038575E"/>
    <w:rsid w:val="706157F7"/>
    <w:rsid w:val="717269D2"/>
    <w:rsid w:val="71997193"/>
    <w:rsid w:val="719B362D"/>
    <w:rsid w:val="71A04BF4"/>
    <w:rsid w:val="71B20DD6"/>
    <w:rsid w:val="71BB4216"/>
    <w:rsid w:val="71DC529F"/>
    <w:rsid w:val="725134A0"/>
    <w:rsid w:val="72B4622E"/>
    <w:rsid w:val="732A5CD4"/>
    <w:rsid w:val="737722D7"/>
    <w:rsid w:val="73991F37"/>
    <w:rsid w:val="73A50ECC"/>
    <w:rsid w:val="73BF77DA"/>
    <w:rsid w:val="740D70EC"/>
    <w:rsid w:val="7416432A"/>
    <w:rsid w:val="7434047B"/>
    <w:rsid w:val="7439120E"/>
    <w:rsid w:val="74407055"/>
    <w:rsid w:val="745148D6"/>
    <w:rsid w:val="74946522"/>
    <w:rsid w:val="74FF23E4"/>
    <w:rsid w:val="75030AEE"/>
    <w:rsid w:val="75EE68F8"/>
    <w:rsid w:val="7621477C"/>
    <w:rsid w:val="767C19B2"/>
    <w:rsid w:val="76AE206C"/>
    <w:rsid w:val="76D87530"/>
    <w:rsid w:val="775D75A6"/>
    <w:rsid w:val="777051E5"/>
    <w:rsid w:val="77A76318"/>
    <w:rsid w:val="77A85A4B"/>
    <w:rsid w:val="77BF0109"/>
    <w:rsid w:val="78142737"/>
    <w:rsid w:val="787E426F"/>
    <w:rsid w:val="78992CEF"/>
    <w:rsid w:val="78E204F2"/>
    <w:rsid w:val="7A7A445B"/>
    <w:rsid w:val="7A812FA3"/>
    <w:rsid w:val="7B3460C2"/>
    <w:rsid w:val="7B7A5685"/>
    <w:rsid w:val="7BC81780"/>
    <w:rsid w:val="7BCE3578"/>
    <w:rsid w:val="7C583E75"/>
    <w:rsid w:val="7C8C1093"/>
    <w:rsid w:val="7CC20277"/>
    <w:rsid w:val="7CCD11BA"/>
    <w:rsid w:val="7CFE52C9"/>
    <w:rsid w:val="7D341239"/>
    <w:rsid w:val="7D983576"/>
    <w:rsid w:val="7D985324"/>
    <w:rsid w:val="7E22378E"/>
    <w:rsid w:val="7EF24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0"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9"/>
    <w:qFormat/>
    <w:uiPriority w:val="9"/>
    <w:pPr>
      <w:keepNext/>
      <w:keepLines/>
      <w:spacing w:before="340" w:after="330" w:line="576" w:lineRule="auto"/>
      <w:outlineLvl w:val="0"/>
    </w:pPr>
    <w:rPr>
      <w:b/>
      <w:bCs/>
      <w:kern w:val="44"/>
      <w:sz w:val="44"/>
      <w:szCs w:val="44"/>
    </w:rPr>
  </w:style>
  <w:style w:type="paragraph" w:styleId="4">
    <w:name w:val="heading 2"/>
    <w:basedOn w:val="2"/>
    <w:next w:val="2"/>
    <w:link w:val="143"/>
    <w:qFormat/>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134"/>
    <w:qFormat/>
    <w:uiPriority w:val="9"/>
    <w:pPr>
      <w:keepNext/>
      <w:keepLines/>
      <w:spacing w:before="260" w:after="260" w:line="413" w:lineRule="auto"/>
      <w:outlineLvl w:val="2"/>
    </w:pPr>
    <w:rPr>
      <w:b/>
      <w:bCs/>
      <w:kern w:val="0"/>
      <w:sz w:val="32"/>
      <w:szCs w:val="32"/>
    </w:rPr>
  </w:style>
  <w:style w:type="paragraph" w:styleId="6">
    <w:name w:val="heading 4"/>
    <w:basedOn w:val="1"/>
    <w:next w:val="7"/>
    <w:link w:val="201"/>
    <w:qFormat/>
    <w:uiPriority w:val="9"/>
    <w:pPr>
      <w:keepNext/>
      <w:keepLines/>
      <w:spacing w:before="120" w:after="120"/>
      <w:outlineLvl w:val="3"/>
    </w:pPr>
    <w:rPr>
      <w:rFonts w:ascii="Arial" w:hAnsi="Arial" w:eastAsia="黑体"/>
      <w:b/>
      <w:kern w:val="0"/>
      <w:sz w:val="20"/>
      <w:szCs w:val="20"/>
    </w:rPr>
  </w:style>
  <w:style w:type="paragraph" w:styleId="8">
    <w:name w:val="heading 5"/>
    <w:basedOn w:val="1"/>
    <w:next w:val="1"/>
    <w:link w:val="72"/>
    <w:qFormat/>
    <w:uiPriority w:val="9"/>
    <w:pPr>
      <w:keepNext/>
      <w:keepLines/>
      <w:tabs>
        <w:tab w:val="left" w:pos="1008"/>
      </w:tabs>
      <w:spacing w:before="280" w:after="290" w:line="372" w:lineRule="auto"/>
      <w:ind w:left="1008" w:hanging="1008"/>
      <w:outlineLvl w:val="4"/>
    </w:pPr>
    <w:rPr>
      <w:b/>
      <w:bCs/>
      <w:kern w:val="0"/>
      <w:sz w:val="28"/>
      <w:szCs w:val="28"/>
    </w:rPr>
  </w:style>
  <w:style w:type="paragraph" w:styleId="9">
    <w:name w:val="heading 6"/>
    <w:basedOn w:val="1"/>
    <w:next w:val="1"/>
    <w:link w:val="152"/>
    <w:qFormat/>
    <w:uiPriority w:val="9"/>
    <w:pPr>
      <w:keepNext/>
      <w:keepLines/>
      <w:tabs>
        <w:tab w:val="left" w:pos="1152"/>
      </w:tabs>
      <w:spacing w:before="240" w:after="64" w:line="317" w:lineRule="auto"/>
      <w:ind w:left="1152" w:hanging="1152"/>
      <w:outlineLvl w:val="5"/>
    </w:pPr>
    <w:rPr>
      <w:rFonts w:ascii="Arial" w:hAnsi="Arial" w:eastAsia="黑体"/>
      <w:b/>
      <w:bCs/>
      <w:kern w:val="0"/>
      <w:sz w:val="24"/>
    </w:rPr>
  </w:style>
  <w:style w:type="paragraph" w:styleId="10">
    <w:name w:val="heading 7"/>
    <w:basedOn w:val="1"/>
    <w:next w:val="1"/>
    <w:link w:val="183"/>
    <w:qFormat/>
    <w:uiPriority w:val="9"/>
    <w:pPr>
      <w:keepNext/>
      <w:keepLines/>
      <w:tabs>
        <w:tab w:val="left" w:pos="1296"/>
      </w:tabs>
      <w:spacing w:before="240" w:after="64" w:line="317" w:lineRule="auto"/>
      <w:ind w:left="1296" w:hanging="1296"/>
      <w:outlineLvl w:val="6"/>
    </w:pPr>
    <w:rPr>
      <w:b/>
      <w:bCs/>
      <w:kern w:val="0"/>
      <w:sz w:val="24"/>
    </w:rPr>
  </w:style>
  <w:style w:type="paragraph" w:styleId="11">
    <w:name w:val="heading 8"/>
    <w:basedOn w:val="1"/>
    <w:next w:val="1"/>
    <w:link w:val="83"/>
    <w:qFormat/>
    <w:uiPriority w:val="9"/>
    <w:pPr>
      <w:keepNext/>
      <w:keepLines/>
      <w:tabs>
        <w:tab w:val="left" w:pos="1440"/>
      </w:tabs>
      <w:spacing w:before="240" w:after="64" w:line="317" w:lineRule="auto"/>
      <w:ind w:left="1440" w:hanging="1440"/>
      <w:outlineLvl w:val="7"/>
    </w:pPr>
    <w:rPr>
      <w:rFonts w:ascii="Arial" w:hAnsi="Arial" w:eastAsia="黑体"/>
      <w:kern w:val="0"/>
      <w:sz w:val="24"/>
    </w:rPr>
  </w:style>
  <w:style w:type="paragraph" w:styleId="12">
    <w:name w:val="heading 9"/>
    <w:basedOn w:val="1"/>
    <w:next w:val="1"/>
    <w:link w:val="185"/>
    <w:qFormat/>
    <w:uiPriority w:val="9"/>
    <w:pPr>
      <w:keepNext/>
      <w:keepLines/>
      <w:tabs>
        <w:tab w:val="left" w:pos="1584"/>
      </w:tabs>
      <w:spacing w:before="240" w:after="64" w:line="317" w:lineRule="auto"/>
      <w:ind w:left="1584" w:hanging="1584"/>
      <w:outlineLvl w:val="8"/>
    </w:pPr>
    <w:rPr>
      <w:rFonts w:ascii="Arial" w:hAnsi="Arial" w:eastAsia="黑体"/>
      <w:kern w:val="0"/>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qFormat/>
    <w:uiPriority w:val="0"/>
    <w:pPr>
      <w:ind w:firstLine="420"/>
    </w:pPr>
    <w:rPr>
      <w:szCs w:val="20"/>
    </w:rPr>
  </w:style>
  <w:style w:type="paragraph" w:styleId="13">
    <w:name w:val="List 3"/>
    <w:basedOn w:val="1"/>
    <w:qFormat/>
    <w:uiPriority w:val="99"/>
    <w:pPr>
      <w:ind w:left="1260" w:hanging="420"/>
    </w:pPr>
    <w:rPr>
      <w:szCs w:val="20"/>
    </w:rPr>
  </w:style>
  <w:style w:type="paragraph" w:styleId="14">
    <w:name w:val="toc 7"/>
    <w:basedOn w:val="1"/>
    <w:next w:val="1"/>
    <w:semiHidden/>
    <w:qFormat/>
    <w:uiPriority w:val="39"/>
    <w:pPr>
      <w:ind w:left="1260"/>
      <w:jc w:val="left"/>
    </w:pPr>
    <w:rPr>
      <w:szCs w:val="21"/>
    </w:rPr>
  </w:style>
  <w:style w:type="paragraph" w:styleId="15">
    <w:name w:val="List Number 2"/>
    <w:basedOn w:val="1"/>
    <w:qFormat/>
    <w:uiPriority w:val="99"/>
    <w:pPr>
      <w:tabs>
        <w:tab w:val="left" w:pos="1440"/>
      </w:tabs>
      <w:spacing w:line="360" w:lineRule="auto"/>
      <w:ind w:left="1440" w:hanging="1440"/>
    </w:pPr>
    <w:rPr>
      <w:sz w:val="24"/>
    </w:rPr>
  </w:style>
  <w:style w:type="paragraph" w:styleId="16">
    <w:name w:val="List Number"/>
    <w:basedOn w:val="1"/>
    <w:qFormat/>
    <w:uiPriority w:val="99"/>
    <w:pPr>
      <w:tabs>
        <w:tab w:val="left" w:pos="2952"/>
      </w:tabs>
      <w:ind w:left="2952" w:hanging="432"/>
    </w:pPr>
  </w:style>
  <w:style w:type="paragraph" w:styleId="17">
    <w:name w:val="Document Map"/>
    <w:basedOn w:val="1"/>
    <w:link w:val="169"/>
    <w:semiHidden/>
    <w:qFormat/>
    <w:uiPriority w:val="99"/>
    <w:pPr>
      <w:shd w:val="clear" w:color="auto" w:fill="000080"/>
    </w:pPr>
    <w:rPr>
      <w:kern w:val="0"/>
      <w:sz w:val="24"/>
    </w:rPr>
  </w:style>
  <w:style w:type="paragraph" w:styleId="18">
    <w:name w:val="annotation text"/>
    <w:basedOn w:val="1"/>
    <w:link w:val="105"/>
    <w:qFormat/>
    <w:uiPriority w:val="99"/>
    <w:pPr>
      <w:jc w:val="left"/>
    </w:pPr>
    <w:rPr>
      <w:kern w:val="0"/>
      <w:sz w:val="20"/>
      <w:szCs w:val="20"/>
    </w:rPr>
  </w:style>
  <w:style w:type="paragraph" w:styleId="19">
    <w:name w:val="Salutation"/>
    <w:basedOn w:val="1"/>
    <w:next w:val="1"/>
    <w:link w:val="209"/>
    <w:qFormat/>
    <w:uiPriority w:val="99"/>
    <w:rPr>
      <w:rFonts w:ascii="仿宋_GB2312" w:eastAsia="仿宋_GB2312"/>
      <w:kern w:val="0"/>
      <w:sz w:val="20"/>
      <w:szCs w:val="20"/>
    </w:rPr>
  </w:style>
  <w:style w:type="paragraph" w:styleId="20">
    <w:name w:val="Body Text 3"/>
    <w:basedOn w:val="1"/>
    <w:link w:val="118"/>
    <w:qFormat/>
    <w:uiPriority w:val="99"/>
    <w:pPr>
      <w:spacing w:after="120"/>
    </w:pPr>
    <w:rPr>
      <w:kern w:val="0"/>
      <w:sz w:val="16"/>
      <w:szCs w:val="16"/>
    </w:rPr>
  </w:style>
  <w:style w:type="paragraph" w:styleId="21">
    <w:name w:val="Body Text"/>
    <w:basedOn w:val="1"/>
    <w:link w:val="113"/>
    <w:unhideWhenUsed/>
    <w:qFormat/>
    <w:uiPriority w:val="99"/>
    <w:pPr>
      <w:spacing w:after="120"/>
    </w:pPr>
    <w:rPr>
      <w:kern w:val="0"/>
      <w:sz w:val="24"/>
    </w:rPr>
  </w:style>
  <w:style w:type="paragraph" w:styleId="22">
    <w:name w:val="Body Text Indent"/>
    <w:basedOn w:val="1"/>
    <w:link w:val="108"/>
    <w:qFormat/>
    <w:uiPriority w:val="99"/>
    <w:pPr>
      <w:spacing w:after="120"/>
      <w:ind w:left="420" w:leftChars="200"/>
    </w:pPr>
    <w:rPr>
      <w:kern w:val="0"/>
      <w:sz w:val="24"/>
    </w:rPr>
  </w:style>
  <w:style w:type="paragraph" w:styleId="23">
    <w:name w:val="List 2"/>
    <w:basedOn w:val="1"/>
    <w:qFormat/>
    <w:uiPriority w:val="99"/>
    <w:pPr>
      <w:ind w:left="100" w:leftChars="200" w:hanging="200" w:hangingChars="200"/>
    </w:pPr>
    <w:rPr>
      <w:szCs w:val="21"/>
    </w:rPr>
  </w:style>
  <w:style w:type="paragraph" w:styleId="24">
    <w:name w:val="toc 5"/>
    <w:basedOn w:val="1"/>
    <w:next w:val="1"/>
    <w:semiHidden/>
    <w:qFormat/>
    <w:uiPriority w:val="39"/>
    <w:pPr>
      <w:ind w:left="840"/>
      <w:jc w:val="left"/>
    </w:pPr>
    <w:rPr>
      <w:szCs w:val="21"/>
    </w:rPr>
  </w:style>
  <w:style w:type="paragraph" w:styleId="25">
    <w:name w:val="toc 3"/>
    <w:basedOn w:val="1"/>
    <w:next w:val="1"/>
    <w:semiHidden/>
    <w:qFormat/>
    <w:uiPriority w:val="39"/>
    <w:pPr>
      <w:ind w:left="840" w:leftChars="400"/>
    </w:pPr>
  </w:style>
  <w:style w:type="paragraph" w:styleId="26">
    <w:name w:val="Plain Text"/>
    <w:basedOn w:val="1"/>
    <w:link w:val="70"/>
    <w:qFormat/>
    <w:uiPriority w:val="0"/>
    <w:rPr>
      <w:rFonts w:ascii="宋体" w:hAnsi="Courier New"/>
      <w:kern w:val="0"/>
      <w:szCs w:val="21"/>
    </w:rPr>
  </w:style>
  <w:style w:type="paragraph" w:styleId="27">
    <w:name w:val="toc 8"/>
    <w:basedOn w:val="1"/>
    <w:next w:val="1"/>
    <w:semiHidden/>
    <w:qFormat/>
    <w:uiPriority w:val="39"/>
    <w:pPr>
      <w:ind w:left="1470"/>
      <w:jc w:val="left"/>
    </w:pPr>
    <w:rPr>
      <w:szCs w:val="21"/>
    </w:rPr>
  </w:style>
  <w:style w:type="paragraph" w:styleId="28">
    <w:name w:val="index 3"/>
    <w:basedOn w:val="1"/>
    <w:next w:val="1"/>
    <w:semiHidden/>
    <w:qFormat/>
    <w:uiPriority w:val="99"/>
    <w:pPr>
      <w:ind w:left="840"/>
    </w:pPr>
    <w:rPr>
      <w:szCs w:val="20"/>
    </w:rPr>
  </w:style>
  <w:style w:type="paragraph" w:styleId="29">
    <w:name w:val="Date"/>
    <w:basedOn w:val="1"/>
    <w:next w:val="1"/>
    <w:link w:val="167"/>
    <w:qFormat/>
    <w:uiPriority w:val="99"/>
    <w:pPr>
      <w:ind w:left="100" w:leftChars="2500"/>
    </w:pPr>
    <w:rPr>
      <w:kern w:val="0"/>
      <w:sz w:val="20"/>
      <w:szCs w:val="20"/>
    </w:rPr>
  </w:style>
  <w:style w:type="paragraph" w:styleId="30">
    <w:name w:val="Body Text Indent 2"/>
    <w:basedOn w:val="1"/>
    <w:link w:val="90"/>
    <w:qFormat/>
    <w:uiPriority w:val="99"/>
    <w:pPr>
      <w:spacing w:line="400" w:lineRule="exact"/>
      <w:ind w:firstLine="480"/>
    </w:pPr>
    <w:rPr>
      <w:rFonts w:ascii="宋体" w:hAnsi="宋体"/>
      <w:kern w:val="0"/>
      <w:sz w:val="24"/>
    </w:rPr>
  </w:style>
  <w:style w:type="paragraph" w:styleId="31">
    <w:name w:val="endnote text"/>
    <w:basedOn w:val="1"/>
    <w:link w:val="193"/>
    <w:semiHidden/>
    <w:qFormat/>
    <w:uiPriority w:val="99"/>
    <w:pPr>
      <w:snapToGrid w:val="0"/>
      <w:jc w:val="left"/>
    </w:pPr>
    <w:rPr>
      <w:kern w:val="0"/>
      <w:sz w:val="24"/>
    </w:rPr>
  </w:style>
  <w:style w:type="paragraph" w:styleId="32">
    <w:name w:val="Balloon Text"/>
    <w:basedOn w:val="1"/>
    <w:link w:val="106"/>
    <w:semiHidden/>
    <w:qFormat/>
    <w:uiPriority w:val="99"/>
    <w:rPr>
      <w:kern w:val="0"/>
      <w:sz w:val="18"/>
      <w:szCs w:val="18"/>
    </w:rPr>
  </w:style>
  <w:style w:type="paragraph" w:styleId="33">
    <w:name w:val="footer"/>
    <w:basedOn w:val="1"/>
    <w:link w:val="159"/>
    <w:unhideWhenUsed/>
    <w:qFormat/>
    <w:uiPriority w:val="99"/>
    <w:pPr>
      <w:tabs>
        <w:tab w:val="center" w:pos="4153"/>
        <w:tab w:val="right" w:pos="8306"/>
      </w:tabs>
      <w:snapToGrid w:val="0"/>
      <w:jc w:val="left"/>
    </w:pPr>
    <w:rPr>
      <w:kern w:val="0"/>
      <w:sz w:val="18"/>
      <w:szCs w:val="18"/>
    </w:rPr>
  </w:style>
  <w:style w:type="paragraph" w:styleId="34">
    <w:name w:val="header"/>
    <w:basedOn w:val="1"/>
    <w:link w:val="13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130"/>
    <w:qFormat/>
    <w:uiPriority w:val="99"/>
    <w:pPr>
      <w:adjustRightInd w:val="0"/>
      <w:spacing w:after="600" w:line="312" w:lineRule="atLeast"/>
      <w:jc w:val="center"/>
      <w:textAlignment w:val="baseline"/>
    </w:pPr>
    <w:rPr>
      <w:rFonts w:eastAsia="仿宋_GB2312"/>
      <w:kern w:val="0"/>
      <w:sz w:val="20"/>
      <w:szCs w:val="20"/>
    </w:rPr>
  </w:style>
  <w:style w:type="paragraph" w:styleId="36">
    <w:name w:val="toc 1"/>
    <w:basedOn w:val="1"/>
    <w:next w:val="1"/>
    <w:semiHidden/>
    <w:qFormat/>
    <w:uiPriority w:val="39"/>
  </w:style>
  <w:style w:type="paragraph" w:styleId="37">
    <w:name w:val="toc 4"/>
    <w:basedOn w:val="1"/>
    <w:next w:val="1"/>
    <w:semiHidden/>
    <w:qFormat/>
    <w:uiPriority w:val="39"/>
    <w:pPr>
      <w:ind w:left="630"/>
      <w:jc w:val="left"/>
    </w:pPr>
    <w:rPr>
      <w:szCs w:val="21"/>
    </w:rPr>
  </w:style>
  <w:style w:type="paragraph" w:styleId="38">
    <w:name w:val="index heading"/>
    <w:basedOn w:val="1"/>
    <w:next w:val="39"/>
    <w:semiHidden/>
    <w:qFormat/>
    <w:uiPriority w:val="99"/>
    <w:rPr>
      <w:szCs w:val="20"/>
    </w:rPr>
  </w:style>
  <w:style w:type="paragraph" w:styleId="39">
    <w:name w:val="index 1"/>
    <w:basedOn w:val="1"/>
    <w:next w:val="1"/>
    <w:semiHidden/>
    <w:qFormat/>
    <w:uiPriority w:val="99"/>
    <w:pPr>
      <w:tabs>
        <w:tab w:val="left" w:pos="1260"/>
      </w:tabs>
      <w:jc w:val="center"/>
    </w:pPr>
    <w:rPr>
      <w:rFonts w:ascii="仿宋_GB2312" w:hAnsi="宋体" w:eastAsia="仿宋_GB2312"/>
      <w:sz w:val="30"/>
      <w:szCs w:val="20"/>
    </w:rPr>
  </w:style>
  <w:style w:type="paragraph" w:styleId="40">
    <w:name w:val="Subtitle"/>
    <w:basedOn w:val="1"/>
    <w:next w:val="1"/>
    <w:link w:val="186"/>
    <w:qFormat/>
    <w:uiPriority w:val="11"/>
    <w:pPr>
      <w:widowControl/>
      <w:spacing w:after="600" w:line="276" w:lineRule="auto"/>
      <w:jc w:val="left"/>
    </w:pPr>
    <w:rPr>
      <w:rFonts w:ascii="Cambria" w:hAnsi="Cambria"/>
      <w:i/>
      <w:iCs/>
      <w:spacing w:val="13"/>
      <w:kern w:val="0"/>
      <w:sz w:val="24"/>
      <w:lang w:eastAsia="en-US"/>
    </w:rPr>
  </w:style>
  <w:style w:type="paragraph" w:styleId="41">
    <w:name w:val="List"/>
    <w:basedOn w:val="1"/>
    <w:qFormat/>
    <w:uiPriority w:val="99"/>
    <w:pPr>
      <w:ind w:left="200" w:hanging="200" w:hangingChars="200"/>
    </w:pPr>
    <w:rPr>
      <w:szCs w:val="21"/>
    </w:rPr>
  </w:style>
  <w:style w:type="paragraph" w:styleId="42">
    <w:name w:val="footnote text"/>
    <w:basedOn w:val="1"/>
    <w:link w:val="111"/>
    <w:semiHidden/>
    <w:qFormat/>
    <w:uiPriority w:val="99"/>
    <w:pPr>
      <w:snapToGrid w:val="0"/>
      <w:jc w:val="left"/>
    </w:pPr>
    <w:rPr>
      <w:kern w:val="0"/>
      <w:sz w:val="18"/>
      <w:szCs w:val="18"/>
    </w:rPr>
  </w:style>
  <w:style w:type="paragraph" w:styleId="43">
    <w:name w:val="toc 6"/>
    <w:basedOn w:val="1"/>
    <w:next w:val="1"/>
    <w:semiHidden/>
    <w:qFormat/>
    <w:uiPriority w:val="39"/>
    <w:pPr>
      <w:ind w:left="1050"/>
      <w:jc w:val="left"/>
    </w:pPr>
    <w:rPr>
      <w:szCs w:val="21"/>
    </w:rPr>
  </w:style>
  <w:style w:type="paragraph" w:styleId="44">
    <w:name w:val="Body Text Indent 3"/>
    <w:basedOn w:val="1"/>
    <w:link w:val="173"/>
    <w:qFormat/>
    <w:uiPriority w:val="99"/>
    <w:pPr>
      <w:spacing w:before="120" w:after="120" w:line="264" w:lineRule="auto"/>
      <w:ind w:left="480"/>
    </w:pPr>
    <w:rPr>
      <w:b/>
      <w:bCs/>
      <w:kern w:val="0"/>
      <w:sz w:val="20"/>
      <w:szCs w:val="20"/>
    </w:rPr>
  </w:style>
  <w:style w:type="paragraph" w:styleId="45">
    <w:name w:val="table of figures"/>
    <w:basedOn w:val="1"/>
    <w:next w:val="1"/>
    <w:semiHidden/>
    <w:qFormat/>
    <w:uiPriority w:val="99"/>
    <w:pPr>
      <w:ind w:left="840" w:hanging="420"/>
    </w:pPr>
    <w:rPr>
      <w:szCs w:val="21"/>
    </w:rPr>
  </w:style>
  <w:style w:type="paragraph" w:styleId="46">
    <w:name w:val="toc 2"/>
    <w:basedOn w:val="1"/>
    <w:next w:val="1"/>
    <w:semiHidden/>
    <w:qFormat/>
    <w:uiPriority w:val="39"/>
    <w:pPr>
      <w:ind w:left="420" w:leftChars="200"/>
    </w:pPr>
  </w:style>
  <w:style w:type="paragraph" w:styleId="47">
    <w:name w:val="toc 9"/>
    <w:basedOn w:val="1"/>
    <w:next w:val="1"/>
    <w:semiHidden/>
    <w:qFormat/>
    <w:uiPriority w:val="39"/>
    <w:pPr>
      <w:ind w:left="1680"/>
      <w:jc w:val="left"/>
    </w:pPr>
    <w:rPr>
      <w:szCs w:val="21"/>
    </w:rPr>
  </w:style>
  <w:style w:type="paragraph" w:styleId="48">
    <w:name w:val="Body Text 2"/>
    <w:basedOn w:val="1"/>
    <w:link w:val="190"/>
    <w:qFormat/>
    <w:uiPriority w:val="99"/>
    <w:pPr>
      <w:jc w:val="center"/>
    </w:pPr>
    <w:rPr>
      <w:b/>
      <w:bCs/>
      <w:kern w:val="0"/>
      <w:sz w:val="20"/>
      <w:szCs w:val="20"/>
    </w:rPr>
  </w:style>
  <w:style w:type="paragraph" w:styleId="4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1">
    <w:name w:val="index 2"/>
    <w:basedOn w:val="1"/>
    <w:next w:val="1"/>
    <w:semiHidden/>
    <w:qFormat/>
    <w:uiPriority w:val="99"/>
    <w:pPr>
      <w:spacing w:afterLines="50"/>
      <w:ind w:left="420"/>
      <w:jc w:val="center"/>
    </w:pPr>
    <w:rPr>
      <w:rFonts w:ascii="宋体" w:hAnsi="宋体"/>
      <w:b/>
      <w:sz w:val="32"/>
      <w:szCs w:val="20"/>
    </w:rPr>
  </w:style>
  <w:style w:type="paragraph" w:styleId="52">
    <w:name w:val="Title"/>
    <w:basedOn w:val="1"/>
    <w:link w:val="149"/>
    <w:qFormat/>
    <w:uiPriority w:val="10"/>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53">
    <w:name w:val="annotation subject"/>
    <w:basedOn w:val="18"/>
    <w:next w:val="18"/>
    <w:link w:val="98"/>
    <w:semiHidden/>
    <w:qFormat/>
    <w:uiPriority w:val="99"/>
    <w:rPr>
      <w:b/>
      <w:bCs/>
      <w:sz w:val="24"/>
      <w:szCs w:val="24"/>
    </w:rPr>
  </w:style>
  <w:style w:type="paragraph" w:styleId="54">
    <w:name w:val="Body Text First Indent"/>
    <w:basedOn w:val="21"/>
    <w:link w:val="112"/>
    <w:qFormat/>
    <w:uiPriority w:val="99"/>
    <w:pPr>
      <w:ind w:firstLine="420" w:firstLineChars="100"/>
    </w:pPr>
  </w:style>
  <w:style w:type="paragraph" w:styleId="55">
    <w:name w:val="Body Text First Indent 2"/>
    <w:basedOn w:val="22"/>
    <w:link w:val="129"/>
    <w:qFormat/>
    <w:uiPriority w:val="99"/>
    <w:pPr>
      <w:spacing w:after="0" w:line="360" w:lineRule="auto"/>
      <w:ind w:left="0" w:leftChars="0" w:firstLine="420" w:firstLineChars="200"/>
    </w:pPr>
    <w:rPr>
      <w:rFonts w:ascii="宋体" w:hAnsi="宋体"/>
      <w:sz w:val="20"/>
      <w:szCs w:val="20"/>
    </w:rPr>
  </w:style>
  <w:style w:type="table" w:styleId="57">
    <w:name w:val="Table Grid"/>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22"/>
    <w:rPr>
      <w:b/>
    </w:rPr>
  </w:style>
  <w:style w:type="character" w:styleId="60">
    <w:name w:val="endnote reference"/>
    <w:semiHidden/>
    <w:qFormat/>
    <w:uiPriority w:val="99"/>
    <w:rPr>
      <w:vertAlign w:val="superscript"/>
    </w:rPr>
  </w:style>
  <w:style w:type="character" w:styleId="61">
    <w:name w:val="page number"/>
    <w:basedOn w:val="58"/>
    <w:qFormat/>
    <w:uiPriority w:val="99"/>
    <w:rPr>
      <w:rFonts w:cs="Times New Roman"/>
    </w:rPr>
  </w:style>
  <w:style w:type="character" w:styleId="62">
    <w:name w:val="FollowedHyperlink"/>
    <w:qFormat/>
    <w:uiPriority w:val="99"/>
    <w:rPr>
      <w:color w:val="800080"/>
      <w:u w:val="single"/>
    </w:rPr>
  </w:style>
  <w:style w:type="character" w:styleId="63">
    <w:name w:val="Emphasis"/>
    <w:qFormat/>
    <w:uiPriority w:val="20"/>
    <w:rPr>
      <w:b/>
      <w:i/>
      <w:spacing w:val="10"/>
      <w:shd w:val="clear" w:color="auto" w:fill="auto"/>
    </w:rPr>
  </w:style>
  <w:style w:type="character" w:styleId="64">
    <w:name w:val="line number"/>
    <w:qFormat/>
    <w:uiPriority w:val="99"/>
    <w:rPr>
      <w:rFonts w:cs="Times New Roman"/>
    </w:rPr>
  </w:style>
  <w:style w:type="character" w:styleId="65">
    <w:name w:val="HTML Typewriter"/>
    <w:qFormat/>
    <w:uiPriority w:val="99"/>
    <w:rPr>
      <w:rFonts w:ascii="宋体" w:hAnsi="宋体" w:eastAsia="宋体"/>
      <w:sz w:val="24"/>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semiHidden/>
    <w:qFormat/>
    <w:uiPriority w:val="99"/>
    <w:rPr>
      <w:vertAlign w:val="superscript"/>
    </w:rPr>
  </w:style>
  <w:style w:type="character" w:styleId="69">
    <w:name w:val="HTML Sample"/>
    <w:qFormat/>
    <w:uiPriority w:val="99"/>
    <w:rPr>
      <w:rFonts w:ascii="Courier New" w:hAnsi="宋体" w:eastAsia="宋体"/>
    </w:rPr>
  </w:style>
  <w:style w:type="character" w:customStyle="1" w:styleId="70">
    <w:name w:val="纯文本 Char"/>
    <w:link w:val="26"/>
    <w:qFormat/>
    <w:locked/>
    <w:uiPriority w:val="0"/>
    <w:rPr>
      <w:rFonts w:ascii="宋体" w:hAnsi="Courier New" w:eastAsia="宋体" w:cs="Times New Roman"/>
      <w:sz w:val="21"/>
      <w:szCs w:val="21"/>
    </w:rPr>
  </w:style>
  <w:style w:type="character" w:customStyle="1" w:styleId="71">
    <w:name w:val="书籍标题1"/>
    <w:qFormat/>
    <w:uiPriority w:val="33"/>
    <w:rPr>
      <w:i/>
      <w:smallCaps/>
      <w:spacing w:val="5"/>
    </w:rPr>
  </w:style>
  <w:style w:type="character" w:customStyle="1" w:styleId="72">
    <w:name w:val="标题 5 Char"/>
    <w:link w:val="8"/>
    <w:qFormat/>
    <w:locked/>
    <w:uiPriority w:val="9"/>
    <w:rPr>
      <w:rFonts w:ascii="Times New Roman" w:hAnsi="Times New Roman" w:eastAsia="宋体" w:cs="Times New Roman"/>
      <w:b/>
      <w:bCs/>
      <w:sz w:val="28"/>
      <w:szCs w:val="28"/>
    </w:rPr>
  </w:style>
  <w:style w:type="character" w:customStyle="1" w:styleId="73">
    <w:name w:val="样式 首行缩进:  2 字符 Char"/>
    <w:qFormat/>
    <w:uiPriority w:val="0"/>
    <w:rPr>
      <w:rFonts w:eastAsia="宋体"/>
      <w:kern w:val="2"/>
      <w:sz w:val="24"/>
      <w:lang w:val="en-US" w:eastAsia="zh-CN"/>
    </w:rPr>
  </w:style>
  <w:style w:type="character" w:customStyle="1" w:styleId="74">
    <w:name w:val="Char Char3"/>
    <w:qFormat/>
    <w:locked/>
    <w:uiPriority w:val="0"/>
    <w:rPr>
      <w:rFonts w:eastAsia="宋体"/>
      <w:kern w:val="2"/>
      <w:sz w:val="18"/>
      <w:lang w:val="en-US" w:eastAsia="zh-CN"/>
    </w:rPr>
  </w:style>
  <w:style w:type="character" w:customStyle="1" w:styleId="75">
    <w:name w:val="Title1 Char"/>
    <w:qFormat/>
    <w:uiPriority w:val="0"/>
    <w:rPr>
      <w:rFonts w:eastAsia="宋体"/>
      <w:b/>
      <w:kern w:val="44"/>
      <w:sz w:val="44"/>
      <w:lang w:val="en-US" w:eastAsia="zh-CN"/>
    </w:rPr>
  </w:style>
  <w:style w:type="character" w:customStyle="1" w:styleId="76">
    <w:name w:val="h Char Char"/>
    <w:qFormat/>
    <w:uiPriority w:val="0"/>
    <w:rPr>
      <w:rFonts w:eastAsia="宋体"/>
      <w:kern w:val="2"/>
      <w:sz w:val="18"/>
      <w:lang w:val="en-US" w:eastAsia="zh-CN"/>
    </w:rPr>
  </w:style>
  <w:style w:type="character" w:customStyle="1" w:styleId="77">
    <w:name w:val="正文文本缩进 2 Char_0"/>
    <w:link w:val="78"/>
    <w:qFormat/>
    <w:uiPriority w:val="0"/>
    <w:rPr>
      <w:rFonts w:ascii="宋体" w:hAnsi="宋体"/>
      <w:sz w:val="28"/>
    </w:rPr>
  </w:style>
  <w:style w:type="paragraph" w:customStyle="1" w:styleId="78">
    <w:name w:val="正文文本缩进 2_0"/>
    <w:basedOn w:val="79"/>
    <w:link w:val="77"/>
    <w:qFormat/>
    <w:uiPriority w:val="0"/>
    <w:pPr>
      <w:ind w:firstLine="560" w:firstLineChars="200"/>
    </w:pPr>
    <w:rPr>
      <w:rFonts w:ascii="宋体" w:hAnsi="宋体"/>
      <w:kern w:val="0"/>
      <w:sz w:val="28"/>
      <w:szCs w:val="20"/>
    </w:rPr>
  </w:style>
  <w:style w:type="paragraph" w:customStyle="1" w:styleId="7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Char Char8"/>
    <w:qFormat/>
    <w:uiPriority w:val="0"/>
    <w:rPr>
      <w:rFonts w:eastAsia="宋体"/>
      <w:kern w:val="2"/>
      <w:sz w:val="18"/>
      <w:lang w:val="en-US" w:eastAsia="zh-CN"/>
    </w:rPr>
  </w:style>
  <w:style w:type="character" w:customStyle="1" w:styleId="81">
    <w:name w:val="小四 段落 宋体 Char Char Char Char Char"/>
    <w:qFormat/>
    <w:uiPriority w:val="0"/>
    <w:rPr>
      <w:rFonts w:eastAsia="宋体"/>
      <w:kern w:val="2"/>
      <w:sz w:val="24"/>
      <w:lang w:val="en-US" w:eastAsia="zh-CN"/>
    </w:rPr>
  </w:style>
  <w:style w:type="character" w:customStyle="1" w:styleId="82">
    <w:name w:val="样式 首行缩进:  2 字符 Char Char"/>
    <w:qFormat/>
    <w:uiPriority w:val="0"/>
    <w:rPr>
      <w:rFonts w:eastAsia="宋体"/>
      <w:kern w:val="2"/>
      <w:sz w:val="24"/>
      <w:lang w:val="en-US" w:eastAsia="zh-CN"/>
    </w:rPr>
  </w:style>
  <w:style w:type="character" w:customStyle="1" w:styleId="83">
    <w:name w:val="标题 8 Char"/>
    <w:link w:val="11"/>
    <w:qFormat/>
    <w:locked/>
    <w:uiPriority w:val="9"/>
    <w:rPr>
      <w:rFonts w:ascii="Arial" w:hAnsi="Arial" w:eastAsia="黑体" w:cs="Times New Roman"/>
      <w:sz w:val="24"/>
      <w:szCs w:val="24"/>
    </w:rPr>
  </w:style>
  <w:style w:type="character" w:customStyle="1" w:styleId="84">
    <w:name w:val="方案文档 Char Char"/>
    <w:qFormat/>
    <w:locked/>
    <w:uiPriority w:val="0"/>
    <w:rPr>
      <w:rFonts w:ascii="宋体" w:hAnsi="宋体" w:eastAsia="宋体"/>
      <w:sz w:val="24"/>
      <w:lang w:val="zh-CN" w:eastAsia="zh-CN"/>
    </w:rPr>
  </w:style>
  <w:style w:type="character" w:customStyle="1" w:styleId="85">
    <w:name w:val="引用 Char"/>
    <w:qFormat/>
    <w:uiPriority w:val="0"/>
    <w:rPr>
      <w:rFonts w:ascii="Calibri" w:hAnsi="Calibri" w:eastAsia="宋体"/>
      <w:i/>
      <w:sz w:val="22"/>
      <w:lang w:val="en-US" w:eastAsia="en-US"/>
    </w:rPr>
  </w:style>
  <w:style w:type="character" w:customStyle="1" w:styleId="86">
    <w:name w:val="Char Char12"/>
    <w:qFormat/>
    <w:locked/>
    <w:uiPriority w:val="0"/>
    <w:rPr>
      <w:rFonts w:ascii="Arial" w:hAnsi="Arial" w:eastAsia="黑体"/>
      <w:kern w:val="2"/>
      <w:sz w:val="21"/>
      <w:lang w:val="en-US" w:eastAsia="zh-CN"/>
    </w:rPr>
  </w:style>
  <w:style w:type="character" w:customStyle="1" w:styleId="87">
    <w:name w:val="Char Char34"/>
    <w:qFormat/>
    <w:uiPriority w:val="0"/>
    <w:rPr>
      <w:rFonts w:eastAsia="宋体"/>
      <w:b/>
      <w:kern w:val="44"/>
      <w:sz w:val="44"/>
      <w:lang w:val="en-US" w:eastAsia="zh-CN"/>
    </w:rPr>
  </w:style>
  <w:style w:type="character" w:customStyle="1" w:styleId="88">
    <w:name w:val="小四 段落 宋体 Char Char Char Char Char Char Char Char"/>
    <w:qFormat/>
    <w:uiPriority w:val="0"/>
    <w:rPr>
      <w:rFonts w:eastAsia="宋体"/>
      <w:kern w:val="2"/>
      <w:sz w:val="24"/>
      <w:lang w:val="en-US" w:eastAsia="zh-CN"/>
    </w:rPr>
  </w:style>
  <w:style w:type="character" w:customStyle="1" w:styleId="89">
    <w:name w:val="Char Char33"/>
    <w:qFormat/>
    <w:uiPriority w:val="0"/>
    <w:rPr>
      <w:rFonts w:ascii="Arial" w:hAnsi="Arial" w:eastAsia="黑体"/>
      <w:b/>
      <w:kern w:val="2"/>
      <w:sz w:val="32"/>
      <w:lang w:val="en-US" w:eastAsia="zh-CN"/>
    </w:rPr>
  </w:style>
  <w:style w:type="character" w:customStyle="1" w:styleId="90">
    <w:name w:val="正文文本缩进 2 Char"/>
    <w:link w:val="30"/>
    <w:qFormat/>
    <w:locked/>
    <w:uiPriority w:val="99"/>
    <w:rPr>
      <w:rFonts w:ascii="宋体" w:hAnsi="宋体" w:eastAsia="宋体" w:cs="Times New Roman"/>
      <w:sz w:val="24"/>
      <w:szCs w:val="24"/>
    </w:rPr>
  </w:style>
  <w:style w:type="character" w:customStyle="1" w:styleId="91">
    <w:name w:val="apple-converted-space"/>
    <w:qFormat/>
    <w:uiPriority w:val="0"/>
    <w:rPr>
      <w:rFonts w:cs="Times New Roman"/>
    </w:rPr>
  </w:style>
  <w:style w:type="character" w:customStyle="1" w:styleId="92">
    <w:name w:val="普通文字1 Char"/>
    <w:qFormat/>
    <w:uiPriority w:val="0"/>
    <w:rPr>
      <w:rFonts w:ascii="宋体" w:eastAsia="宋体"/>
      <w:kern w:val="2"/>
      <w:sz w:val="21"/>
      <w:lang w:val="en-US" w:eastAsia="zh-CN"/>
    </w:rPr>
  </w:style>
  <w:style w:type="character" w:customStyle="1" w:styleId="93">
    <w:name w:val="不明显强调1"/>
    <w:qFormat/>
    <w:uiPriority w:val="19"/>
    <w:rPr>
      <w:i/>
    </w:rPr>
  </w:style>
  <w:style w:type="character" w:customStyle="1" w:styleId="94">
    <w:name w:val="小四 段落 宋体 Char Char Char Char Char Char"/>
    <w:qFormat/>
    <w:uiPriority w:val="0"/>
    <w:rPr>
      <w:rFonts w:eastAsia="宋体"/>
      <w:kern w:val="2"/>
      <w:sz w:val="24"/>
      <w:lang w:val="en-US" w:eastAsia="zh-CN"/>
    </w:rPr>
  </w:style>
  <w:style w:type="character" w:customStyle="1" w:styleId="95">
    <w:name w:val="样式 宋体 小四"/>
    <w:qFormat/>
    <w:uiPriority w:val="0"/>
    <w:rPr>
      <w:rFonts w:ascii="宋体" w:eastAsia="宋体"/>
      <w:sz w:val="24"/>
    </w:rPr>
  </w:style>
  <w:style w:type="character" w:customStyle="1" w:styleId="96">
    <w:name w:val="特点 Char1"/>
    <w:qFormat/>
    <w:uiPriority w:val="0"/>
    <w:rPr>
      <w:rFonts w:eastAsia="宋体"/>
      <w:kern w:val="2"/>
      <w:sz w:val="21"/>
      <w:lang w:val="en-US" w:eastAsia="zh-CN"/>
    </w:rPr>
  </w:style>
  <w:style w:type="character" w:customStyle="1" w:styleId="97">
    <w:name w:val="纯文本 Char Char"/>
    <w:qFormat/>
    <w:uiPriority w:val="0"/>
    <w:rPr>
      <w:rFonts w:ascii="宋体" w:hAnsi="Courier New" w:eastAsia="宋体"/>
      <w:kern w:val="2"/>
      <w:sz w:val="21"/>
      <w:lang w:val="en-US" w:eastAsia="zh-CN"/>
    </w:rPr>
  </w:style>
  <w:style w:type="character" w:customStyle="1" w:styleId="98">
    <w:name w:val="批注主题 Char"/>
    <w:link w:val="53"/>
    <w:semiHidden/>
    <w:qFormat/>
    <w:locked/>
    <w:uiPriority w:val="99"/>
    <w:rPr>
      <w:rFonts w:ascii="Times New Roman" w:hAnsi="Times New Roman" w:eastAsia="宋体" w:cs="Times New Roman"/>
      <w:b/>
      <w:bCs/>
      <w:sz w:val="24"/>
      <w:szCs w:val="24"/>
    </w:rPr>
  </w:style>
  <w:style w:type="character" w:customStyle="1" w:styleId="99">
    <w:name w:val="不明显参考1"/>
    <w:qFormat/>
    <w:uiPriority w:val="31"/>
    <w:rPr>
      <w:smallCaps/>
    </w:rPr>
  </w:style>
  <w:style w:type="character" w:customStyle="1" w:styleId="100">
    <w:name w:val="Char Char9"/>
    <w:qFormat/>
    <w:uiPriority w:val="0"/>
    <w:rPr>
      <w:rFonts w:eastAsia="宋体"/>
      <w:kern w:val="2"/>
      <w:sz w:val="21"/>
      <w:lang w:val="en-US" w:eastAsia="zh-CN"/>
    </w:rPr>
  </w:style>
  <w:style w:type="character" w:customStyle="1" w:styleId="101">
    <w:name w:val="Char Char2"/>
    <w:qFormat/>
    <w:uiPriority w:val="0"/>
    <w:rPr>
      <w:rFonts w:ascii="宋体" w:hAnsi="Courier New" w:eastAsia="宋体"/>
      <w:kern w:val="2"/>
      <w:sz w:val="21"/>
      <w:lang w:val="en-US" w:eastAsia="zh-CN"/>
    </w:rPr>
  </w:style>
  <w:style w:type="character" w:customStyle="1" w:styleId="102">
    <w:name w:val="Intense Quote Char"/>
    <w:link w:val="103"/>
    <w:qFormat/>
    <w:locked/>
    <w:uiPriority w:val="30"/>
    <w:rPr>
      <w:rFonts w:ascii="Calibri" w:hAnsi="Calibri" w:eastAsia="宋体" w:cs="Times New Roman"/>
      <w:b/>
      <w:bCs/>
      <w:i/>
      <w:iCs/>
      <w:kern w:val="0"/>
      <w:sz w:val="22"/>
      <w:lang w:eastAsia="en-US"/>
    </w:rPr>
  </w:style>
  <w:style w:type="paragraph" w:customStyle="1" w:styleId="103">
    <w:name w:val="明显引用1"/>
    <w:basedOn w:val="1"/>
    <w:next w:val="1"/>
    <w:link w:val="102"/>
    <w:qFormat/>
    <w:uiPriority w:val="30"/>
    <w:pPr>
      <w:widowControl/>
      <w:pBdr>
        <w:bottom w:val="single" w:color="auto" w:sz="4" w:space="1"/>
      </w:pBdr>
      <w:spacing w:before="200" w:after="280" w:line="276" w:lineRule="auto"/>
      <w:ind w:left="1008" w:right="1152"/>
    </w:pPr>
    <w:rPr>
      <w:b/>
      <w:bCs/>
      <w:i/>
      <w:iCs/>
      <w:kern w:val="0"/>
      <w:sz w:val="22"/>
      <w:szCs w:val="20"/>
      <w:lang w:eastAsia="en-US"/>
    </w:rPr>
  </w:style>
  <w:style w:type="character" w:customStyle="1" w:styleId="104">
    <w:name w:val="Char Char11"/>
    <w:qFormat/>
    <w:uiPriority w:val="0"/>
    <w:rPr>
      <w:rFonts w:ascii="宋体" w:hAnsi="宋体" w:eastAsia="宋体"/>
      <w:sz w:val="24"/>
      <w:lang w:val="en-US" w:eastAsia="zh-CN"/>
    </w:rPr>
  </w:style>
  <w:style w:type="character" w:customStyle="1" w:styleId="105">
    <w:name w:val="批注文字 Char"/>
    <w:link w:val="18"/>
    <w:qFormat/>
    <w:locked/>
    <w:uiPriority w:val="99"/>
    <w:rPr>
      <w:rFonts w:ascii="Times New Roman" w:hAnsi="Times New Roman" w:eastAsia="宋体" w:cs="Times New Roman"/>
      <w:sz w:val="20"/>
      <w:szCs w:val="20"/>
    </w:rPr>
  </w:style>
  <w:style w:type="character" w:customStyle="1" w:styleId="106">
    <w:name w:val="批注框文本 Char"/>
    <w:link w:val="32"/>
    <w:semiHidden/>
    <w:qFormat/>
    <w:locked/>
    <w:uiPriority w:val="99"/>
    <w:rPr>
      <w:rFonts w:ascii="Times New Roman" w:hAnsi="Times New Roman" w:eastAsia="宋体" w:cs="Times New Roman"/>
      <w:sz w:val="18"/>
      <w:szCs w:val="18"/>
    </w:rPr>
  </w:style>
  <w:style w:type="character" w:customStyle="1" w:styleId="107">
    <w:name w:val="Char Char17"/>
    <w:qFormat/>
    <w:uiPriority w:val="0"/>
    <w:rPr>
      <w:rFonts w:ascii="宋体" w:hAnsi="Courier New"/>
      <w:kern w:val="2"/>
      <w:sz w:val="21"/>
    </w:rPr>
  </w:style>
  <w:style w:type="character" w:customStyle="1" w:styleId="108">
    <w:name w:val="正文文本缩进 Char"/>
    <w:link w:val="22"/>
    <w:qFormat/>
    <w:locked/>
    <w:uiPriority w:val="99"/>
    <w:rPr>
      <w:rFonts w:ascii="Times New Roman" w:hAnsi="Times New Roman" w:eastAsia="宋体" w:cs="Times New Roman"/>
      <w:sz w:val="24"/>
      <w:szCs w:val="24"/>
    </w:rPr>
  </w:style>
  <w:style w:type="character" w:customStyle="1" w:styleId="109">
    <w:name w:val="Char Char4"/>
    <w:qFormat/>
    <w:locked/>
    <w:uiPriority w:val="0"/>
    <w:rPr>
      <w:rFonts w:ascii="方正大黑简体" w:eastAsia="方正大黑简体"/>
      <w:kern w:val="44"/>
      <w:position w:val="6"/>
      <w:sz w:val="30"/>
      <w:lang w:val="en-US" w:eastAsia="zh-CN"/>
    </w:rPr>
  </w:style>
  <w:style w:type="character" w:customStyle="1" w:styleId="110">
    <w:name w:val="style131"/>
    <w:qFormat/>
    <w:uiPriority w:val="0"/>
    <w:rPr>
      <w:sz w:val="18"/>
    </w:rPr>
  </w:style>
  <w:style w:type="character" w:customStyle="1" w:styleId="111">
    <w:name w:val="脚注文本 Char"/>
    <w:link w:val="42"/>
    <w:semiHidden/>
    <w:qFormat/>
    <w:locked/>
    <w:uiPriority w:val="99"/>
    <w:rPr>
      <w:rFonts w:ascii="Times New Roman" w:hAnsi="Times New Roman" w:eastAsia="宋体" w:cs="Times New Roman"/>
      <w:sz w:val="18"/>
      <w:szCs w:val="18"/>
    </w:rPr>
  </w:style>
  <w:style w:type="character" w:customStyle="1" w:styleId="112">
    <w:name w:val="正文首行缩进 Char"/>
    <w:basedOn w:val="113"/>
    <w:link w:val="54"/>
    <w:qFormat/>
    <w:locked/>
    <w:uiPriority w:val="99"/>
    <w:rPr>
      <w:rFonts w:ascii="Times New Roman" w:hAnsi="Times New Roman" w:eastAsia="宋体" w:cs="Times New Roman"/>
      <w:sz w:val="24"/>
      <w:szCs w:val="24"/>
    </w:rPr>
  </w:style>
  <w:style w:type="character" w:customStyle="1" w:styleId="113">
    <w:name w:val="正文文本 Char"/>
    <w:link w:val="21"/>
    <w:qFormat/>
    <w:locked/>
    <w:uiPriority w:val="99"/>
    <w:rPr>
      <w:rFonts w:ascii="Times New Roman" w:hAnsi="Times New Roman" w:eastAsia="宋体" w:cs="Times New Roman"/>
      <w:sz w:val="24"/>
      <w:szCs w:val="24"/>
    </w:rPr>
  </w:style>
  <w:style w:type="character" w:customStyle="1" w:styleId="114">
    <w:name w:val="Char Char19"/>
    <w:qFormat/>
    <w:uiPriority w:val="0"/>
    <w:rPr>
      <w:rFonts w:ascii="Arial" w:hAnsi="Arial" w:eastAsia="黑体"/>
      <w:b/>
      <w:kern w:val="2"/>
      <w:sz w:val="24"/>
      <w:lang w:val="en-US" w:eastAsia="zh-CN"/>
    </w:rPr>
  </w:style>
  <w:style w:type="character" w:customStyle="1" w:styleId="115">
    <w:name w:val="样式 非加粗"/>
    <w:qFormat/>
    <w:uiPriority w:val="0"/>
    <w:rPr>
      <w:rFonts w:eastAsia="宋体"/>
      <w:sz w:val="28"/>
    </w:rPr>
  </w:style>
  <w:style w:type="character" w:customStyle="1" w:styleId="116">
    <w:name w:val="小四 段落 宋体 Char1"/>
    <w:qFormat/>
    <w:uiPriority w:val="0"/>
    <w:rPr>
      <w:rFonts w:eastAsia="宋体"/>
      <w:kern w:val="2"/>
      <w:sz w:val="24"/>
      <w:lang w:val="en-US" w:eastAsia="zh-CN"/>
    </w:rPr>
  </w:style>
  <w:style w:type="character" w:customStyle="1" w:styleId="117">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8">
    <w:name w:val="正文文本 3 Char"/>
    <w:link w:val="20"/>
    <w:qFormat/>
    <w:locked/>
    <w:uiPriority w:val="99"/>
    <w:rPr>
      <w:rFonts w:ascii="Times New Roman" w:hAnsi="Times New Roman" w:eastAsia="宋体" w:cs="Times New Roman"/>
      <w:sz w:val="16"/>
      <w:szCs w:val="16"/>
    </w:rPr>
  </w:style>
  <w:style w:type="character" w:customStyle="1" w:styleId="119">
    <w:name w:val="t1"/>
    <w:qFormat/>
    <w:uiPriority w:val="0"/>
  </w:style>
  <w:style w:type="character" w:customStyle="1" w:styleId="120">
    <w:name w:val="concon"/>
    <w:qFormat/>
    <w:uiPriority w:val="0"/>
  </w:style>
  <w:style w:type="character" w:customStyle="1" w:styleId="121">
    <w:name w:val="Char Char15"/>
    <w:qFormat/>
    <w:uiPriority w:val="0"/>
    <w:rPr>
      <w:rFonts w:ascii="Arial" w:hAnsi="Arial" w:eastAsia="黑体"/>
      <w:kern w:val="2"/>
      <w:sz w:val="21"/>
      <w:lang w:val="en-US" w:eastAsia="zh-CN"/>
    </w:rPr>
  </w:style>
  <w:style w:type="character" w:customStyle="1" w:styleId="122">
    <w:name w:val="A2"/>
    <w:qFormat/>
    <w:uiPriority w:val="0"/>
    <w:rPr>
      <w:color w:val="000000"/>
      <w:sz w:val="18"/>
    </w:rPr>
  </w:style>
  <w:style w:type="character" w:customStyle="1" w:styleId="123">
    <w:name w:val="正文 + 宋体 Char"/>
    <w:qFormat/>
    <w:uiPriority w:val="0"/>
    <w:rPr>
      <w:rFonts w:eastAsia="宋体"/>
      <w:kern w:val="2"/>
      <w:sz w:val="24"/>
      <w:lang w:val="en-US" w:eastAsia="zh-CN"/>
    </w:rPr>
  </w:style>
  <w:style w:type="character" w:customStyle="1" w:styleId="124">
    <w:name w:val="华宇段落1 Char Char"/>
    <w:qFormat/>
    <w:uiPriority w:val="0"/>
    <w:rPr>
      <w:rFonts w:eastAsia="宋体"/>
      <w:kern w:val="2"/>
      <w:sz w:val="24"/>
      <w:lang w:val="en-US" w:eastAsia="zh-CN"/>
    </w:rPr>
  </w:style>
  <w:style w:type="character" w:customStyle="1" w:styleId="125">
    <w:name w:val="medium_text1"/>
    <w:qFormat/>
    <w:uiPriority w:val="0"/>
    <w:rPr>
      <w:sz w:val="24"/>
    </w:rPr>
  </w:style>
  <w:style w:type="character" w:customStyle="1" w:styleId="126">
    <w:name w:val="Char Char5"/>
    <w:qFormat/>
    <w:uiPriority w:val="0"/>
    <w:rPr>
      <w:rFonts w:eastAsia="宋体"/>
      <w:kern w:val="2"/>
      <w:sz w:val="24"/>
      <w:lang w:val="en-US" w:eastAsia="zh-CN"/>
    </w:rPr>
  </w:style>
  <w:style w:type="character" w:customStyle="1" w:styleId="127">
    <w:name w:val="Char Char10"/>
    <w:qFormat/>
    <w:uiPriority w:val="0"/>
    <w:rPr>
      <w:rFonts w:eastAsia="宋体"/>
      <w:b/>
      <w:kern w:val="2"/>
      <w:sz w:val="24"/>
      <w:lang w:val="en-US" w:eastAsia="zh-CN"/>
    </w:rPr>
  </w:style>
  <w:style w:type="character" w:customStyle="1" w:styleId="128">
    <w:name w:val="标题 3 Char1"/>
    <w:qFormat/>
    <w:uiPriority w:val="0"/>
    <w:rPr>
      <w:rFonts w:eastAsia="宋体"/>
      <w:b/>
      <w:kern w:val="2"/>
      <w:sz w:val="32"/>
      <w:lang w:val="en-US" w:eastAsia="zh-CN"/>
    </w:rPr>
  </w:style>
  <w:style w:type="character" w:customStyle="1" w:styleId="129">
    <w:name w:val="正文首行缩进 2 Char"/>
    <w:link w:val="55"/>
    <w:qFormat/>
    <w:locked/>
    <w:uiPriority w:val="99"/>
    <w:rPr>
      <w:rFonts w:ascii="宋体" w:hAnsi="宋体" w:eastAsia="宋体" w:cs="Times New Roman"/>
      <w:sz w:val="20"/>
      <w:szCs w:val="20"/>
    </w:rPr>
  </w:style>
  <w:style w:type="character" w:customStyle="1" w:styleId="130">
    <w:name w:val="签名 Char"/>
    <w:link w:val="35"/>
    <w:qFormat/>
    <w:locked/>
    <w:uiPriority w:val="99"/>
    <w:rPr>
      <w:rFonts w:ascii="Times New Roman" w:hAnsi="Times New Roman" w:eastAsia="仿宋_GB2312" w:cs="Times New Roman"/>
      <w:kern w:val="0"/>
      <w:sz w:val="20"/>
      <w:szCs w:val="20"/>
    </w:rPr>
  </w:style>
  <w:style w:type="character" w:customStyle="1" w:styleId="131">
    <w:name w:val="已访问的超链接1"/>
    <w:qFormat/>
    <w:uiPriority w:val="0"/>
    <w:rPr>
      <w:color w:val="auto"/>
      <w:u w:val="none"/>
    </w:rPr>
  </w:style>
  <w:style w:type="character" w:customStyle="1" w:styleId="132">
    <w:name w:val="华宇段落1 Char Char Char"/>
    <w:qFormat/>
    <w:uiPriority w:val="0"/>
    <w:rPr>
      <w:rFonts w:eastAsia="宋体"/>
      <w:kern w:val="2"/>
      <w:sz w:val="24"/>
      <w:lang w:val="en-US" w:eastAsia="zh-CN"/>
    </w:rPr>
  </w:style>
  <w:style w:type="character" w:customStyle="1" w:styleId="133">
    <w:name w:val="小四 段落 宋体 Char Char Char1"/>
    <w:qFormat/>
    <w:uiPriority w:val="0"/>
    <w:rPr>
      <w:rFonts w:ascii="宋体" w:hAnsi="宋体" w:eastAsia="宋体"/>
      <w:kern w:val="2"/>
      <w:sz w:val="24"/>
      <w:lang w:val="en-US" w:eastAsia="zh-CN"/>
    </w:rPr>
  </w:style>
  <w:style w:type="character" w:customStyle="1" w:styleId="134">
    <w:name w:val="标题 3 Char"/>
    <w:link w:val="5"/>
    <w:qFormat/>
    <w:locked/>
    <w:uiPriority w:val="9"/>
    <w:rPr>
      <w:rFonts w:ascii="Times New Roman" w:hAnsi="Times New Roman" w:eastAsia="宋体" w:cs="Times New Roman"/>
      <w:b/>
      <w:bCs/>
      <w:sz w:val="32"/>
      <w:szCs w:val="32"/>
    </w:rPr>
  </w:style>
  <w:style w:type="character" w:customStyle="1" w:styleId="135">
    <w:name w:val="页眉 Char"/>
    <w:link w:val="34"/>
    <w:qFormat/>
    <w:locked/>
    <w:uiPriority w:val="99"/>
    <w:rPr>
      <w:rFonts w:cs="Times New Roman"/>
      <w:sz w:val="18"/>
      <w:szCs w:val="18"/>
    </w:rPr>
  </w:style>
  <w:style w:type="character" w:customStyle="1" w:styleId="136">
    <w:name w:val="Quote Char"/>
    <w:link w:val="137"/>
    <w:qFormat/>
    <w:locked/>
    <w:uiPriority w:val="29"/>
    <w:rPr>
      <w:rFonts w:ascii="Calibri" w:hAnsi="Calibri" w:eastAsia="宋体" w:cs="Times New Roman"/>
      <w:i/>
      <w:iCs/>
      <w:kern w:val="0"/>
      <w:sz w:val="22"/>
      <w:lang w:eastAsia="en-US"/>
    </w:rPr>
  </w:style>
  <w:style w:type="paragraph" w:customStyle="1" w:styleId="137">
    <w:name w:val="引用1"/>
    <w:basedOn w:val="1"/>
    <w:next w:val="1"/>
    <w:link w:val="136"/>
    <w:qFormat/>
    <w:uiPriority w:val="29"/>
    <w:pPr>
      <w:widowControl/>
      <w:spacing w:before="200" w:line="276" w:lineRule="auto"/>
      <w:ind w:left="360" w:right="360"/>
      <w:jc w:val="left"/>
    </w:pPr>
    <w:rPr>
      <w:i/>
      <w:iCs/>
      <w:kern w:val="0"/>
      <w:sz w:val="22"/>
      <w:szCs w:val="20"/>
      <w:lang w:eastAsia="en-US"/>
    </w:rPr>
  </w:style>
  <w:style w:type="character" w:customStyle="1" w:styleId="138">
    <w:name w:val="Char Char22"/>
    <w:qFormat/>
    <w:uiPriority w:val="0"/>
    <w:rPr>
      <w:b/>
      <w:kern w:val="2"/>
      <w:sz w:val="24"/>
    </w:rPr>
  </w:style>
  <w:style w:type="character" w:customStyle="1" w:styleId="139">
    <w:name w:val="3zw"/>
    <w:qFormat/>
    <w:uiPriority w:val="0"/>
    <w:rPr>
      <w:rFonts w:cs="Times New Roman"/>
    </w:rPr>
  </w:style>
  <w:style w:type="character" w:customStyle="1" w:styleId="140">
    <w:name w:val="Char Char16"/>
    <w:qFormat/>
    <w:uiPriority w:val="0"/>
    <w:rPr>
      <w:rFonts w:ascii="Arial" w:hAnsi="Arial" w:eastAsia="黑体"/>
      <w:kern w:val="2"/>
      <w:sz w:val="24"/>
      <w:lang w:val="en-US" w:eastAsia="zh-CN"/>
    </w:rPr>
  </w:style>
  <w:style w:type="character" w:customStyle="1" w:styleId="141">
    <w:name w:val="Char Char27"/>
    <w:qFormat/>
    <w:uiPriority w:val="0"/>
    <w:rPr>
      <w:b/>
      <w:kern w:val="44"/>
      <w:sz w:val="44"/>
    </w:rPr>
  </w:style>
  <w:style w:type="character" w:customStyle="1" w:styleId="142">
    <w:name w:val="明显参考1"/>
    <w:qFormat/>
    <w:uiPriority w:val="32"/>
    <w:rPr>
      <w:smallCaps/>
      <w:spacing w:val="5"/>
      <w:u w:val="single"/>
    </w:rPr>
  </w:style>
  <w:style w:type="character" w:customStyle="1" w:styleId="143">
    <w:name w:val="标题 2 Char"/>
    <w:link w:val="4"/>
    <w:qFormat/>
    <w:locked/>
    <w:uiPriority w:val="9"/>
    <w:rPr>
      <w:rFonts w:ascii="Arial" w:hAnsi="Arial" w:eastAsia="黑体" w:cs="Times New Roman"/>
      <w:b/>
      <w:bCs/>
      <w:sz w:val="32"/>
      <w:szCs w:val="32"/>
    </w:rPr>
  </w:style>
  <w:style w:type="character" w:customStyle="1" w:styleId="144">
    <w:name w:val="普通文字 Char Char3"/>
    <w:qFormat/>
    <w:uiPriority w:val="0"/>
    <w:rPr>
      <w:rFonts w:ascii="宋体" w:hAnsi="Courier New" w:eastAsia="宋体"/>
      <w:kern w:val="2"/>
      <w:sz w:val="21"/>
      <w:lang w:val="en-US" w:eastAsia="zh-CN"/>
    </w:rPr>
  </w:style>
  <w:style w:type="character" w:customStyle="1" w:styleId="145">
    <w:name w:val="Char Char32"/>
    <w:qFormat/>
    <w:uiPriority w:val="0"/>
    <w:rPr>
      <w:rFonts w:eastAsia="宋体"/>
      <w:b/>
      <w:kern w:val="2"/>
      <w:sz w:val="32"/>
      <w:lang w:val="en-US" w:eastAsia="zh-CN"/>
    </w:rPr>
  </w:style>
  <w:style w:type="character" w:customStyle="1" w:styleId="146">
    <w:name w:val="content_lineheight1"/>
    <w:qFormat/>
    <w:uiPriority w:val="0"/>
    <w:rPr>
      <w:rFonts w:cs="Times New Roman"/>
    </w:rPr>
  </w:style>
  <w:style w:type="character" w:customStyle="1" w:styleId="147">
    <w:name w:val="标准文本 Char"/>
    <w:qFormat/>
    <w:uiPriority w:val="0"/>
    <w:rPr>
      <w:rFonts w:eastAsia="宋体"/>
      <w:kern w:val="2"/>
      <w:sz w:val="24"/>
      <w:lang w:val="en-US" w:eastAsia="zh-CN"/>
    </w:rPr>
  </w:style>
  <w:style w:type="character" w:customStyle="1" w:styleId="148">
    <w:name w:val="Char Char21"/>
    <w:qFormat/>
    <w:uiPriority w:val="0"/>
    <w:rPr>
      <w:rFonts w:ascii="Arial" w:hAnsi="Arial" w:eastAsia="黑体"/>
      <w:kern w:val="2"/>
      <w:sz w:val="24"/>
    </w:rPr>
  </w:style>
  <w:style w:type="character" w:customStyle="1" w:styleId="149">
    <w:name w:val="标题 Char"/>
    <w:link w:val="52"/>
    <w:qFormat/>
    <w:locked/>
    <w:uiPriority w:val="10"/>
    <w:rPr>
      <w:rFonts w:ascii="Times New Roman" w:hAnsi="Times New Roman" w:eastAsia="黑体" w:cs="Times New Roman"/>
      <w:b/>
      <w:kern w:val="0"/>
      <w:sz w:val="20"/>
      <w:szCs w:val="20"/>
      <w:lang w:val="en-GB"/>
    </w:rPr>
  </w:style>
  <w:style w:type="character" w:customStyle="1" w:styleId="150">
    <w:name w:val="无间隔 Char"/>
    <w:qFormat/>
    <w:uiPriority w:val="0"/>
    <w:rPr>
      <w:rFonts w:ascii="Calibri" w:hAnsi="Calibri" w:eastAsia="微软雅黑"/>
      <w:kern w:val="2"/>
      <w:sz w:val="22"/>
      <w:lang w:val="en-US" w:eastAsia="zh-CN"/>
    </w:rPr>
  </w:style>
  <w:style w:type="character" w:customStyle="1" w:styleId="151">
    <w:name w:val="标准小四 Char Char"/>
    <w:qFormat/>
    <w:uiPriority w:val="0"/>
    <w:rPr>
      <w:rFonts w:ascii="Arial" w:hAnsi="Arial" w:eastAsia="宋体"/>
      <w:kern w:val="2"/>
      <w:sz w:val="21"/>
      <w:lang w:val="en-US" w:eastAsia="zh-CN"/>
    </w:rPr>
  </w:style>
  <w:style w:type="character" w:customStyle="1" w:styleId="152">
    <w:name w:val="标题 6 Char"/>
    <w:link w:val="9"/>
    <w:qFormat/>
    <w:locked/>
    <w:uiPriority w:val="9"/>
    <w:rPr>
      <w:rFonts w:ascii="Arial" w:hAnsi="Arial" w:eastAsia="黑体" w:cs="Times New Roman"/>
      <w:b/>
      <w:bCs/>
      <w:sz w:val="24"/>
      <w:szCs w:val="24"/>
    </w:rPr>
  </w:style>
  <w:style w:type="character" w:customStyle="1" w:styleId="153">
    <w:name w:val="明显引用 Char"/>
    <w:qFormat/>
    <w:uiPriority w:val="0"/>
    <w:rPr>
      <w:rFonts w:ascii="Calibri" w:hAnsi="Calibri" w:eastAsia="宋体"/>
      <w:b/>
      <w:i/>
      <w:sz w:val="22"/>
      <w:lang w:val="en-US" w:eastAsia="en-US"/>
    </w:rPr>
  </w:style>
  <w:style w:type="character" w:customStyle="1" w:styleId="154">
    <w:name w:val="Char Char20"/>
    <w:qFormat/>
    <w:uiPriority w:val="0"/>
    <w:rPr>
      <w:rFonts w:ascii="Arial" w:hAnsi="Arial" w:eastAsia="黑体"/>
      <w:kern w:val="2"/>
      <w:sz w:val="21"/>
    </w:rPr>
  </w:style>
  <w:style w:type="character" w:customStyle="1" w:styleId="155">
    <w:name w:val="font5 Char Char"/>
    <w:qFormat/>
    <w:uiPriority w:val="0"/>
    <w:rPr>
      <w:rFonts w:ascii="宋体" w:hAnsi="宋体" w:eastAsia="宋体"/>
      <w:sz w:val="28"/>
      <w:lang w:val="en-US" w:eastAsia="zh-CN"/>
    </w:rPr>
  </w:style>
  <w:style w:type="character" w:customStyle="1" w:styleId="156">
    <w:name w:val="Char Char18"/>
    <w:qFormat/>
    <w:uiPriority w:val="0"/>
    <w:rPr>
      <w:rFonts w:eastAsia="宋体"/>
      <w:b/>
      <w:kern w:val="2"/>
      <w:sz w:val="24"/>
      <w:lang w:val="en-US" w:eastAsia="zh-CN"/>
    </w:rPr>
  </w:style>
  <w:style w:type="character" w:customStyle="1" w:styleId="157">
    <w:name w:val="listbenefit"/>
    <w:qFormat/>
    <w:uiPriority w:val="0"/>
  </w:style>
  <w:style w:type="character" w:customStyle="1" w:styleId="158">
    <w:name w:val="fo251"/>
    <w:qFormat/>
    <w:uiPriority w:val="0"/>
    <w:rPr>
      <w:rFonts w:hint="default" w:ascii="Calibri" w:hAnsi="Calibri"/>
      <w:color w:val="000000"/>
      <w:sz w:val="31"/>
      <w:szCs w:val="31"/>
    </w:rPr>
  </w:style>
  <w:style w:type="character" w:customStyle="1" w:styleId="159">
    <w:name w:val="页脚 Char"/>
    <w:link w:val="33"/>
    <w:semiHidden/>
    <w:qFormat/>
    <w:locked/>
    <w:uiPriority w:val="99"/>
    <w:rPr>
      <w:rFonts w:cs="Times New Roman"/>
      <w:sz w:val="18"/>
      <w:szCs w:val="18"/>
    </w:rPr>
  </w:style>
  <w:style w:type="character" w:customStyle="1" w:styleId="160">
    <w:name w:val="apple-style-span"/>
    <w:qFormat/>
    <w:uiPriority w:val="0"/>
    <w:rPr>
      <w:rFonts w:cs="Times New Roman"/>
    </w:rPr>
  </w:style>
  <w:style w:type="character" w:customStyle="1" w:styleId="161">
    <w:name w:val="样式 首行缩进:  2 字符 Char Char Char"/>
    <w:qFormat/>
    <w:uiPriority w:val="0"/>
    <w:rPr>
      <w:rFonts w:eastAsia="宋体"/>
      <w:kern w:val="2"/>
      <w:sz w:val="24"/>
      <w:lang w:val="en-US" w:eastAsia="zh-CN"/>
    </w:rPr>
  </w:style>
  <w:style w:type="character" w:customStyle="1" w:styleId="162">
    <w:name w:val="小四 段落 宋体 Char Char Char Char Char Char Char"/>
    <w:qFormat/>
    <w:uiPriority w:val="0"/>
    <w:rPr>
      <w:rFonts w:eastAsia="宋体"/>
      <w:kern w:val="2"/>
      <w:sz w:val="24"/>
      <w:lang w:val="en-US" w:eastAsia="zh-CN"/>
    </w:rPr>
  </w:style>
  <w:style w:type="character" w:customStyle="1" w:styleId="163">
    <w:name w:val="正文缩进 Char1"/>
    <w:qFormat/>
    <w:uiPriority w:val="0"/>
    <w:rPr>
      <w:rFonts w:eastAsia="宋体"/>
    </w:rPr>
  </w:style>
  <w:style w:type="character" w:customStyle="1" w:styleId="164">
    <w:name w:val="zbggmain style9"/>
    <w:qFormat/>
    <w:uiPriority w:val="0"/>
  </w:style>
  <w:style w:type="character" w:customStyle="1" w:styleId="165">
    <w:name w:val="case31"/>
    <w:qFormat/>
    <w:uiPriority w:val="0"/>
    <w:rPr>
      <w:sz w:val="21"/>
    </w:rPr>
  </w:style>
  <w:style w:type="character" w:customStyle="1" w:styleId="166">
    <w:name w:val="明显强调1"/>
    <w:qFormat/>
    <w:uiPriority w:val="21"/>
    <w:rPr>
      <w:b/>
    </w:rPr>
  </w:style>
  <w:style w:type="character" w:customStyle="1" w:styleId="167">
    <w:name w:val="日期 Char"/>
    <w:link w:val="29"/>
    <w:qFormat/>
    <w:locked/>
    <w:uiPriority w:val="99"/>
    <w:rPr>
      <w:rFonts w:ascii="Times New Roman" w:hAnsi="Times New Roman" w:eastAsia="宋体" w:cs="Times New Roman"/>
      <w:sz w:val="20"/>
      <w:szCs w:val="20"/>
    </w:rPr>
  </w:style>
  <w:style w:type="character" w:customStyle="1" w:styleId="168">
    <w:name w:val="Char Char14"/>
    <w:qFormat/>
    <w:uiPriority w:val="0"/>
    <w:rPr>
      <w:rFonts w:eastAsia="黑体"/>
      <w:b/>
      <w:sz w:val="28"/>
      <w:lang w:val="en-GB" w:eastAsia="zh-CN"/>
    </w:rPr>
  </w:style>
  <w:style w:type="character" w:customStyle="1" w:styleId="169">
    <w:name w:val="文档结构图 Char"/>
    <w:link w:val="17"/>
    <w:semiHidden/>
    <w:qFormat/>
    <w:locked/>
    <w:uiPriority w:val="99"/>
    <w:rPr>
      <w:rFonts w:ascii="Times New Roman" w:hAnsi="Times New Roman" w:eastAsia="宋体" w:cs="Times New Roman"/>
      <w:sz w:val="24"/>
      <w:szCs w:val="24"/>
      <w:shd w:val="clear" w:color="auto" w:fill="000080"/>
    </w:rPr>
  </w:style>
  <w:style w:type="character" w:customStyle="1" w:styleId="170">
    <w:name w:val="Char Char26"/>
    <w:qFormat/>
    <w:uiPriority w:val="0"/>
    <w:rPr>
      <w:b/>
      <w:kern w:val="2"/>
      <w:sz w:val="32"/>
    </w:rPr>
  </w:style>
  <w:style w:type="character" w:customStyle="1" w:styleId="171">
    <w:name w:val="纯文本 Char Char Char"/>
    <w:qFormat/>
    <w:uiPriority w:val="0"/>
    <w:rPr>
      <w:rFonts w:ascii="宋体" w:hAnsi="Courier New" w:eastAsia="宋体"/>
      <w:kern w:val="2"/>
      <w:sz w:val="21"/>
      <w:lang w:val="en-US" w:eastAsia="zh-CN"/>
    </w:rPr>
  </w:style>
  <w:style w:type="character" w:customStyle="1" w:styleId="172">
    <w:name w:val="纯文本 Char Char Char1"/>
    <w:qFormat/>
    <w:uiPriority w:val="0"/>
    <w:rPr>
      <w:rFonts w:ascii="宋体" w:hAnsi="Courier New" w:eastAsia="宋体"/>
      <w:kern w:val="2"/>
      <w:sz w:val="21"/>
      <w:lang w:val="en-US" w:eastAsia="zh-CN"/>
    </w:rPr>
  </w:style>
  <w:style w:type="character" w:customStyle="1" w:styleId="173">
    <w:name w:val="正文文本缩进 3 Char"/>
    <w:link w:val="44"/>
    <w:qFormat/>
    <w:locked/>
    <w:uiPriority w:val="99"/>
    <w:rPr>
      <w:rFonts w:ascii="Times New Roman" w:hAnsi="Times New Roman" w:eastAsia="宋体" w:cs="Times New Roman"/>
      <w:b/>
      <w:bCs/>
      <w:sz w:val="20"/>
      <w:szCs w:val="20"/>
    </w:rPr>
  </w:style>
  <w:style w:type="character" w:customStyle="1" w:styleId="174">
    <w:name w:val="标准小四 Char Char Char"/>
    <w:qFormat/>
    <w:uiPriority w:val="0"/>
    <w:rPr>
      <w:rFonts w:ascii="Arial" w:hAnsi="Arial" w:eastAsia="宋体"/>
      <w:kern w:val="2"/>
      <w:sz w:val="21"/>
      <w:lang w:val="en-US" w:eastAsia="zh-CN"/>
    </w:rPr>
  </w:style>
  <w:style w:type="character" w:customStyle="1" w:styleId="175">
    <w:name w:val="标准文本 Char Char"/>
    <w:qFormat/>
    <w:uiPriority w:val="0"/>
    <w:rPr>
      <w:rFonts w:eastAsia="宋体"/>
      <w:kern w:val="2"/>
      <w:sz w:val="24"/>
      <w:lang w:val="en-US" w:eastAsia="zh-CN"/>
    </w:rPr>
  </w:style>
  <w:style w:type="character" w:customStyle="1" w:styleId="176">
    <w:name w:val="Char Char25"/>
    <w:qFormat/>
    <w:uiPriority w:val="0"/>
    <w:rPr>
      <w:rFonts w:ascii="Arial" w:hAnsi="Arial" w:eastAsia="黑体"/>
      <w:b/>
      <w:kern w:val="2"/>
      <w:sz w:val="28"/>
    </w:rPr>
  </w:style>
  <w:style w:type="character" w:customStyle="1" w:styleId="177">
    <w:name w:val="normalfont1"/>
    <w:qFormat/>
    <w:uiPriority w:val="0"/>
    <w:rPr>
      <w:rFonts w:ascii="??" w:hAnsi="??"/>
      <w:sz w:val="18"/>
      <w:u w:val="none"/>
    </w:rPr>
  </w:style>
  <w:style w:type="character" w:customStyle="1" w:styleId="178">
    <w:name w:val="Char Char24"/>
    <w:qFormat/>
    <w:uiPriority w:val="0"/>
    <w:rPr>
      <w:b/>
      <w:kern w:val="2"/>
      <w:sz w:val="28"/>
    </w:rPr>
  </w:style>
  <w:style w:type="character" w:customStyle="1" w:styleId="179">
    <w:name w:val="Char Char30"/>
    <w:qFormat/>
    <w:uiPriority w:val="0"/>
    <w:rPr>
      <w:rFonts w:eastAsia="宋体"/>
      <w:b/>
      <w:kern w:val="2"/>
      <w:sz w:val="28"/>
      <w:lang w:val="en-US" w:eastAsia="zh-CN"/>
    </w:rPr>
  </w:style>
  <w:style w:type="character" w:customStyle="1" w:styleId="180">
    <w:name w:val="111111 Char Char"/>
    <w:qFormat/>
    <w:uiPriority w:val="0"/>
    <w:rPr>
      <w:rFonts w:ascii="宋体" w:hAnsi="宋体" w:eastAsia="黑体"/>
      <w:b/>
      <w:kern w:val="2"/>
      <w:sz w:val="21"/>
      <w:lang w:val="en-US" w:eastAsia="zh-CN"/>
    </w:rPr>
  </w:style>
  <w:style w:type="character" w:customStyle="1" w:styleId="181">
    <w:name w:val="列出段落 Char"/>
    <w:link w:val="182"/>
    <w:qFormat/>
    <w:locked/>
    <w:uiPriority w:val="0"/>
    <w:rPr>
      <w:rFonts w:cs="宋体"/>
      <w:kern w:val="2"/>
      <w:sz w:val="21"/>
      <w:szCs w:val="22"/>
    </w:rPr>
  </w:style>
  <w:style w:type="paragraph" w:customStyle="1" w:styleId="182">
    <w:name w:val="列出段落1"/>
    <w:basedOn w:val="1"/>
    <w:link w:val="181"/>
    <w:qFormat/>
    <w:uiPriority w:val="0"/>
    <w:pPr>
      <w:spacing w:beforeLines="50" w:afterLines="50"/>
      <w:ind w:firstLine="200" w:firstLineChars="200"/>
    </w:pPr>
    <w:rPr>
      <w:szCs w:val="22"/>
    </w:rPr>
  </w:style>
  <w:style w:type="character" w:customStyle="1" w:styleId="183">
    <w:name w:val="标题 7 Char"/>
    <w:link w:val="10"/>
    <w:qFormat/>
    <w:locked/>
    <w:uiPriority w:val="9"/>
    <w:rPr>
      <w:rFonts w:ascii="Times New Roman" w:hAnsi="Times New Roman" w:eastAsia="宋体" w:cs="Times New Roman"/>
      <w:b/>
      <w:bCs/>
      <w:sz w:val="24"/>
      <w:szCs w:val="24"/>
    </w:rPr>
  </w:style>
  <w:style w:type="character" w:customStyle="1" w:styleId="184">
    <w:name w:val="ih151"/>
    <w:qFormat/>
    <w:uiPriority w:val="0"/>
    <w:rPr>
      <w:color w:val="666666"/>
      <w:sz w:val="18"/>
      <w:u w:val="none"/>
    </w:rPr>
  </w:style>
  <w:style w:type="character" w:customStyle="1" w:styleId="185">
    <w:name w:val="标题 9 Char"/>
    <w:link w:val="12"/>
    <w:qFormat/>
    <w:locked/>
    <w:uiPriority w:val="9"/>
    <w:rPr>
      <w:rFonts w:ascii="Arial" w:hAnsi="Arial" w:eastAsia="黑体" w:cs="Times New Roman"/>
      <w:sz w:val="21"/>
      <w:szCs w:val="21"/>
    </w:rPr>
  </w:style>
  <w:style w:type="character" w:customStyle="1" w:styleId="186">
    <w:name w:val="副标题 Char"/>
    <w:link w:val="40"/>
    <w:qFormat/>
    <w:locked/>
    <w:uiPriority w:val="11"/>
    <w:rPr>
      <w:rFonts w:ascii="Cambria" w:hAnsi="Cambria" w:eastAsia="宋体" w:cs="Times New Roman"/>
      <w:i/>
      <w:iCs/>
      <w:spacing w:val="13"/>
      <w:kern w:val="0"/>
      <w:sz w:val="24"/>
      <w:szCs w:val="24"/>
      <w:lang w:eastAsia="en-US"/>
    </w:rPr>
  </w:style>
  <w:style w:type="character" w:customStyle="1" w:styleId="187">
    <w:name w:val="华宇段落1 Char Char Char Char"/>
    <w:qFormat/>
    <w:uiPriority w:val="0"/>
    <w:rPr>
      <w:rFonts w:eastAsia="宋体"/>
      <w:kern w:val="2"/>
      <w:sz w:val="24"/>
      <w:lang w:val="en-US" w:eastAsia="zh-CN"/>
    </w:rPr>
  </w:style>
  <w:style w:type="character" w:customStyle="1" w:styleId="188">
    <w:name w:val="fo261"/>
    <w:qFormat/>
    <w:uiPriority w:val="0"/>
    <w:rPr>
      <w:rFonts w:hint="default" w:ascii="Calibri" w:hAnsi="Calibri"/>
      <w:b/>
      <w:bCs/>
      <w:color w:val="000000"/>
      <w:sz w:val="17"/>
      <w:szCs w:val="17"/>
    </w:rPr>
  </w:style>
  <w:style w:type="character" w:customStyle="1" w:styleId="189">
    <w:name w:val="标题 1 Char"/>
    <w:link w:val="3"/>
    <w:qFormat/>
    <w:locked/>
    <w:uiPriority w:val="9"/>
    <w:rPr>
      <w:rFonts w:ascii="Times New Roman" w:hAnsi="Times New Roman" w:eastAsia="宋体" w:cs="Times New Roman"/>
      <w:b/>
      <w:bCs/>
      <w:kern w:val="44"/>
      <w:sz w:val="44"/>
      <w:szCs w:val="44"/>
    </w:rPr>
  </w:style>
  <w:style w:type="character" w:customStyle="1" w:styleId="190">
    <w:name w:val="正文文本 2 Char"/>
    <w:link w:val="48"/>
    <w:qFormat/>
    <w:locked/>
    <w:uiPriority w:val="99"/>
    <w:rPr>
      <w:rFonts w:ascii="Times New Roman" w:hAnsi="Times New Roman" w:eastAsia="宋体" w:cs="Times New Roman"/>
      <w:b/>
      <w:bCs/>
      <w:sz w:val="20"/>
      <w:szCs w:val="20"/>
    </w:rPr>
  </w:style>
  <w:style w:type="character" w:customStyle="1" w:styleId="191">
    <w:name w:val="textcontents"/>
    <w:qFormat/>
    <w:uiPriority w:val="0"/>
    <w:rPr>
      <w:rFonts w:cs="Times New Roman"/>
    </w:rPr>
  </w:style>
  <w:style w:type="character" w:customStyle="1" w:styleId="192">
    <w:name w:val="标准小四 Char"/>
    <w:qFormat/>
    <w:uiPriority w:val="0"/>
    <w:rPr>
      <w:rFonts w:ascii="Arial" w:hAnsi="Arial" w:eastAsia="宋体"/>
      <w:kern w:val="2"/>
      <w:sz w:val="21"/>
      <w:lang w:val="en-US" w:eastAsia="zh-CN"/>
    </w:rPr>
  </w:style>
  <w:style w:type="character" w:customStyle="1" w:styleId="193">
    <w:name w:val="尾注文本 Char"/>
    <w:link w:val="31"/>
    <w:semiHidden/>
    <w:qFormat/>
    <w:locked/>
    <w:uiPriority w:val="99"/>
    <w:rPr>
      <w:rFonts w:ascii="Times New Roman" w:hAnsi="Times New Roman" w:eastAsia="宋体" w:cs="Times New Roman"/>
      <w:kern w:val="0"/>
      <w:sz w:val="24"/>
      <w:szCs w:val="24"/>
    </w:rPr>
  </w:style>
  <w:style w:type="character" w:customStyle="1" w:styleId="194">
    <w:name w:val="纯文本 Char1"/>
    <w:qFormat/>
    <w:uiPriority w:val="0"/>
    <w:rPr>
      <w:rFonts w:ascii="宋体" w:hAnsi="Courier New"/>
      <w:kern w:val="2"/>
      <w:sz w:val="21"/>
    </w:rPr>
  </w:style>
  <w:style w:type="character" w:customStyle="1" w:styleId="195">
    <w:name w:val="标题 3 Char Char"/>
    <w:qFormat/>
    <w:uiPriority w:val="0"/>
    <w:rPr>
      <w:rFonts w:eastAsia="仿宋_GB2312"/>
      <w:b/>
      <w:kern w:val="2"/>
      <w:sz w:val="32"/>
      <w:lang w:val="en-US" w:eastAsia="zh-CN"/>
    </w:rPr>
  </w:style>
  <w:style w:type="character" w:customStyle="1" w:styleId="196">
    <w:name w:val="Char Char29"/>
    <w:qFormat/>
    <w:uiPriority w:val="0"/>
    <w:rPr>
      <w:rFonts w:ascii="Times New Roman" w:hAnsi="Times New Roman" w:eastAsia="宋体"/>
      <w:b/>
      <w:kern w:val="44"/>
      <w:sz w:val="44"/>
    </w:rPr>
  </w:style>
  <w:style w:type="character" w:customStyle="1" w:styleId="197">
    <w:name w:val="span1"/>
    <w:qFormat/>
    <w:uiPriority w:val="0"/>
    <w:rPr>
      <w:color w:val="757575"/>
      <w:sz w:val="21"/>
      <w:szCs w:val="21"/>
    </w:rPr>
  </w:style>
  <w:style w:type="character" w:customStyle="1" w:styleId="198">
    <w:name w:val="标题 Char1"/>
    <w:qFormat/>
    <w:uiPriority w:val="0"/>
    <w:rPr>
      <w:rFonts w:ascii="Cambria" w:eastAsia="宋体"/>
      <w:b/>
      <w:sz w:val="32"/>
    </w:rPr>
  </w:style>
  <w:style w:type="character" w:customStyle="1" w:styleId="199">
    <w:name w:val="Char Char31"/>
    <w:qFormat/>
    <w:uiPriority w:val="0"/>
    <w:rPr>
      <w:rFonts w:ascii="Arial" w:hAnsi="Arial" w:eastAsia="黑体"/>
      <w:b/>
      <w:kern w:val="2"/>
      <w:sz w:val="28"/>
      <w:lang w:val="en-US" w:eastAsia="zh-CN"/>
    </w:rPr>
  </w:style>
  <w:style w:type="character" w:customStyle="1" w:styleId="200">
    <w:name w:val="Char Char23"/>
    <w:qFormat/>
    <w:uiPriority w:val="0"/>
    <w:rPr>
      <w:rFonts w:ascii="Arial" w:hAnsi="Arial" w:eastAsia="黑体"/>
      <w:b/>
      <w:kern w:val="2"/>
      <w:sz w:val="24"/>
    </w:rPr>
  </w:style>
  <w:style w:type="character" w:customStyle="1" w:styleId="201">
    <w:name w:val="标题 4 Char"/>
    <w:link w:val="6"/>
    <w:qFormat/>
    <w:locked/>
    <w:uiPriority w:val="9"/>
    <w:rPr>
      <w:rFonts w:ascii="Arial" w:hAnsi="Arial" w:eastAsia="黑体" w:cs="Times New Roman"/>
      <w:b/>
      <w:sz w:val="20"/>
      <w:szCs w:val="20"/>
    </w:rPr>
  </w:style>
  <w:style w:type="character" w:customStyle="1" w:styleId="202">
    <w:name w:val="content"/>
    <w:qFormat/>
    <w:uiPriority w:val="0"/>
    <w:rPr>
      <w:rFonts w:cs="Times New Roman"/>
    </w:rPr>
  </w:style>
  <w:style w:type="character" w:customStyle="1" w:styleId="203">
    <w:name w:val="Char Char28"/>
    <w:qFormat/>
    <w:uiPriority w:val="0"/>
    <w:rPr>
      <w:rFonts w:ascii="Arial" w:hAnsi="Arial" w:eastAsia="黑体"/>
      <w:b/>
      <w:sz w:val="32"/>
    </w:rPr>
  </w:style>
  <w:style w:type="character" w:customStyle="1" w:styleId="204">
    <w:name w:val="Char Char6"/>
    <w:qFormat/>
    <w:uiPriority w:val="0"/>
    <w:rPr>
      <w:rFonts w:eastAsia="宋体"/>
      <w:kern w:val="2"/>
      <w:sz w:val="24"/>
      <w:lang w:val="en-US" w:eastAsia="zh-CN"/>
    </w:rPr>
  </w:style>
  <w:style w:type="character" w:customStyle="1" w:styleId="205">
    <w:name w:val="标准文本 Char Char Char"/>
    <w:qFormat/>
    <w:uiPriority w:val="0"/>
    <w:rPr>
      <w:rFonts w:eastAsia="宋体"/>
      <w:kern w:val="2"/>
      <w:sz w:val="24"/>
      <w:lang w:val="en-US" w:eastAsia="zh-CN"/>
    </w:rPr>
  </w:style>
  <w:style w:type="character" w:customStyle="1" w:styleId="206">
    <w:name w:val="title_emph1"/>
    <w:qFormat/>
    <w:uiPriority w:val="0"/>
    <w:rPr>
      <w:rFonts w:ascii="Arial"/>
      <w:b/>
      <w:sz w:val="18"/>
    </w:rPr>
  </w:style>
  <w:style w:type="character" w:customStyle="1" w:styleId="207">
    <w:name w:val="2nd level Char"/>
    <w:qFormat/>
    <w:uiPriority w:val="0"/>
    <w:rPr>
      <w:rFonts w:ascii="Arial" w:hAnsi="Arial" w:eastAsia="黑体"/>
      <w:b/>
      <w:kern w:val="2"/>
      <w:sz w:val="32"/>
      <w:lang w:val="en-US" w:eastAsia="zh-CN"/>
    </w:rPr>
  </w:style>
  <w:style w:type="character" w:customStyle="1" w:styleId="208">
    <w:name w:val="小四 段落 宋体 Char Char Char Char1"/>
    <w:qFormat/>
    <w:uiPriority w:val="0"/>
    <w:rPr>
      <w:rFonts w:eastAsia="宋体"/>
      <w:kern w:val="2"/>
      <w:sz w:val="24"/>
      <w:lang w:val="en-US" w:eastAsia="zh-CN"/>
    </w:rPr>
  </w:style>
  <w:style w:type="character" w:customStyle="1" w:styleId="209">
    <w:name w:val="称呼 Char"/>
    <w:link w:val="19"/>
    <w:qFormat/>
    <w:locked/>
    <w:uiPriority w:val="99"/>
    <w:rPr>
      <w:rFonts w:ascii="仿宋_GB2312" w:hAnsi="Times New Roman" w:eastAsia="仿宋_GB2312" w:cs="Times New Roman"/>
      <w:sz w:val="20"/>
      <w:szCs w:val="20"/>
    </w:rPr>
  </w:style>
  <w:style w:type="character" w:customStyle="1" w:styleId="210">
    <w:name w:val="HTML 预设格式 Char"/>
    <w:link w:val="49"/>
    <w:qFormat/>
    <w:locked/>
    <w:uiPriority w:val="99"/>
    <w:rPr>
      <w:rFonts w:ascii="宋体" w:hAnsi="宋体" w:eastAsia="宋体" w:cs="宋体"/>
      <w:kern w:val="0"/>
      <w:sz w:val="24"/>
      <w:szCs w:val="24"/>
    </w:rPr>
  </w:style>
  <w:style w:type="character" w:customStyle="1" w:styleId="211">
    <w:name w:val="Char Char7"/>
    <w:qFormat/>
    <w:uiPriority w:val="0"/>
    <w:rPr>
      <w:rFonts w:eastAsia="宋体"/>
      <w:b/>
      <w:kern w:val="2"/>
      <w:sz w:val="24"/>
      <w:lang w:val="en-US" w:eastAsia="zh-CN"/>
    </w:rPr>
  </w:style>
  <w:style w:type="character" w:customStyle="1" w:styleId="212">
    <w:name w:val="Char Char13"/>
    <w:qFormat/>
    <w:uiPriority w:val="0"/>
    <w:rPr>
      <w:rFonts w:ascii="宋体" w:hAnsi="宋体" w:eastAsia="宋体"/>
      <w:kern w:val="2"/>
      <w:sz w:val="24"/>
      <w:lang w:val="en-US" w:eastAsia="zh-CN"/>
    </w:rPr>
  </w:style>
  <w:style w:type="character" w:customStyle="1" w:styleId="213">
    <w:name w:val="subtitle1"/>
    <w:qFormat/>
    <w:uiPriority w:val="0"/>
    <w:rPr>
      <w:rFonts w:ascii="Georgia" w:hAnsi="Georgia"/>
      <w:b/>
      <w:color w:val="666666"/>
      <w:sz w:val="18"/>
    </w:rPr>
  </w:style>
  <w:style w:type="paragraph" w:customStyle="1" w:styleId="21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5">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16">
    <w:name w:val="小四 段落 宋体 Char Char Char Char"/>
    <w:basedOn w:val="1"/>
    <w:qFormat/>
    <w:uiPriority w:val="0"/>
    <w:pPr>
      <w:spacing w:line="360" w:lineRule="auto"/>
      <w:ind w:right="-33" w:firstLine="480" w:firstLineChars="200"/>
      <w:jc w:val="left"/>
    </w:pPr>
    <w:rPr>
      <w:sz w:val="24"/>
    </w:rPr>
  </w:style>
  <w:style w:type="paragraph" w:customStyle="1" w:styleId="217">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1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19">
    <w:name w:val="公文正文"/>
    <w:basedOn w:val="22"/>
    <w:qFormat/>
    <w:uiPriority w:val="0"/>
    <w:pPr>
      <w:spacing w:after="0"/>
      <w:ind w:left="0" w:leftChars="0" w:firstLine="200" w:firstLineChars="200"/>
    </w:pPr>
    <w:rPr>
      <w:rFonts w:ascii="仿宋_GB2312" w:hAnsi="宋体" w:eastAsia="仿宋_GB2312"/>
      <w:kern w:val="28"/>
      <w:sz w:val="28"/>
    </w:rPr>
  </w:style>
  <w:style w:type="paragraph" w:customStyle="1" w:styleId="2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21">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222">
    <w:name w:val="默认段落字体 Para Char Char Char Char Char Char Char Char Char1 Char Char Char Char Char Char Char"/>
    <w:basedOn w:val="17"/>
    <w:qFormat/>
    <w:uiPriority w:val="0"/>
    <w:rPr>
      <w:szCs w:val="20"/>
    </w:rPr>
  </w:style>
  <w:style w:type="paragraph" w:customStyle="1" w:styleId="22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24">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2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226">
    <w:name w:val="样式 首行缩进:  2 字符"/>
    <w:basedOn w:val="1"/>
    <w:qFormat/>
    <w:uiPriority w:val="0"/>
    <w:pPr>
      <w:spacing w:line="360" w:lineRule="auto"/>
      <w:ind w:firstLine="480" w:firstLineChars="200"/>
    </w:pPr>
    <w:rPr>
      <w:rFonts w:cs="宋体"/>
      <w:sz w:val="24"/>
      <w:szCs w:val="20"/>
    </w:rPr>
  </w:style>
  <w:style w:type="paragraph" w:customStyle="1" w:styleId="227">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28">
    <w:name w:val="Char1"/>
    <w:basedOn w:val="1"/>
    <w:qFormat/>
    <w:uiPriority w:val="0"/>
    <w:rPr>
      <w:rFonts w:ascii="仿宋_GB2312" w:hAnsi="宋体" w:eastAsia="仿宋_GB2312" w:cs="宋体"/>
      <w:b/>
      <w:sz w:val="32"/>
      <w:szCs w:val="32"/>
    </w:rPr>
  </w:style>
  <w:style w:type="paragraph" w:customStyle="1" w:styleId="22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0">
    <w:name w:val="样式 段后: 0.25 行"/>
    <w:basedOn w:val="1"/>
    <w:qFormat/>
    <w:uiPriority w:val="0"/>
    <w:pPr>
      <w:widowControl/>
      <w:spacing w:afterLines="25" w:line="300" w:lineRule="auto"/>
      <w:ind w:firstLine="420" w:firstLineChars="200"/>
      <w:jc w:val="left"/>
    </w:pPr>
    <w:rPr>
      <w:rFonts w:ascii="Arial" w:hAnsi="Arial" w:cs="宋体"/>
      <w:kern w:val="0"/>
      <w:sz w:val="22"/>
      <w:szCs w:val="20"/>
      <w:lang w:eastAsia="en-US"/>
    </w:rPr>
  </w:style>
  <w:style w:type="paragraph" w:customStyle="1" w:styleId="231">
    <w:name w:val="修订1"/>
    <w:semiHidden/>
    <w:qFormat/>
    <w:uiPriority w:val="99"/>
    <w:rPr>
      <w:rFonts w:ascii="Calibri" w:hAnsi="Calibri" w:eastAsia="宋体" w:cs="Times New Roman"/>
      <w:kern w:val="2"/>
      <w:sz w:val="21"/>
      <w:szCs w:val="24"/>
      <w:lang w:val="en-US" w:eastAsia="zh-CN" w:bidi="ar-SA"/>
    </w:rPr>
  </w:style>
  <w:style w:type="paragraph" w:customStyle="1" w:styleId="2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3">
    <w:name w:val="正文 居中"/>
    <w:basedOn w:val="1"/>
    <w:qFormat/>
    <w:uiPriority w:val="0"/>
    <w:pPr>
      <w:spacing w:line="360" w:lineRule="auto"/>
      <w:jc w:val="center"/>
    </w:pPr>
    <w:rPr>
      <w:sz w:val="24"/>
      <w:szCs w:val="20"/>
    </w:rPr>
  </w:style>
  <w:style w:type="paragraph" w:customStyle="1" w:styleId="234">
    <w:name w:val="font7"/>
    <w:basedOn w:val="1"/>
    <w:qFormat/>
    <w:uiPriority w:val="0"/>
    <w:pPr>
      <w:widowControl/>
      <w:spacing w:before="100" w:beforeAutospacing="1" w:after="100" w:afterAutospacing="1"/>
      <w:jc w:val="left"/>
    </w:pPr>
    <w:rPr>
      <w:rFonts w:ascii="宋体" w:hAnsi="宋体"/>
      <w:b/>
      <w:bCs/>
      <w:kern w:val="0"/>
      <w:sz w:val="24"/>
    </w:rPr>
  </w:style>
  <w:style w:type="paragraph" w:customStyle="1" w:styleId="235">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236">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7">
    <w:name w:val="111111"/>
    <w:basedOn w:val="1"/>
    <w:qFormat/>
    <w:uiPriority w:val="0"/>
    <w:pPr>
      <w:spacing w:before="120" w:after="120"/>
      <w:jc w:val="center"/>
    </w:pPr>
    <w:rPr>
      <w:rFonts w:ascii="宋体" w:hAnsi="宋体" w:eastAsia="黑体" w:cs="宋体"/>
      <w:b/>
      <w:bCs/>
      <w:szCs w:val="21"/>
    </w:rPr>
  </w:style>
  <w:style w:type="paragraph" w:customStyle="1" w:styleId="238">
    <w:name w:val="样式 样式 首行缩进:  2 字符 + 行距: 1.5 倍行距"/>
    <w:basedOn w:val="1"/>
    <w:qFormat/>
    <w:uiPriority w:val="0"/>
    <w:pPr>
      <w:spacing w:line="360" w:lineRule="auto"/>
      <w:ind w:firstLine="470" w:firstLineChars="196"/>
    </w:pPr>
    <w:rPr>
      <w:sz w:val="24"/>
      <w:szCs w:val="20"/>
    </w:rPr>
  </w:style>
  <w:style w:type="paragraph" w:customStyle="1" w:styleId="239">
    <w:name w:val="font14"/>
    <w:basedOn w:val="1"/>
    <w:qFormat/>
    <w:uiPriority w:val="0"/>
    <w:pPr>
      <w:widowControl/>
      <w:spacing w:before="100" w:beforeAutospacing="1" w:after="100" w:afterAutospacing="1"/>
      <w:jc w:val="left"/>
    </w:pPr>
    <w:rPr>
      <w:kern w:val="0"/>
      <w:sz w:val="36"/>
      <w:szCs w:val="36"/>
    </w:rPr>
  </w:style>
  <w:style w:type="paragraph" w:customStyle="1" w:styleId="240">
    <w:name w:val="Char Char Char Char Char Char Char Char Char Char Char Char Char Char1"/>
    <w:basedOn w:val="1"/>
    <w:qFormat/>
    <w:uiPriority w:val="0"/>
    <w:rPr>
      <w:rFonts w:ascii="Tahoma" w:hAnsi="Tahoma" w:cs="Tahoma"/>
      <w:sz w:val="24"/>
      <w:szCs w:val="20"/>
    </w:rPr>
  </w:style>
  <w:style w:type="paragraph" w:customStyle="1" w:styleId="24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42">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243">
    <w:name w:val="样式 标题 2H2h2sect 1.2Heading 2 HiddenHeading 2 CCBSheading 2..."/>
    <w:basedOn w:val="4"/>
    <w:qFormat/>
    <w:uiPriority w:val="0"/>
    <w:pPr>
      <w:tabs>
        <w:tab w:val="left" w:pos="576"/>
      </w:tabs>
      <w:adjustRightInd w:val="0"/>
      <w:spacing w:line="240" w:lineRule="auto"/>
      <w:ind w:left="576" w:hanging="36"/>
      <w:jc w:val="left"/>
    </w:pPr>
    <w:rPr>
      <w:rFonts w:ascii="宋体" w:hAnsi="宋体" w:eastAsia="宋体"/>
      <w:sz w:val="28"/>
      <w:szCs w:val="20"/>
    </w:rPr>
  </w:style>
  <w:style w:type="paragraph" w:customStyle="1" w:styleId="244">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245">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6">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247">
    <w:name w:val="flType"/>
    <w:basedOn w:val="248"/>
    <w:qFormat/>
    <w:uiPriority w:val="0"/>
    <w:pPr>
      <w:spacing w:after="284"/>
    </w:pPr>
    <w:rPr>
      <w:rFonts w:eastAsia="宋体"/>
      <w:b w:val="0"/>
    </w:rPr>
  </w:style>
  <w:style w:type="paragraph" w:customStyle="1" w:styleId="248">
    <w:name w:val="flName"/>
    <w:basedOn w:val="249"/>
    <w:qFormat/>
    <w:uiPriority w:val="0"/>
    <w:pPr>
      <w:spacing w:before="0" w:line="113" w:lineRule="atLeast"/>
    </w:pPr>
  </w:style>
  <w:style w:type="paragraph" w:customStyle="1" w:styleId="249">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250">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51">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252">
    <w:name w:val="项目符号，二级"/>
    <w:basedOn w:val="253"/>
    <w:next w:val="253"/>
    <w:qFormat/>
    <w:uiPriority w:val="0"/>
    <w:pPr>
      <w:tabs>
        <w:tab w:val="left" w:pos="1211"/>
        <w:tab w:val="left" w:pos="1337"/>
      </w:tabs>
      <w:ind w:left="1337" w:right="-27" w:firstLine="480"/>
    </w:pPr>
    <w:rPr>
      <w:bCs w:val="0"/>
      <w:color w:val="000000"/>
      <w:sz w:val="24"/>
      <w:szCs w:val="24"/>
    </w:rPr>
  </w:style>
  <w:style w:type="paragraph" w:customStyle="1" w:styleId="25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4">
    <w:name w:val="默认段落字体 Para Char"/>
    <w:basedOn w:val="1"/>
    <w:qFormat/>
    <w:uiPriority w:val="0"/>
    <w:pPr>
      <w:adjustRightInd w:val="0"/>
      <w:spacing w:line="360" w:lineRule="auto"/>
    </w:pPr>
    <w:rPr>
      <w:kern w:val="0"/>
      <w:sz w:val="24"/>
    </w:rPr>
  </w:style>
  <w:style w:type="paragraph" w:styleId="255">
    <w:name w:val="No Spacing"/>
    <w:qFormat/>
    <w:uiPriority w:val="0"/>
    <w:rPr>
      <w:rFonts w:ascii="Calibri" w:hAnsi="Calibri" w:eastAsia="宋体" w:cs="Times New Roman"/>
      <w:sz w:val="22"/>
      <w:szCs w:val="22"/>
      <w:lang w:val="en-US" w:eastAsia="zh-CN" w:bidi="ar-SA"/>
    </w:rPr>
  </w:style>
  <w:style w:type="paragraph" w:customStyle="1" w:styleId="256">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257">
    <w:name w:val="二级条标题"/>
    <w:basedOn w:val="1"/>
    <w:next w:val="258"/>
    <w:qFormat/>
    <w:uiPriority w:val="0"/>
    <w:pPr>
      <w:widowControl/>
      <w:tabs>
        <w:tab w:val="left" w:pos="2240"/>
      </w:tabs>
      <w:ind w:hanging="420"/>
      <w:outlineLvl w:val="3"/>
    </w:pPr>
    <w:rPr>
      <w:rFonts w:eastAsia="黑体"/>
      <w:kern w:val="0"/>
      <w:szCs w:val="20"/>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批注框文本1"/>
    <w:basedOn w:val="1"/>
    <w:qFormat/>
    <w:uiPriority w:val="0"/>
    <w:rPr>
      <w:sz w:val="18"/>
      <w:szCs w:val="18"/>
    </w:rPr>
  </w:style>
  <w:style w:type="paragraph" w:customStyle="1" w:styleId="260">
    <w:name w:val="Char Char1 Char Char Char Char Char Char Char"/>
    <w:basedOn w:val="1"/>
    <w:qFormat/>
    <w:uiPriority w:val="0"/>
    <w:rPr>
      <w:rFonts w:ascii="Tahoma" w:hAnsi="Tahoma" w:cs="Tahoma"/>
      <w:sz w:val="24"/>
      <w:szCs w:val="20"/>
    </w:rPr>
  </w:style>
  <w:style w:type="paragraph" w:customStyle="1" w:styleId="261">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a"/>
    <w:basedOn w:val="1"/>
    <w:qFormat/>
    <w:uiPriority w:val="0"/>
    <w:pPr>
      <w:widowControl/>
      <w:spacing w:before="100" w:beforeAutospacing="1" w:after="100" w:afterAutospacing="1"/>
    </w:pPr>
    <w:rPr>
      <w:rFonts w:ascii="宋体" w:hAnsi="宋体" w:cs="宋体"/>
      <w:kern w:val="0"/>
      <w:sz w:val="24"/>
    </w:rPr>
  </w:style>
  <w:style w:type="paragraph" w:customStyle="1" w:styleId="263">
    <w:name w:val="正文 + Arial Char"/>
    <w:basedOn w:val="1"/>
    <w:qFormat/>
    <w:uiPriority w:val="0"/>
    <w:pPr>
      <w:widowControl/>
      <w:tabs>
        <w:tab w:val="left" w:pos="315"/>
      </w:tabs>
      <w:spacing w:line="300" w:lineRule="auto"/>
      <w:ind w:left="315" w:hanging="315"/>
    </w:pPr>
    <w:rPr>
      <w:rFonts w:ascii="Arial" w:hAnsi="Arial" w:cs="Arial"/>
      <w:b/>
      <w:color w:val="000000"/>
      <w:szCs w:val="20"/>
    </w:rPr>
  </w:style>
  <w:style w:type="paragraph" w:customStyle="1" w:styleId="26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65">
    <w:name w:val="文档正文"/>
    <w:basedOn w:val="1"/>
    <w:qFormat/>
    <w:uiPriority w:val="0"/>
    <w:pPr>
      <w:spacing w:line="360" w:lineRule="auto"/>
    </w:pPr>
    <w:rPr>
      <w:rFonts w:ascii="宋体" w:hAnsi="宋体"/>
      <w:b/>
      <w:bCs/>
    </w:rPr>
  </w:style>
  <w:style w:type="paragraph" w:customStyle="1" w:styleId="266">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paragraph" w:customStyle="1" w:styleId="26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268">
    <w:name w:val="列出段落2"/>
    <w:basedOn w:val="1"/>
    <w:qFormat/>
    <w:uiPriority w:val="0"/>
    <w:pPr>
      <w:widowControl/>
      <w:ind w:left="720"/>
      <w:jc w:val="left"/>
    </w:pPr>
    <w:rPr>
      <w:rFonts w:ascii="Arial" w:hAnsi="Arial" w:eastAsia="黑体" w:cs="Arial"/>
      <w:kern w:val="0"/>
      <w:sz w:val="24"/>
      <w:lang w:eastAsia="en-US"/>
    </w:rPr>
  </w:style>
  <w:style w:type="paragraph" w:customStyle="1" w:styleId="26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70">
    <w:name w:val="Char Char110"/>
    <w:basedOn w:val="1"/>
    <w:qFormat/>
    <w:uiPriority w:val="0"/>
    <w:rPr>
      <w:rFonts w:ascii="Tahoma" w:hAnsi="Tahoma" w:cs="Tahoma"/>
      <w:sz w:val="24"/>
      <w:szCs w:val="20"/>
    </w:rPr>
  </w:style>
  <w:style w:type="paragraph" w:customStyle="1" w:styleId="271">
    <w:name w:val="插图"/>
    <w:basedOn w:val="1"/>
    <w:qFormat/>
    <w:uiPriority w:val="0"/>
    <w:pPr>
      <w:tabs>
        <w:tab w:val="left" w:pos="1620"/>
      </w:tabs>
      <w:adjustRightInd w:val="0"/>
      <w:jc w:val="center"/>
    </w:pPr>
    <w:rPr>
      <w:bCs/>
      <w:color w:val="000000"/>
      <w:szCs w:val="22"/>
    </w:rPr>
  </w:style>
  <w:style w:type="paragraph" w:customStyle="1" w:styleId="27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73">
    <w:name w:val="无间隔1"/>
    <w:qFormat/>
    <w:uiPriority w:val="1"/>
    <w:pPr>
      <w:widowControl w:val="0"/>
      <w:jc w:val="both"/>
    </w:pPr>
    <w:rPr>
      <w:rFonts w:ascii="Calibri" w:hAnsi="Calibri" w:eastAsia="微软雅黑" w:cs="Times New Roman"/>
      <w:kern w:val="2"/>
      <w:sz w:val="24"/>
      <w:szCs w:val="22"/>
      <w:lang w:val="en-US" w:eastAsia="zh-CN" w:bidi="ar-SA"/>
    </w:rPr>
  </w:style>
  <w:style w:type="paragraph" w:customStyle="1" w:styleId="274">
    <w:name w:val="Test2"/>
    <w:basedOn w:val="4"/>
    <w:qFormat/>
    <w:uiPriority w:val="0"/>
    <w:pPr>
      <w:widowControl/>
      <w:adjustRightInd w:val="0"/>
      <w:snapToGrid w:val="0"/>
      <w:spacing w:beforeLines="50" w:afterLines="50" w:line="480" w:lineRule="exact"/>
      <w:jc w:val="center"/>
    </w:pPr>
    <w:rPr>
      <w:rFonts w:ascii="黑体"/>
      <w:sz w:val="24"/>
      <w:szCs w:val="24"/>
    </w:rPr>
  </w:style>
  <w:style w:type="paragraph" w:customStyle="1" w:styleId="275">
    <w:name w:val="项目符号：一级"/>
    <w:basedOn w:val="253"/>
    <w:next w:val="253"/>
    <w:qFormat/>
    <w:uiPriority w:val="0"/>
    <w:pPr>
      <w:ind w:right="-134" w:rightChars="-64"/>
    </w:pPr>
    <w:rPr>
      <w:bCs w:val="0"/>
    </w:rPr>
  </w:style>
  <w:style w:type="paragraph" w:customStyle="1" w:styleId="276">
    <w:name w:val="列表段落1"/>
    <w:basedOn w:val="1"/>
    <w:qFormat/>
    <w:uiPriority w:val="34"/>
    <w:pPr>
      <w:ind w:firstLine="420" w:firstLineChars="200"/>
    </w:pPr>
    <w:rPr>
      <w:szCs w:val="22"/>
    </w:rPr>
  </w:style>
  <w:style w:type="paragraph" w:customStyle="1" w:styleId="277">
    <w:name w:val="列表内容"/>
    <w:basedOn w:val="1"/>
    <w:next w:val="1"/>
    <w:qFormat/>
    <w:uiPriority w:val="0"/>
    <w:pPr>
      <w:widowControl/>
      <w:tabs>
        <w:tab w:val="left" w:pos="840"/>
      </w:tabs>
      <w:ind w:left="840" w:hanging="420"/>
      <w:jc w:val="left"/>
    </w:pPr>
    <w:rPr>
      <w:kern w:val="0"/>
      <w:sz w:val="18"/>
    </w:rPr>
  </w:style>
  <w:style w:type="paragraph" w:customStyle="1" w:styleId="278">
    <w:name w:val="Body Text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79">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80">
    <w:name w:val="Char Char Char Char Char Char Char Char Char Char Char1"/>
    <w:basedOn w:val="1"/>
    <w:qFormat/>
    <w:uiPriority w:val="0"/>
    <w:rPr>
      <w:rFonts w:ascii="Tahoma" w:hAnsi="Tahoma" w:cs="Tahoma"/>
      <w:sz w:val="24"/>
      <w:szCs w:val="20"/>
    </w:rPr>
  </w:style>
  <w:style w:type="paragraph" w:customStyle="1" w:styleId="281">
    <w:name w:val="纯文本1"/>
    <w:basedOn w:val="1"/>
    <w:qFormat/>
    <w:uiPriority w:val="0"/>
    <w:pPr>
      <w:adjustRightInd w:val="0"/>
      <w:textAlignment w:val="baseline"/>
    </w:pPr>
    <w:rPr>
      <w:rFonts w:ascii="宋体" w:hAnsi="宋体" w:eastAsia="楷体_GB2312" w:cs="宋体"/>
      <w:sz w:val="28"/>
      <w:szCs w:val="20"/>
    </w:rPr>
  </w:style>
  <w:style w:type="paragraph" w:customStyle="1" w:styleId="282">
    <w:name w:val="正文文本 New New"/>
    <w:basedOn w:val="1"/>
    <w:qFormat/>
    <w:uiPriority w:val="0"/>
    <w:pPr>
      <w:widowControl/>
      <w:spacing w:before="60" w:after="60" w:line="360" w:lineRule="auto"/>
      <w:ind w:firstLine="200" w:firstLineChars="200"/>
    </w:pPr>
    <w:rPr>
      <w:rFonts w:eastAsia="华文楷体"/>
      <w:sz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284">
    <w:name w:val="样式1"/>
    <w:basedOn w:val="1"/>
    <w:qFormat/>
    <w:uiPriority w:val="0"/>
    <w:pPr>
      <w:spacing w:line="300" w:lineRule="auto"/>
      <w:ind w:firstLine="480" w:firstLineChars="200"/>
    </w:pPr>
    <w:rPr>
      <w:sz w:val="24"/>
    </w:rPr>
  </w:style>
  <w:style w:type="paragraph" w:customStyle="1" w:styleId="285">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86">
    <w:name w:val="4"/>
    <w:basedOn w:val="1"/>
    <w:next w:val="44"/>
    <w:qFormat/>
    <w:uiPriority w:val="0"/>
    <w:pPr>
      <w:spacing w:line="360" w:lineRule="auto"/>
      <w:ind w:firstLine="420"/>
    </w:pPr>
    <w:rPr>
      <w:color w:val="FF0000"/>
      <w:sz w:val="24"/>
    </w:rPr>
  </w:style>
  <w:style w:type="paragraph" w:customStyle="1" w:styleId="287">
    <w:name w:val="Char Char1"/>
    <w:basedOn w:val="1"/>
    <w:qFormat/>
    <w:uiPriority w:val="0"/>
    <w:rPr>
      <w:rFonts w:ascii="Tahoma" w:hAnsi="Tahoma"/>
      <w:sz w:val="24"/>
      <w:szCs w:val="20"/>
    </w:rPr>
  </w:style>
  <w:style w:type="paragraph" w:customStyle="1" w:styleId="2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rPr>
  </w:style>
  <w:style w:type="paragraph" w:customStyle="1" w:styleId="289">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font8"/>
    <w:basedOn w:val="1"/>
    <w:qFormat/>
    <w:uiPriority w:val="0"/>
    <w:pPr>
      <w:widowControl/>
      <w:spacing w:before="100" w:beforeAutospacing="1" w:after="100" w:afterAutospacing="1"/>
      <w:jc w:val="left"/>
    </w:pPr>
    <w:rPr>
      <w:rFonts w:ascii="宋体" w:hAnsi="宋体" w:cs="宋体"/>
      <w:b/>
      <w:bCs/>
      <w:i/>
      <w:iCs/>
      <w:kern w:val="0"/>
      <w:sz w:val="20"/>
      <w:szCs w:val="20"/>
    </w:rPr>
  </w:style>
  <w:style w:type="paragraph" w:customStyle="1" w:styleId="2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92">
    <w:name w:val="Char11"/>
    <w:basedOn w:val="1"/>
    <w:qFormat/>
    <w:uiPriority w:val="0"/>
    <w:rPr>
      <w:rFonts w:ascii="仿宋_GB2312" w:eastAsia="仿宋_GB2312"/>
      <w:b/>
      <w:sz w:val="32"/>
      <w:szCs w:val="32"/>
    </w:rPr>
  </w:style>
  <w:style w:type="paragraph" w:customStyle="1" w:styleId="293">
    <w:name w:val="Char Char Char Char Char"/>
    <w:basedOn w:val="1"/>
    <w:qFormat/>
    <w:uiPriority w:val="0"/>
    <w:rPr>
      <w:rFonts w:ascii="Tahoma" w:hAnsi="Tahoma"/>
      <w:sz w:val="24"/>
      <w:szCs w:val="20"/>
    </w:rPr>
  </w:style>
  <w:style w:type="paragraph" w:customStyle="1" w:styleId="29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95">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6">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9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98">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299">
    <w:name w:val="Char Char Char Char Char Char Char1"/>
    <w:basedOn w:val="1"/>
    <w:qFormat/>
    <w:uiPriority w:val="0"/>
    <w:rPr>
      <w:rFonts w:ascii="Tahoma" w:hAnsi="Tahoma"/>
      <w:sz w:val="24"/>
      <w:szCs w:val="20"/>
    </w:rPr>
  </w:style>
  <w:style w:type="paragraph" w:customStyle="1" w:styleId="30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301">
    <w:name w:val="正文 + 宋体"/>
    <w:basedOn w:val="1"/>
    <w:qFormat/>
    <w:uiPriority w:val="0"/>
    <w:pPr>
      <w:spacing w:line="360" w:lineRule="auto"/>
      <w:ind w:firstLine="420" w:firstLineChars="200"/>
    </w:pPr>
  </w:style>
  <w:style w:type="paragraph" w:customStyle="1" w:styleId="30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303">
    <w:name w:val="符号与编号 Char"/>
    <w:basedOn w:val="1"/>
    <w:qFormat/>
    <w:uiPriority w:val="0"/>
    <w:pPr>
      <w:tabs>
        <w:tab w:val="left" w:pos="720"/>
      </w:tabs>
      <w:spacing w:afterLines="50" w:line="400" w:lineRule="atLeast"/>
      <w:ind w:left="720"/>
    </w:pPr>
    <w:rPr>
      <w:sz w:val="24"/>
    </w:rPr>
  </w:style>
  <w:style w:type="paragraph" w:customStyle="1" w:styleId="304">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305">
    <w:name w:val="Char Char Char Char Char Char Char Char Char Char"/>
    <w:basedOn w:val="1"/>
    <w:qFormat/>
    <w:uiPriority w:val="0"/>
    <w:pPr>
      <w:adjustRightInd w:val="0"/>
      <w:spacing w:line="360" w:lineRule="auto"/>
    </w:pPr>
    <w:rPr>
      <w:kern w:val="0"/>
      <w:sz w:val="24"/>
      <w:szCs w:val="20"/>
    </w:rPr>
  </w:style>
  <w:style w:type="paragraph" w:customStyle="1" w:styleId="306">
    <w:name w:val="Char Char Char"/>
    <w:basedOn w:val="1"/>
    <w:qFormat/>
    <w:uiPriority w:val="0"/>
    <w:rPr>
      <w:rFonts w:ascii="Tahoma" w:hAnsi="Tahoma"/>
      <w:sz w:val="24"/>
      <w:szCs w:val="20"/>
    </w:rPr>
  </w:style>
  <w:style w:type="paragraph" w:customStyle="1" w:styleId="307">
    <w:name w:val="丁华标题2"/>
    <w:basedOn w:val="4"/>
    <w:next w:val="308"/>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308">
    <w:name w:val="丁华正文"/>
    <w:basedOn w:val="44"/>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309">
    <w:name w:val="Char Char1 Char Char Char Char1 Char Char Char Char Char Char"/>
    <w:basedOn w:val="1"/>
    <w:qFormat/>
    <w:uiPriority w:val="0"/>
    <w:rPr>
      <w:rFonts w:ascii="Tahoma" w:hAnsi="Tahoma"/>
      <w:sz w:val="24"/>
      <w:szCs w:val="20"/>
    </w:rPr>
  </w:style>
  <w:style w:type="paragraph" w:customStyle="1" w:styleId="310">
    <w:name w:val="样式 标题 2第一章 标题 2Heading 2 HiddenHeading 2 CCBSheading 2H2h2..."/>
    <w:basedOn w:val="4"/>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11">
    <w:name w:val="章标题"/>
    <w:next w:val="258"/>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312">
    <w:name w:val="7"/>
    <w:basedOn w:val="1"/>
    <w:next w:val="50"/>
    <w:qFormat/>
    <w:uiPriority w:val="0"/>
    <w:pPr>
      <w:widowControl/>
      <w:spacing w:before="100" w:beforeAutospacing="1" w:after="100" w:afterAutospacing="1"/>
      <w:jc w:val="left"/>
    </w:pPr>
    <w:rPr>
      <w:rFonts w:ascii="宋体" w:hAnsi="宋体"/>
      <w:kern w:val="0"/>
      <w:sz w:val="24"/>
      <w:szCs w:val="20"/>
    </w:rPr>
  </w:style>
  <w:style w:type="paragraph" w:customStyle="1" w:styleId="313">
    <w:name w:val="Char Char Char Char Char Char Char Char Char Char Char"/>
    <w:basedOn w:val="1"/>
    <w:qFormat/>
    <w:uiPriority w:val="0"/>
    <w:rPr>
      <w:rFonts w:ascii="Tahoma" w:hAnsi="Tahoma"/>
      <w:sz w:val="24"/>
      <w:szCs w:val="20"/>
    </w:rPr>
  </w:style>
  <w:style w:type="paragraph" w:customStyle="1" w:styleId="31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5">
    <w:name w:val="华宇段落1 Char"/>
    <w:basedOn w:val="1"/>
    <w:qFormat/>
    <w:uiPriority w:val="0"/>
    <w:pPr>
      <w:spacing w:line="360" w:lineRule="auto"/>
      <w:ind w:firstLine="200" w:firstLineChars="200"/>
    </w:pPr>
    <w:rPr>
      <w:bCs/>
      <w:sz w:val="24"/>
    </w:rPr>
  </w:style>
  <w:style w:type="paragraph" w:customStyle="1" w:styleId="316">
    <w:name w:val="标准小四"/>
    <w:basedOn w:val="1"/>
    <w:qFormat/>
    <w:uiPriority w:val="0"/>
    <w:pPr>
      <w:spacing w:line="360" w:lineRule="auto"/>
      <w:ind w:firstLine="480" w:firstLineChars="200"/>
    </w:pPr>
    <w:rPr>
      <w:rFonts w:ascii="Arial" w:hAnsi="Arial"/>
      <w:sz w:val="24"/>
      <w:szCs w:val="21"/>
    </w:rPr>
  </w:style>
  <w:style w:type="paragraph" w:customStyle="1" w:styleId="317">
    <w:name w:val="普通文字"/>
    <w:basedOn w:val="1"/>
    <w:next w:val="1"/>
    <w:qFormat/>
    <w:uiPriority w:val="0"/>
    <w:rPr>
      <w:rFonts w:ascii="宋体" w:hAnsi="宋体" w:cs="宋体"/>
      <w:kern w:val="0"/>
      <w:sz w:val="24"/>
      <w:szCs w:val="20"/>
      <w:u w:color="000000"/>
    </w:rPr>
  </w:style>
  <w:style w:type="paragraph" w:customStyle="1" w:styleId="318">
    <w:name w:val="标题3，章节第三层"/>
    <w:basedOn w:val="1"/>
    <w:next w:val="253"/>
    <w:qFormat/>
    <w:uiPriority w:val="0"/>
    <w:pPr>
      <w:adjustRightInd w:val="0"/>
      <w:snapToGrid w:val="0"/>
      <w:spacing w:before="78" w:line="300" w:lineRule="auto"/>
      <w:outlineLvl w:val="2"/>
    </w:pPr>
    <w:rPr>
      <w:rFonts w:ascii="Arial" w:hAnsi="Arial" w:eastAsia="华文细黑"/>
      <w:sz w:val="30"/>
    </w:rPr>
  </w:style>
  <w:style w:type="paragraph" w:customStyle="1" w:styleId="3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20">
    <w:name w:val="Char Char Char Char Char Char Char Char Char1"/>
    <w:basedOn w:val="1"/>
    <w:qFormat/>
    <w:uiPriority w:val="0"/>
    <w:pPr>
      <w:tabs>
        <w:tab w:val="left" w:pos="360"/>
      </w:tabs>
      <w:ind w:left="360" w:hanging="360" w:hangingChars="200"/>
    </w:pPr>
    <w:rPr>
      <w:sz w:val="24"/>
    </w:rPr>
  </w:style>
  <w:style w:type="paragraph" w:customStyle="1" w:styleId="321">
    <w:name w:val="小四 段落 宋体 Char Char"/>
    <w:basedOn w:val="1"/>
    <w:qFormat/>
    <w:uiPriority w:val="0"/>
    <w:pPr>
      <w:spacing w:line="360" w:lineRule="auto"/>
      <w:ind w:firstLine="480" w:firstLineChars="200"/>
    </w:pPr>
    <w:rPr>
      <w:rFonts w:ascii="宋体" w:hAnsi="宋体"/>
      <w:sz w:val="24"/>
    </w:rPr>
  </w:style>
  <w:style w:type="paragraph" w:customStyle="1" w:styleId="322">
    <w:name w:val="表格内文字"/>
    <w:basedOn w:val="1"/>
    <w:qFormat/>
    <w:uiPriority w:val="0"/>
    <w:pPr>
      <w:spacing w:line="300" w:lineRule="atLeast"/>
    </w:pPr>
    <w:rPr>
      <w:sz w:val="18"/>
    </w:rPr>
  </w:style>
  <w:style w:type="paragraph" w:customStyle="1" w:styleId="32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24">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25">
    <w:name w:val="正文文本缩进1"/>
    <w:basedOn w:val="1"/>
    <w:qFormat/>
    <w:uiPriority w:val="0"/>
    <w:pPr>
      <w:spacing w:after="120"/>
      <w:ind w:left="420" w:leftChars="200"/>
    </w:pPr>
  </w:style>
  <w:style w:type="paragraph" w:customStyle="1" w:styleId="32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27">
    <w:name w:val="Char Char Char Char"/>
    <w:basedOn w:val="17"/>
    <w:qFormat/>
    <w:uiPriority w:val="0"/>
    <w:pPr>
      <w:adjustRightInd w:val="0"/>
      <w:snapToGrid w:val="0"/>
      <w:spacing w:line="360" w:lineRule="auto"/>
    </w:pPr>
    <w:rPr>
      <w:rFonts w:ascii="Tahoma" w:hAnsi="Tahoma"/>
    </w:rPr>
  </w:style>
  <w:style w:type="paragraph" w:customStyle="1" w:styleId="3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329">
    <w:name w:val="表格"/>
    <w:basedOn w:val="1"/>
    <w:qFormat/>
    <w:uiPriority w:val="0"/>
    <w:pPr>
      <w:snapToGrid w:val="0"/>
      <w:ind w:firstLine="21" w:firstLineChars="21"/>
    </w:pPr>
    <w:rPr>
      <w:rFonts w:ascii="宋体" w:hAnsi="宋体" w:cs="宋体"/>
      <w:kern w:val="0"/>
      <w:sz w:val="20"/>
      <w:szCs w:val="20"/>
    </w:rPr>
  </w:style>
  <w:style w:type="paragraph" w:customStyle="1" w:styleId="330">
    <w:name w:val="样式4 Char"/>
    <w:basedOn w:val="1"/>
    <w:qFormat/>
    <w:uiPriority w:val="0"/>
    <w:pPr>
      <w:widowControl/>
      <w:spacing w:line="360" w:lineRule="auto"/>
      <w:ind w:firstLine="480"/>
      <w:jc w:val="left"/>
    </w:pPr>
    <w:rPr>
      <w:rFonts w:cs="宋体"/>
      <w:color w:val="000000"/>
      <w:kern w:val="0"/>
      <w:sz w:val="24"/>
    </w:rPr>
  </w:style>
  <w:style w:type="paragraph" w:customStyle="1" w:styleId="331">
    <w:name w:val="Char Char Char1"/>
    <w:basedOn w:val="17"/>
    <w:qFormat/>
    <w:uiPriority w:val="0"/>
    <w:pPr>
      <w:spacing w:line="436" w:lineRule="exact"/>
    </w:pPr>
  </w:style>
  <w:style w:type="paragraph" w:customStyle="1" w:styleId="332">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33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334">
    <w:name w:val="标题2，章节第二层"/>
    <w:basedOn w:val="1"/>
    <w:next w:val="25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335">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36">
    <w:name w:val="Char2"/>
    <w:basedOn w:val="17"/>
    <w:qFormat/>
    <w:uiPriority w:val="0"/>
    <w:rPr>
      <w:rFonts w:ascii="Tahoma" w:hAnsi="Tahoma"/>
    </w:rPr>
  </w:style>
  <w:style w:type="paragraph" w:customStyle="1" w:styleId="337">
    <w:name w:val="正文1"/>
    <w:basedOn w:val="1"/>
    <w:next w:val="1"/>
    <w:qFormat/>
    <w:uiPriority w:val="0"/>
    <w:pPr>
      <w:spacing w:before="156" w:line="360" w:lineRule="auto"/>
      <w:ind w:firstLine="510" w:firstLineChars="200"/>
    </w:pPr>
    <w:rPr>
      <w:sz w:val="24"/>
      <w:szCs w:val="20"/>
    </w:rPr>
  </w:style>
  <w:style w:type="paragraph" w:customStyle="1" w:styleId="338">
    <w:name w:val="正文 首行缩进:  2 字符 Char"/>
    <w:basedOn w:val="1"/>
    <w:qFormat/>
    <w:uiPriority w:val="0"/>
    <w:pPr>
      <w:spacing w:line="360" w:lineRule="auto"/>
      <w:ind w:firstLine="480"/>
    </w:pPr>
    <w:rPr>
      <w:rFonts w:cs="宋体"/>
      <w:sz w:val="24"/>
      <w:szCs w:val="20"/>
    </w:rPr>
  </w:style>
  <w:style w:type="paragraph" w:customStyle="1" w:styleId="339">
    <w:name w:val="标题3"/>
    <w:basedOn w:val="5"/>
    <w:qFormat/>
    <w:uiPriority w:val="0"/>
    <w:pPr>
      <w:keepNext w:val="0"/>
      <w:keepLines w:val="0"/>
      <w:spacing w:before="0" w:after="0" w:line="360" w:lineRule="auto"/>
    </w:pPr>
    <w:rPr>
      <w:rFonts w:eastAsia="仿宋_GB2312"/>
      <w:b w:val="0"/>
      <w:sz w:val="30"/>
    </w:rPr>
  </w:style>
  <w:style w:type="paragraph" w:customStyle="1" w:styleId="340">
    <w:name w:val="正文--wdh"/>
    <w:basedOn w:val="1"/>
    <w:qFormat/>
    <w:uiPriority w:val="0"/>
    <w:pPr>
      <w:spacing w:line="360" w:lineRule="auto"/>
    </w:pPr>
    <w:rPr>
      <w:sz w:val="24"/>
    </w:rPr>
  </w:style>
  <w:style w:type="paragraph" w:customStyle="1" w:styleId="34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42">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43">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44">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5">
    <w:name w:val="a0"/>
    <w:basedOn w:val="1"/>
    <w:qFormat/>
    <w:uiPriority w:val="0"/>
    <w:pPr>
      <w:widowControl/>
      <w:spacing w:before="100" w:beforeAutospacing="1" w:after="100" w:afterAutospacing="1"/>
    </w:pPr>
    <w:rPr>
      <w:rFonts w:ascii="宋体" w:hAnsi="宋体" w:cs="宋体"/>
      <w:kern w:val="0"/>
      <w:sz w:val="24"/>
    </w:rPr>
  </w:style>
  <w:style w:type="paragraph" w:customStyle="1" w:styleId="34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7">
    <w:name w:val="符号与编号"/>
    <w:basedOn w:val="1"/>
    <w:qFormat/>
    <w:uiPriority w:val="0"/>
    <w:pPr>
      <w:tabs>
        <w:tab w:val="left" w:pos="900"/>
      </w:tabs>
      <w:spacing w:afterLines="50" w:line="400" w:lineRule="atLeast"/>
      <w:ind w:left="900" w:hanging="420"/>
    </w:pPr>
    <w:rPr>
      <w:sz w:val="24"/>
    </w:rPr>
  </w:style>
  <w:style w:type="paragraph" w:customStyle="1" w:styleId="348">
    <w:name w:val="font11"/>
    <w:basedOn w:val="1"/>
    <w:qFormat/>
    <w:uiPriority w:val="0"/>
    <w:pPr>
      <w:widowControl/>
      <w:spacing w:before="100" w:beforeAutospacing="1" w:after="100" w:afterAutospacing="1"/>
      <w:jc w:val="left"/>
    </w:pPr>
    <w:rPr>
      <w:b/>
      <w:bCs/>
      <w:kern w:val="0"/>
      <w:sz w:val="18"/>
      <w:szCs w:val="18"/>
    </w:rPr>
  </w:style>
  <w:style w:type="paragraph" w:customStyle="1" w:styleId="3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0">
    <w:name w:val="一级标题"/>
    <w:basedOn w:val="1"/>
    <w:qFormat/>
    <w:uiPriority w:val="0"/>
    <w:pPr>
      <w:tabs>
        <w:tab w:val="left" w:pos="903"/>
      </w:tabs>
      <w:spacing w:line="360" w:lineRule="auto"/>
      <w:ind w:left="900" w:hanging="420"/>
    </w:pPr>
    <w:rPr>
      <w:rFonts w:ascii="Arial" w:hAnsi="Arial" w:cs="Arial"/>
      <w:sz w:val="24"/>
      <w:szCs w:val="20"/>
    </w:rPr>
  </w:style>
  <w:style w:type="paragraph" w:customStyle="1" w:styleId="351">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3">
    <w:name w:val="Char Char1 Char Char Char Char"/>
    <w:basedOn w:val="17"/>
    <w:qFormat/>
    <w:uiPriority w:val="0"/>
    <w:pPr>
      <w:adjustRightInd w:val="0"/>
      <w:spacing w:line="436" w:lineRule="exact"/>
      <w:ind w:left="357"/>
      <w:jc w:val="left"/>
      <w:outlineLvl w:val="3"/>
    </w:pPr>
    <w:rPr>
      <w:rFonts w:ascii="Tahoma" w:hAnsi="Tahoma" w:cs="Tahoma"/>
      <w:b/>
    </w:rPr>
  </w:style>
  <w:style w:type="paragraph" w:customStyle="1" w:styleId="354">
    <w:name w:val="马刚标题4"/>
    <w:basedOn w:val="225"/>
    <w:next w:val="1"/>
    <w:qFormat/>
    <w:uiPriority w:val="0"/>
    <w:pPr>
      <w:tabs>
        <w:tab w:val="left" w:pos="1050"/>
        <w:tab w:val="clear" w:pos="567"/>
        <w:tab w:val="clear" w:pos="735"/>
      </w:tabs>
      <w:spacing w:before="100" w:after="40"/>
      <w:outlineLvl w:val="3"/>
    </w:pPr>
    <w:rPr>
      <w:b w:val="0"/>
    </w:rPr>
  </w:style>
  <w:style w:type="paragraph" w:customStyle="1" w:styleId="355">
    <w:name w:val="font9"/>
    <w:basedOn w:val="1"/>
    <w:qFormat/>
    <w:uiPriority w:val="0"/>
    <w:pPr>
      <w:widowControl/>
      <w:spacing w:before="100" w:beforeAutospacing="1" w:after="100" w:afterAutospacing="1"/>
      <w:jc w:val="left"/>
    </w:pPr>
    <w:rPr>
      <w:b/>
      <w:bCs/>
      <w:kern w:val="0"/>
      <w:sz w:val="20"/>
      <w:szCs w:val="20"/>
    </w:rPr>
  </w:style>
  <w:style w:type="paragraph" w:customStyle="1" w:styleId="356">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357">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3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59">
    <w:name w:val="List Paragraph1"/>
    <w:basedOn w:val="1"/>
    <w:qFormat/>
    <w:uiPriority w:val="0"/>
    <w:pPr>
      <w:widowControl/>
      <w:ind w:left="720"/>
      <w:jc w:val="left"/>
    </w:pPr>
    <w:rPr>
      <w:rFonts w:ascii="Arial" w:hAnsi="Arial" w:eastAsia="黑体"/>
      <w:kern w:val="0"/>
      <w:sz w:val="24"/>
      <w:lang w:eastAsia="en-US"/>
    </w:rPr>
  </w:style>
  <w:style w:type="paragraph" w:customStyle="1" w:styleId="360">
    <w:name w:val="样式2"/>
    <w:basedOn w:val="1"/>
    <w:qFormat/>
    <w:uiPriority w:val="0"/>
    <w:pPr>
      <w:spacing w:line="360" w:lineRule="auto"/>
      <w:ind w:left="200" w:leftChars="200"/>
    </w:pPr>
    <w:rPr>
      <w:rFonts w:ascii="宋体" w:hAnsi="宋体"/>
      <w:b/>
      <w:sz w:val="24"/>
    </w:rPr>
  </w:style>
  <w:style w:type="paragraph" w:customStyle="1" w:styleId="36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62">
    <w:name w:val="Char Char Char Char Char Char Char"/>
    <w:basedOn w:val="1"/>
    <w:qFormat/>
    <w:uiPriority w:val="0"/>
    <w:pPr>
      <w:jc w:val="left"/>
    </w:pPr>
    <w:rPr>
      <w:rFonts w:ascii="Tahoma" w:hAnsi="Tahoma"/>
      <w:sz w:val="24"/>
      <w:szCs w:val="20"/>
    </w:rPr>
  </w:style>
  <w:style w:type="paragraph" w:customStyle="1" w:styleId="363">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364">
    <w:name w:val="方案文档"/>
    <w:basedOn w:val="1"/>
    <w:qFormat/>
    <w:uiPriority w:val="0"/>
    <w:pPr>
      <w:spacing w:before="60" w:after="60" w:line="360" w:lineRule="auto"/>
      <w:jc w:val="center"/>
    </w:pPr>
    <w:rPr>
      <w:rFonts w:ascii="宋体" w:hAnsi="宋体"/>
      <w:kern w:val="0"/>
      <w:sz w:val="24"/>
      <w:szCs w:val="20"/>
      <w:lang w:val="zh-CN"/>
    </w:rPr>
  </w:style>
  <w:style w:type="paragraph" w:customStyle="1" w:styleId="365">
    <w:name w:val="小四 段落 宋体"/>
    <w:basedOn w:val="16"/>
    <w:qFormat/>
    <w:uiPriority w:val="0"/>
    <w:pPr>
      <w:tabs>
        <w:tab w:val="clear" w:pos="2952"/>
      </w:tabs>
      <w:spacing w:line="360" w:lineRule="auto"/>
      <w:ind w:left="113" w:right="113" w:firstLine="425"/>
      <w:jc w:val="left"/>
    </w:pPr>
    <w:rPr>
      <w:sz w:val="24"/>
    </w:rPr>
  </w:style>
  <w:style w:type="paragraph" w:customStyle="1" w:styleId="36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67">
    <w:name w:val="正文2"/>
    <w:basedOn w:val="1"/>
    <w:qFormat/>
    <w:uiPriority w:val="0"/>
    <w:pPr>
      <w:spacing w:before="156" w:line="360" w:lineRule="auto"/>
      <w:ind w:firstLine="510" w:firstLineChars="200"/>
    </w:pPr>
    <w:rPr>
      <w:sz w:val="24"/>
      <w:szCs w:val="20"/>
    </w:rPr>
  </w:style>
  <w:style w:type="paragraph" w:customStyle="1" w:styleId="368">
    <w:name w:val="Char"/>
    <w:basedOn w:val="1"/>
    <w:qFormat/>
    <w:uiPriority w:val="0"/>
    <w:pPr>
      <w:spacing w:afterLines="50" w:line="360" w:lineRule="auto"/>
    </w:pPr>
    <w:rPr>
      <w:rFonts w:ascii="Tahoma" w:hAnsi="Tahoma"/>
      <w:sz w:val="24"/>
      <w:szCs w:val="20"/>
    </w:rPr>
  </w:style>
  <w:style w:type="paragraph" w:customStyle="1" w:styleId="369">
    <w:name w:val="Char Char Char Char Char Char Char Char Char Char Char Char Char"/>
    <w:basedOn w:val="1"/>
    <w:qFormat/>
    <w:uiPriority w:val="0"/>
    <w:pPr>
      <w:widowControl/>
      <w:spacing w:after="160" w:line="240" w:lineRule="exact"/>
      <w:jc w:val="left"/>
    </w:pPr>
  </w:style>
  <w:style w:type="paragraph" w:customStyle="1" w:styleId="370">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371">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37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73">
    <w:name w:val="Char Char Char Char Char Char Char Char Char Char Char Char Char Char"/>
    <w:basedOn w:val="1"/>
    <w:qFormat/>
    <w:uiPriority w:val="0"/>
    <w:rPr>
      <w:rFonts w:ascii="Tahoma" w:hAnsi="Tahoma"/>
      <w:sz w:val="24"/>
      <w:szCs w:val="20"/>
    </w:rPr>
  </w:style>
  <w:style w:type="paragraph" w:customStyle="1" w:styleId="374">
    <w:name w:val="正文lzq"/>
    <w:basedOn w:val="1"/>
    <w:qFormat/>
    <w:uiPriority w:val="0"/>
    <w:pPr>
      <w:adjustRightInd w:val="0"/>
      <w:spacing w:line="360" w:lineRule="auto"/>
      <w:ind w:firstLine="480"/>
      <w:textAlignment w:val="baseline"/>
    </w:pPr>
    <w:rPr>
      <w:kern w:val="0"/>
      <w:sz w:val="24"/>
      <w:szCs w:val="20"/>
    </w:rPr>
  </w:style>
  <w:style w:type="paragraph" w:customStyle="1" w:styleId="375">
    <w:name w:val="table_1stline"/>
    <w:basedOn w:val="1"/>
    <w:qFormat/>
    <w:uiPriority w:val="0"/>
    <w:pPr>
      <w:widowControl/>
      <w:spacing w:before="120"/>
      <w:jc w:val="left"/>
    </w:pPr>
    <w:rPr>
      <w:bCs/>
      <w:kern w:val="0"/>
      <w:sz w:val="20"/>
      <w:szCs w:val="20"/>
      <w:lang w:val="de-DE" w:eastAsia="de-DE"/>
    </w:rPr>
  </w:style>
  <w:style w:type="paragraph" w:customStyle="1" w:styleId="376">
    <w:name w:val="Char Char Char Char Char Char Char Char Char Char Char Char Char Char Char Char Char Char Char Char Char1"/>
    <w:basedOn w:val="1"/>
    <w:qFormat/>
    <w:uiPriority w:val="0"/>
    <w:rPr>
      <w:rFonts w:ascii="Tahoma" w:hAnsi="Tahoma"/>
      <w:sz w:val="24"/>
      <w:szCs w:val="20"/>
    </w:rPr>
  </w:style>
  <w:style w:type="paragraph" w:customStyle="1" w:styleId="3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7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79">
    <w:name w:val="批注主题1"/>
    <w:basedOn w:val="18"/>
    <w:next w:val="18"/>
    <w:qFormat/>
    <w:uiPriority w:val="0"/>
    <w:rPr>
      <w:b/>
      <w:bCs/>
      <w:szCs w:val="24"/>
    </w:rPr>
  </w:style>
  <w:style w:type="paragraph" w:customStyle="1" w:styleId="380">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381">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83">
    <w:name w:val="Char Char Char Char1"/>
    <w:basedOn w:val="17"/>
    <w:qFormat/>
    <w:uiPriority w:val="0"/>
    <w:pPr>
      <w:adjustRightInd w:val="0"/>
      <w:snapToGrid w:val="0"/>
      <w:spacing w:line="360" w:lineRule="auto"/>
    </w:pPr>
    <w:rPr>
      <w:rFonts w:ascii="Tahoma" w:hAnsi="Tahoma"/>
    </w:rPr>
  </w:style>
  <w:style w:type="paragraph" w:customStyle="1" w:styleId="384">
    <w:name w:val="附录1"/>
    <w:qFormat/>
    <w:uiPriority w:val="0"/>
    <w:pPr>
      <w:tabs>
        <w:tab w:val="left" w:pos="907"/>
      </w:tabs>
      <w:snapToGrid w:val="0"/>
      <w:spacing w:before="240" w:line="600" w:lineRule="atLeast"/>
      <w:ind w:left="902" w:hanging="420"/>
    </w:pPr>
    <w:rPr>
      <w:rFonts w:ascii="Calibri" w:hAnsi="Calibri" w:eastAsia="宋体" w:cs="Times New Roman"/>
      <w:b/>
      <w:i/>
      <w:sz w:val="28"/>
      <w:lang w:val="en-US" w:eastAsia="zh-CN" w:bidi="ar-SA"/>
    </w:rPr>
  </w:style>
  <w:style w:type="paragraph" w:customStyle="1" w:styleId="385">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86">
    <w:name w:val="Normal Indent1"/>
    <w:basedOn w:val="1"/>
    <w:qFormat/>
    <w:uiPriority w:val="0"/>
    <w:pPr>
      <w:ind w:firstLine="420"/>
    </w:pPr>
    <w:rPr>
      <w:kern w:val="0"/>
      <w:sz w:val="20"/>
      <w:szCs w:val="20"/>
    </w:rPr>
  </w:style>
  <w:style w:type="paragraph" w:customStyle="1" w:styleId="387">
    <w:name w:val="标题1，章节第一层"/>
    <w:basedOn w:val="253"/>
    <w:next w:val="253"/>
    <w:qFormat/>
    <w:uiPriority w:val="0"/>
    <w:pPr>
      <w:tabs>
        <w:tab w:val="left" w:pos="693"/>
      </w:tabs>
      <w:spacing w:beforeLines="0"/>
      <w:ind w:left="482"/>
      <w:outlineLvl w:val="0"/>
    </w:pPr>
    <w:rPr>
      <w:color w:val="000000"/>
      <w:sz w:val="24"/>
      <w:szCs w:val="24"/>
    </w:rPr>
  </w:style>
  <w:style w:type="paragraph" w:customStyle="1" w:styleId="388">
    <w:name w:val="greytypebeni"/>
    <w:basedOn w:val="1"/>
    <w:qFormat/>
    <w:uiPriority w:val="0"/>
    <w:pPr>
      <w:widowControl/>
      <w:jc w:val="left"/>
    </w:pPr>
    <w:rPr>
      <w:rFonts w:ascii="宋体" w:hAnsi="宋体" w:cs="宋体"/>
      <w:kern w:val="0"/>
      <w:sz w:val="24"/>
    </w:rPr>
  </w:style>
  <w:style w:type="paragraph" w:customStyle="1" w:styleId="389">
    <w:name w:val="Char Char"/>
    <w:basedOn w:val="1"/>
    <w:qFormat/>
    <w:uiPriority w:val="0"/>
    <w:rPr>
      <w:rFonts w:ascii="Tahoma" w:hAnsi="Tahoma"/>
      <w:sz w:val="24"/>
      <w:szCs w:val="20"/>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391">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394">
    <w:name w:val="Char Char Char Char Char Char Char Char Char Char Char Char Char Char Char Char Char Char Char Char Char Char Char1"/>
    <w:basedOn w:val="1"/>
    <w:qFormat/>
    <w:uiPriority w:val="0"/>
    <w:rPr>
      <w:rFonts w:ascii="Tahoma" w:hAnsi="Tahoma" w:cs="Tahoma"/>
      <w:sz w:val="24"/>
      <w:szCs w:val="20"/>
    </w:rPr>
  </w:style>
  <w:style w:type="paragraph" w:customStyle="1" w:styleId="395">
    <w:name w:val="样式3"/>
    <w:basedOn w:val="1"/>
    <w:next w:val="1"/>
    <w:qFormat/>
    <w:uiPriority w:val="0"/>
    <w:pPr>
      <w:spacing w:line="360" w:lineRule="auto"/>
    </w:pPr>
    <w:rPr>
      <w:szCs w:val="20"/>
    </w:rPr>
  </w:style>
  <w:style w:type="paragraph" w:customStyle="1" w:styleId="396">
    <w:name w:val="Char1 Char Char Char"/>
    <w:basedOn w:val="1"/>
    <w:qFormat/>
    <w:uiPriority w:val="0"/>
    <w:rPr>
      <w:rFonts w:ascii="Tahoma" w:hAnsi="Tahoma" w:cs="Tahoma"/>
      <w:sz w:val="24"/>
      <w:szCs w:val="20"/>
    </w:rPr>
  </w:style>
  <w:style w:type="paragraph" w:customStyle="1" w:styleId="397">
    <w:name w:val="table_lines"/>
    <w:basedOn w:val="1"/>
    <w:qFormat/>
    <w:uiPriority w:val="0"/>
    <w:pPr>
      <w:widowControl/>
      <w:jc w:val="left"/>
    </w:pPr>
    <w:rPr>
      <w:kern w:val="0"/>
      <w:sz w:val="20"/>
      <w:szCs w:val="20"/>
      <w:lang w:val="de-DE" w:eastAsia="de-DE"/>
    </w:rPr>
  </w:style>
  <w:style w:type="paragraph" w:customStyle="1" w:styleId="398">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99">
    <w:name w:val="Default Text"/>
    <w:basedOn w:val="1"/>
    <w:qFormat/>
    <w:uiPriority w:val="0"/>
    <w:pPr>
      <w:widowControl/>
      <w:jc w:val="left"/>
    </w:pPr>
    <w:rPr>
      <w:kern w:val="0"/>
      <w:sz w:val="24"/>
      <w:szCs w:val="20"/>
      <w:lang w:eastAsia="en-US"/>
    </w:rPr>
  </w:style>
  <w:style w:type="paragraph" w:customStyle="1" w:styleId="400">
    <w:name w:val="Char Char1 Char Char2 Char Char"/>
    <w:basedOn w:val="1"/>
    <w:qFormat/>
    <w:uiPriority w:val="0"/>
    <w:pPr>
      <w:widowControl/>
      <w:spacing w:after="160" w:line="240" w:lineRule="exact"/>
      <w:jc w:val="left"/>
    </w:pPr>
  </w:style>
  <w:style w:type="paragraph" w:customStyle="1" w:styleId="401">
    <w:name w:val="标准文本"/>
    <w:basedOn w:val="1"/>
    <w:qFormat/>
    <w:uiPriority w:val="0"/>
    <w:pPr>
      <w:spacing w:line="360" w:lineRule="auto"/>
      <w:ind w:firstLine="480" w:firstLineChars="200"/>
    </w:pPr>
    <w:rPr>
      <w:rFonts w:cs="宋体"/>
      <w:sz w:val="24"/>
    </w:rPr>
  </w:style>
  <w:style w:type="paragraph" w:customStyle="1" w:styleId="402">
    <w:name w:val="Char1 Char Char Char1"/>
    <w:basedOn w:val="1"/>
    <w:qFormat/>
    <w:uiPriority w:val="0"/>
    <w:rPr>
      <w:rFonts w:ascii="Tahoma" w:hAnsi="Tahoma"/>
      <w:sz w:val="24"/>
      <w:szCs w:val="20"/>
    </w:rPr>
  </w:style>
  <w:style w:type="paragraph" w:customStyle="1" w:styleId="40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404">
    <w:name w:val="符号与编号 Char Char"/>
    <w:basedOn w:val="1"/>
    <w:qFormat/>
    <w:uiPriority w:val="0"/>
    <w:pPr>
      <w:tabs>
        <w:tab w:val="left" w:pos="840"/>
      </w:tabs>
      <w:spacing w:afterLines="50" w:line="400" w:lineRule="atLeast"/>
      <w:ind w:left="839" w:hanging="419"/>
    </w:pPr>
    <w:rPr>
      <w:sz w:val="24"/>
    </w:rPr>
  </w:style>
  <w:style w:type="paragraph" w:customStyle="1" w:styleId="405">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40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07">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408">
    <w:name w:val="公文标题 2"/>
    <w:basedOn w:val="1"/>
    <w:next w:val="219"/>
    <w:qFormat/>
    <w:uiPriority w:val="0"/>
    <w:pPr>
      <w:outlineLvl w:val="1"/>
    </w:pPr>
    <w:rPr>
      <w:rFonts w:ascii="仿宋_GB2312" w:hAnsi="宋体" w:eastAsia="仿宋_GB2312"/>
      <w:kern w:val="28"/>
      <w:sz w:val="28"/>
    </w:rPr>
  </w:style>
  <w:style w:type="paragraph" w:customStyle="1" w:styleId="409">
    <w:name w:val="font13"/>
    <w:basedOn w:val="1"/>
    <w:qFormat/>
    <w:uiPriority w:val="0"/>
    <w:pPr>
      <w:widowControl/>
      <w:spacing w:before="100" w:beforeAutospacing="1" w:after="100" w:afterAutospacing="1"/>
      <w:jc w:val="left"/>
    </w:pPr>
    <w:rPr>
      <w:i/>
      <w:iCs/>
      <w:kern w:val="0"/>
      <w:sz w:val="36"/>
      <w:szCs w:val="36"/>
    </w:rPr>
  </w:style>
  <w:style w:type="paragraph" w:customStyle="1" w:styleId="410">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11">
    <w:name w:val="默认段落字体 Para Char Char Char Char Char Char Char"/>
    <w:basedOn w:val="1"/>
    <w:qFormat/>
    <w:uiPriority w:val="0"/>
    <w:rPr>
      <w:rFonts w:ascii="Tahoma" w:hAnsi="Tahoma"/>
      <w:sz w:val="24"/>
      <w:szCs w:val="20"/>
    </w:rPr>
  </w:style>
  <w:style w:type="paragraph" w:customStyle="1" w:styleId="412">
    <w:name w:val="Char Char Char Char Char Char Char Char Char Char Char Char Char Char Char Char Char Char Char Char Char"/>
    <w:basedOn w:val="1"/>
    <w:qFormat/>
    <w:uiPriority w:val="0"/>
    <w:rPr>
      <w:rFonts w:ascii="Tahoma" w:hAnsi="Tahoma" w:cs="Tahoma"/>
      <w:sz w:val="24"/>
      <w:szCs w:val="20"/>
    </w:rPr>
  </w:style>
  <w:style w:type="paragraph" w:customStyle="1" w:styleId="41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14">
    <w:name w:val="Char Char Char Char Char Char Char1 Char"/>
    <w:basedOn w:val="1"/>
    <w:qFormat/>
    <w:uiPriority w:val="0"/>
    <w:rPr>
      <w:rFonts w:ascii="Tahoma" w:hAnsi="Tahoma" w:cs="Tahoma"/>
      <w:sz w:val="24"/>
      <w:szCs w:val="20"/>
    </w:rPr>
  </w:style>
  <w:style w:type="paragraph" w:customStyle="1" w:styleId="41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17">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18">
    <w:name w:val="正文--表格内正文"/>
    <w:basedOn w:val="1"/>
    <w:qFormat/>
    <w:uiPriority w:val="0"/>
    <w:pPr>
      <w:spacing w:beforeLines="50" w:line="240" w:lineRule="atLeast"/>
      <w:jc w:val="center"/>
    </w:pPr>
    <w:rPr>
      <w:rFonts w:ascii="宋体" w:hAnsi="宋体"/>
      <w:color w:val="000000"/>
      <w:sz w:val="24"/>
    </w:rPr>
  </w:style>
  <w:style w:type="paragraph" w:customStyle="1" w:styleId="41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20">
    <w:name w:val="Body Text(ch)"/>
    <w:basedOn w:val="1"/>
    <w:next w:val="21"/>
    <w:qFormat/>
    <w:uiPriority w:val="0"/>
    <w:pPr>
      <w:spacing w:after="120"/>
    </w:pPr>
    <w:rPr>
      <w:rFonts w:ascii="宋体" w:hAnsi="Arial"/>
      <w:bCs/>
      <w:iCs/>
    </w:rPr>
  </w:style>
  <w:style w:type="paragraph" w:customStyle="1" w:styleId="421">
    <w:name w:val="1"/>
    <w:basedOn w:val="1"/>
    <w:next w:val="48"/>
    <w:qFormat/>
    <w:uiPriority w:val="0"/>
    <w:pPr>
      <w:spacing w:line="360" w:lineRule="auto"/>
    </w:pPr>
    <w:rPr>
      <w:rFonts w:eastAsia="仿宋_GB2312"/>
      <w:sz w:val="24"/>
    </w:rPr>
  </w:style>
  <w:style w:type="paragraph" w:customStyle="1" w:styleId="422">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423">
    <w:name w:val="表头_5"/>
    <w:basedOn w:val="1"/>
    <w:qFormat/>
    <w:uiPriority w:val="0"/>
    <w:pPr>
      <w:adjustRightInd w:val="0"/>
      <w:spacing w:line="360" w:lineRule="auto"/>
      <w:textAlignment w:val="baseline"/>
    </w:pPr>
    <w:rPr>
      <w:b/>
      <w:bCs/>
      <w:sz w:val="28"/>
      <w:szCs w:val="21"/>
    </w:rPr>
  </w:style>
  <w:style w:type="paragraph" w:customStyle="1" w:styleId="4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5">
    <w:name w:val="项目符号，一级"/>
    <w:basedOn w:val="253"/>
    <w:next w:val="253"/>
    <w:qFormat/>
    <w:uiPriority w:val="0"/>
    <w:pPr>
      <w:tabs>
        <w:tab w:val="left" w:pos="1320"/>
      </w:tabs>
      <w:spacing w:line="240" w:lineRule="atLeast"/>
      <w:ind w:left="376" w:leftChars="179" w:firstLine="0"/>
    </w:pPr>
    <w:rPr>
      <w:bCs w:val="0"/>
      <w:color w:val="000000"/>
      <w:szCs w:val="24"/>
    </w:rPr>
  </w:style>
  <w:style w:type="paragraph" w:customStyle="1" w:styleId="426">
    <w:name w:val="Char Char Char Char Char Char Char Char Char"/>
    <w:basedOn w:val="1"/>
    <w:qFormat/>
    <w:uiPriority w:val="0"/>
    <w:pPr>
      <w:tabs>
        <w:tab w:val="left" w:pos="360"/>
      </w:tabs>
      <w:ind w:left="200" w:hanging="200" w:hangingChars="200"/>
    </w:pPr>
    <w:rPr>
      <w:sz w:val="24"/>
    </w:rPr>
  </w:style>
  <w:style w:type="paragraph" w:customStyle="1" w:styleId="42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428">
    <w:name w:val="样式 标题 3H3sect1.2.3BOD 0Heading 3 - oldh3l3CTLevel 3 Head..."/>
    <w:basedOn w:val="5"/>
    <w:qFormat/>
    <w:uiPriority w:val="0"/>
    <w:pPr>
      <w:spacing w:beforeLines="50" w:afterLines="50" w:line="240" w:lineRule="auto"/>
      <w:jc w:val="left"/>
    </w:pPr>
    <w:rPr>
      <w:rFonts w:cs="宋体"/>
      <w:sz w:val="30"/>
      <w:szCs w:val="20"/>
    </w:rPr>
  </w:style>
  <w:style w:type="paragraph" w:customStyle="1" w:styleId="429">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431">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styleId="432">
    <w:name w:val="List Paragraph"/>
    <w:basedOn w:val="1"/>
    <w:qFormat/>
    <w:uiPriority w:val="0"/>
    <w:pPr>
      <w:ind w:firstLine="420" w:firstLineChars="200"/>
    </w:pPr>
  </w:style>
  <w:style w:type="character" w:styleId="433">
    <w:name w:val="Placeholder Text"/>
    <w:basedOn w:val="58"/>
    <w:unhideWhenUsed/>
    <w:qFormat/>
    <w:uiPriority w:val="99"/>
    <w:rPr>
      <w:color w:val="808080"/>
    </w:rPr>
  </w:style>
  <w:style w:type="paragraph" w:customStyle="1" w:styleId="434">
    <w:name w:val="H 正文"/>
    <w:basedOn w:val="22"/>
    <w:qFormat/>
    <w:uiPriority w:val="0"/>
  </w:style>
  <w:style w:type="paragraph" w:customStyle="1" w:styleId="435">
    <w:name w:val="样式DY表"/>
    <w:qFormat/>
    <w:uiPriority w:val="0"/>
    <w:pPr>
      <w:jc w:val="center"/>
    </w:pPr>
    <w:rPr>
      <w:rFonts w:ascii="Calibri" w:hAnsi="Calibri" w:eastAsia="Times New Roman" w:cstheme="minorBidi"/>
      <w:lang w:val="en-US" w:eastAsia="zh-CN" w:bidi="ar-SA"/>
    </w:rPr>
  </w:style>
  <w:style w:type="character" w:customStyle="1" w:styleId="436">
    <w:name w:val="Other|1_"/>
    <w:basedOn w:val="58"/>
    <w:link w:val="437"/>
    <w:qFormat/>
    <w:uiPriority w:val="0"/>
    <w:rPr>
      <w:rFonts w:ascii="宋体" w:hAnsi="宋体" w:cs="宋体"/>
      <w:sz w:val="16"/>
      <w:szCs w:val="16"/>
      <w:lang w:val="zh-TW" w:eastAsia="zh-TW" w:bidi="zh-TW"/>
    </w:rPr>
  </w:style>
  <w:style w:type="paragraph" w:customStyle="1" w:styleId="437">
    <w:name w:val="Other|1"/>
    <w:basedOn w:val="1"/>
    <w:link w:val="436"/>
    <w:qFormat/>
    <w:uiPriority w:val="0"/>
    <w:pPr>
      <w:spacing w:line="430" w:lineRule="auto"/>
      <w:ind w:firstLine="360"/>
      <w:jc w:val="left"/>
    </w:pPr>
    <w:rPr>
      <w:rFonts w:ascii="宋体" w:hAnsi="宋体" w:cs="宋体"/>
      <w:kern w:val="0"/>
      <w:sz w:val="16"/>
      <w:szCs w:val="16"/>
      <w:lang w:val="zh-TW" w:eastAsia="zh-TW" w:bidi="zh-TW"/>
    </w:rPr>
  </w:style>
  <w:style w:type="character" w:customStyle="1" w:styleId="438">
    <w:name w:val="Body text|1_"/>
    <w:basedOn w:val="58"/>
    <w:link w:val="439"/>
    <w:qFormat/>
    <w:uiPriority w:val="0"/>
    <w:rPr>
      <w:rFonts w:ascii="宋体" w:hAnsi="宋体" w:cs="宋体"/>
      <w:sz w:val="16"/>
      <w:szCs w:val="16"/>
      <w:lang w:val="zh-TW" w:eastAsia="zh-TW" w:bidi="zh-TW"/>
    </w:rPr>
  </w:style>
  <w:style w:type="paragraph" w:customStyle="1" w:styleId="439">
    <w:name w:val="Body text|1"/>
    <w:basedOn w:val="1"/>
    <w:link w:val="438"/>
    <w:qFormat/>
    <w:uiPriority w:val="0"/>
    <w:pPr>
      <w:spacing w:line="430" w:lineRule="auto"/>
      <w:ind w:firstLine="360"/>
      <w:jc w:val="left"/>
    </w:pPr>
    <w:rPr>
      <w:rFonts w:ascii="宋体" w:hAnsi="宋体" w:cs="宋体"/>
      <w:kern w:val="0"/>
      <w:sz w:val="16"/>
      <w:szCs w:val="16"/>
      <w:lang w:val="zh-TW" w:eastAsia="zh-TW" w:bidi="zh-TW"/>
    </w:rPr>
  </w:style>
  <w:style w:type="paragraph" w:customStyle="1" w:styleId="440">
    <w:name w:val="修订2"/>
    <w:hidden/>
    <w:unhideWhenUsed/>
    <w:qFormat/>
    <w:uiPriority w:val="99"/>
    <w:rPr>
      <w:rFonts w:ascii="Calibri" w:hAnsi="Calibri" w:eastAsia="宋体" w:cs="Times New Roman"/>
      <w:kern w:val="2"/>
      <w:sz w:val="21"/>
      <w:szCs w:val="24"/>
      <w:lang w:val="en-US" w:eastAsia="zh-CN" w:bidi="ar-SA"/>
    </w:rPr>
  </w:style>
  <w:style w:type="character" w:customStyle="1" w:styleId="441">
    <w:name w:val="22 C"/>
    <w:qFormat/>
    <w:uiPriority w:val="0"/>
    <w:rPr>
      <w:rFonts w:ascii="Arial" w:hAnsi="Arial" w:eastAsia="黑体"/>
      <w:b/>
      <w:color w:val="000000"/>
      <w:kern w:val="2"/>
      <w:sz w:val="30"/>
      <w:lang w:val="en-US" w:eastAsia="zh-CN"/>
    </w:rPr>
  </w:style>
  <w:style w:type="paragraph" w:customStyle="1" w:styleId="442">
    <w:name w:val="修订3"/>
    <w:hidden/>
    <w:semiHidden/>
    <w:qFormat/>
    <w:uiPriority w:val="99"/>
    <w:rPr>
      <w:rFonts w:ascii="Calibri" w:hAnsi="Calibri" w:eastAsia="宋体" w:cs="Times New Roman"/>
      <w:kern w:val="2"/>
      <w:sz w:val="21"/>
      <w:szCs w:val="24"/>
      <w:lang w:val="en-US" w:eastAsia="zh-CN" w:bidi="ar-SA"/>
    </w:rPr>
  </w:style>
  <w:style w:type="paragraph" w:customStyle="1" w:styleId="443">
    <w:name w:val="修订4"/>
    <w:hidden/>
    <w:semiHidden/>
    <w:qFormat/>
    <w:uiPriority w:val="99"/>
    <w:rPr>
      <w:rFonts w:ascii="Calibri" w:hAnsi="Calibri" w:eastAsia="宋体" w:cs="Times New Roman"/>
      <w:kern w:val="2"/>
      <w:sz w:val="21"/>
      <w:szCs w:val="24"/>
      <w:lang w:val="en-US" w:eastAsia="zh-CN" w:bidi="ar-SA"/>
    </w:rPr>
  </w:style>
  <w:style w:type="paragraph" w:customStyle="1" w:styleId="444">
    <w:name w:val="修订5"/>
    <w:hidden/>
    <w:semiHidden/>
    <w:qFormat/>
    <w:uiPriority w:val="99"/>
    <w:rPr>
      <w:rFonts w:ascii="Calibri" w:hAnsi="Calibri" w:eastAsia="宋体" w:cs="Times New Roman"/>
      <w:kern w:val="2"/>
      <w:sz w:val="21"/>
      <w:szCs w:val="24"/>
      <w:lang w:val="en-US" w:eastAsia="zh-CN" w:bidi="ar-SA"/>
    </w:rPr>
  </w:style>
  <w:style w:type="paragraph" w:customStyle="1" w:styleId="445">
    <w:name w:val="修订6"/>
    <w:hidden/>
    <w:unhideWhenUsed/>
    <w:qFormat/>
    <w:uiPriority w:val="99"/>
    <w:rPr>
      <w:rFonts w:ascii="Calibri" w:hAnsi="Calibri" w:eastAsia="宋体" w:cs="Times New Roman"/>
      <w:kern w:val="2"/>
      <w:sz w:val="21"/>
      <w:szCs w:val="24"/>
      <w:lang w:val="en-US" w:eastAsia="zh-CN" w:bidi="ar-SA"/>
    </w:rPr>
  </w:style>
  <w:style w:type="paragraph" w:customStyle="1" w:styleId="446">
    <w:name w:val="修订7"/>
    <w:hidden/>
    <w:semiHidden/>
    <w:qFormat/>
    <w:uiPriority w:val="99"/>
    <w:rPr>
      <w:rFonts w:ascii="Calibri" w:hAnsi="Calibri" w:eastAsia="宋体" w:cs="Times New Roman"/>
      <w:kern w:val="2"/>
      <w:sz w:val="21"/>
      <w:szCs w:val="24"/>
      <w:lang w:val="en-US" w:eastAsia="zh-CN" w:bidi="ar-SA"/>
    </w:rPr>
  </w:style>
  <w:style w:type="paragraph" w:customStyle="1" w:styleId="447">
    <w:name w:val="修订8"/>
    <w:hidden/>
    <w:semiHidden/>
    <w:qFormat/>
    <w:uiPriority w:val="99"/>
    <w:rPr>
      <w:rFonts w:ascii="Calibri" w:hAnsi="Calibri" w:eastAsia="宋体" w:cs="Times New Roman"/>
      <w:kern w:val="2"/>
      <w:sz w:val="21"/>
      <w:szCs w:val="24"/>
      <w:lang w:val="en-US" w:eastAsia="zh-CN" w:bidi="ar-SA"/>
    </w:rPr>
  </w:style>
  <w:style w:type="paragraph" w:customStyle="1" w:styleId="448">
    <w:name w:val="修订9"/>
    <w:hidden/>
    <w:semiHidden/>
    <w:qFormat/>
    <w:uiPriority w:val="99"/>
    <w:rPr>
      <w:rFonts w:ascii="Calibri" w:hAnsi="Calibri" w:eastAsia="宋体" w:cs="Times New Roman"/>
      <w:kern w:val="2"/>
      <w:sz w:val="21"/>
      <w:szCs w:val="24"/>
      <w:lang w:val="en-US" w:eastAsia="zh-CN" w:bidi="ar-SA"/>
    </w:rPr>
  </w:style>
  <w:style w:type="paragraph" w:customStyle="1" w:styleId="449">
    <w:name w:val="制度-正文"/>
    <w:basedOn w:val="1"/>
    <w:qFormat/>
    <w:uiPriority w:val="0"/>
    <w:pPr>
      <w:widowControl/>
      <w:adjustRightInd w:val="0"/>
      <w:spacing w:line="560" w:lineRule="exact"/>
      <w:ind w:firstLine="200" w:firstLineChars="200"/>
      <w:jc w:val="left"/>
    </w:pPr>
    <w:rPr>
      <w:rFonts w:hint="eastAsia" w:ascii="仿宋_GB2312" w:hAnsi="Times New Roman" w:eastAsia="仿宋_GB2312" w:cs="Times New Roman"/>
      <w:sz w:val="32"/>
      <w:szCs w:val="32"/>
    </w:rPr>
  </w:style>
  <w:style w:type="paragraph" w:customStyle="1" w:styleId="450">
    <w:name w:val="Normal1"/>
    <w:next w:val="1"/>
    <w:qFormat/>
    <w:uiPriority w:val="0"/>
    <w:pPr>
      <w:overflowPunct w:val="0"/>
      <w:autoSpaceDE w:val="0"/>
      <w:autoSpaceDN w:val="0"/>
      <w:adjustRightInd w:val="0"/>
      <w:spacing w:before="50" w:beforeLines="50" w:line="360" w:lineRule="auto"/>
      <w:ind w:firstLine="200" w:firstLineChars="200"/>
      <w:textAlignment w:val="baseline"/>
    </w:pPr>
    <w:rPr>
      <w:rFonts w:ascii="Times" w:hAnsi="Times" w:eastAsia="宋体" w:cs="Times New Roman"/>
      <w:sz w:val="24"/>
      <w:lang w:val="fr-FR" w:eastAsia="zh-CN" w:bidi="ar-SA"/>
    </w:rPr>
  </w:style>
  <w:style w:type="character" w:customStyle="1" w:styleId="451">
    <w:name w:val="fontstyle01"/>
    <w:qFormat/>
    <w:uiPriority w:val="0"/>
    <w:rPr>
      <w:rFonts w:hint="eastAsia" w:ascii="宋体" w:hAnsi="宋体" w:eastAsia="宋体"/>
      <w:color w:val="000000"/>
      <w:sz w:val="22"/>
      <w:szCs w:val="22"/>
    </w:rPr>
  </w:style>
  <w:style w:type="character" w:customStyle="1" w:styleId="452">
    <w:name w:val="fontstyle31"/>
    <w:qFormat/>
    <w:uiPriority w:val="0"/>
    <w:rPr>
      <w:rFonts w:hint="default" w:ascii="ArialMT" w:hAnsi="ArialMT" w:cs="Arial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535B8-4A46-49F4-87E1-8FD6EA026C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21671</Words>
  <Characters>22754</Characters>
  <Lines>220</Lines>
  <Paragraphs>62</Paragraphs>
  <TotalTime>16</TotalTime>
  <ScaleCrop>false</ScaleCrop>
  <LinksUpToDate>false</LinksUpToDate>
  <CharactersWithSpaces>23791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2021-01-23T01:13:00Z</dcterms:created>
  <dc:creator>莉子</dc:creator>
  <cp:lastModifiedBy>袁拴盈</cp:lastModifiedBy>
  <cp:lastPrinted>2021-02-22T07:22:00Z</cp:lastPrinted>
  <dcterms:modified xsi:type="dcterms:W3CDTF">2022-07-26T07:34:22Z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992575370_btnclosed</vt:lpwstr>
  </property>
  <property fmtid="{D5CDD505-2E9C-101B-9397-08002B2CF9AE}" pid="4" name="ICV">
    <vt:lpwstr>A3159A5921A6419AA7BC5E76E4857B52</vt:lpwstr>
  </property>
</Properties>
</file>