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500"/>
        <w:textAlignment w:val="baseline"/>
        <w:rPr>
          <w:rFonts w:hint="eastAsia"/>
          <w:b/>
          <w:sz w:val="32"/>
          <w:szCs w:val="32"/>
          <w:lang w:val="en-US" w:eastAsia="zh-CN"/>
        </w:rPr>
      </w:pPr>
      <w:r>
        <w:rPr>
          <w:rFonts w:hint="eastAsia"/>
          <w:b/>
          <w:sz w:val="32"/>
          <w:szCs w:val="32"/>
          <w:lang w:val="en-US" w:eastAsia="zh-CN"/>
        </w:rPr>
        <w:t>粉</w:t>
      </w:r>
      <w:r>
        <w:rPr>
          <w:rFonts w:hint="eastAsia"/>
          <w:b/>
          <w:sz w:val="32"/>
          <w:szCs w:val="32"/>
        </w:rPr>
        <w:t>尘在线、视频维修及传输</w:t>
      </w:r>
      <w:r>
        <w:rPr>
          <w:rFonts w:hint="eastAsia"/>
          <w:b/>
          <w:sz w:val="32"/>
          <w:szCs w:val="32"/>
          <w:lang w:val="en-US" w:eastAsia="zh-CN"/>
        </w:rPr>
        <w:t>技术要求</w:t>
      </w:r>
    </w:p>
    <w:p>
      <w:pPr>
        <w:numPr>
          <w:ilvl w:val="0"/>
          <w:numId w:val="1"/>
        </w:numPr>
        <w:ind w:left="0" w:leftChars="0" w:firstLine="641" w:firstLineChars="228"/>
        <w:jc w:val="both"/>
        <w:textAlignment w:val="baseline"/>
        <w:rPr>
          <w:rFonts w:hint="eastAsia"/>
          <w:b/>
          <w:sz w:val="28"/>
          <w:szCs w:val="28"/>
          <w:lang w:val="en-US" w:eastAsia="zh-CN"/>
        </w:rPr>
      </w:pPr>
      <w:r>
        <w:rPr>
          <w:rFonts w:hint="eastAsia"/>
          <w:b/>
          <w:sz w:val="28"/>
          <w:szCs w:val="28"/>
          <w:lang w:val="en-US" w:eastAsia="zh-CN"/>
        </w:rPr>
        <w:t>项目的必要性</w:t>
      </w:r>
    </w:p>
    <w:p>
      <w:pPr>
        <w:numPr>
          <w:ilvl w:val="0"/>
          <w:numId w:val="0"/>
        </w:numPr>
        <w:ind w:firstLine="560" w:firstLineChars="200"/>
        <w:jc w:val="both"/>
        <w:textAlignment w:val="baseline"/>
        <w:rPr>
          <w:rFonts w:hint="default"/>
          <w:b/>
          <w:sz w:val="32"/>
          <w:szCs w:val="32"/>
          <w:lang w:val="en-US" w:eastAsia="zh-CN"/>
        </w:rPr>
      </w:pPr>
      <w:r>
        <w:rPr>
          <w:rFonts w:hint="eastAsia"/>
          <w:b w:val="0"/>
          <w:bCs/>
          <w:sz w:val="28"/>
          <w:szCs w:val="28"/>
          <w:lang w:val="en-US" w:eastAsia="zh-CN"/>
        </w:rPr>
        <w:t>张家口市生态环境局涿鹿分局关于《矿山扬尘在线验收》的通知要求。全县生产矿山企业应在矿区边界上风口和下风口各安装至少一部与国控和省控站一致的总悬浮颗粒物检测设备（</w:t>
      </w:r>
      <w:r>
        <w:rPr>
          <w:rFonts w:hint="default" w:ascii="Arial" w:hAnsi="Arial" w:cs="Arial"/>
          <w:b w:val="0"/>
          <w:bCs/>
          <w:sz w:val="28"/>
          <w:szCs w:val="28"/>
          <w:lang w:val="en-US" w:eastAsia="zh-CN"/>
        </w:rPr>
        <w:t>β</w:t>
      </w:r>
      <w:r>
        <w:rPr>
          <w:rFonts w:hint="eastAsia" w:ascii="Arial" w:hAnsi="Arial" w:cs="Arial"/>
          <w:b w:val="0"/>
          <w:bCs/>
          <w:sz w:val="28"/>
          <w:szCs w:val="28"/>
          <w:lang w:val="en-US" w:eastAsia="zh-CN"/>
        </w:rPr>
        <w:t>射线吸收法原理</w:t>
      </w:r>
      <w:r>
        <w:rPr>
          <w:rFonts w:hint="eastAsia"/>
          <w:b w:val="0"/>
          <w:bCs/>
          <w:sz w:val="28"/>
          <w:szCs w:val="28"/>
          <w:lang w:val="en-US" w:eastAsia="zh-CN"/>
        </w:rPr>
        <w:t>），6月底前全部实现与市、县环境部门联网。</w:t>
      </w:r>
    </w:p>
    <w:p>
      <w:pPr>
        <w:numPr>
          <w:ilvl w:val="0"/>
          <w:numId w:val="1"/>
        </w:numPr>
        <w:ind w:left="638" w:leftChars="304" w:firstLine="0" w:firstLineChars="0"/>
        <w:jc w:val="both"/>
        <w:textAlignment w:val="baseline"/>
        <w:rPr>
          <w:rFonts w:hint="eastAsia"/>
          <w:b/>
          <w:sz w:val="28"/>
          <w:szCs w:val="28"/>
          <w:lang w:val="en-US" w:eastAsia="zh-CN"/>
        </w:rPr>
      </w:pPr>
      <w:r>
        <w:rPr>
          <w:rFonts w:hint="eastAsia"/>
          <w:b/>
          <w:sz w:val="28"/>
          <w:szCs w:val="28"/>
          <w:lang w:val="en-US" w:eastAsia="zh-CN"/>
        </w:rPr>
        <w:t>资质要求</w:t>
      </w:r>
    </w:p>
    <w:p>
      <w:pPr>
        <w:numPr>
          <w:ilvl w:val="0"/>
          <w:numId w:val="0"/>
        </w:numPr>
        <w:ind w:firstLine="560" w:firstLineChars="200"/>
        <w:jc w:val="both"/>
        <w:textAlignment w:val="baseline"/>
        <w:rPr>
          <w:rFonts w:hint="eastAsia"/>
          <w:b w:val="0"/>
          <w:bCs/>
          <w:sz w:val="28"/>
          <w:szCs w:val="28"/>
          <w:lang w:val="en-US" w:eastAsia="zh-CN"/>
        </w:rPr>
      </w:pPr>
      <w:r>
        <w:rPr>
          <w:rFonts w:hint="eastAsia"/>
          <w:b w:val="0"/>
          <w:bCs/>
          <w:sz w:val="28"/>
          <w:szCs w:val="28"/>
          <w:lang w:val="en-US" w:eastAsia="zh-CN"/>
        </w:rPr>
        <w:t>公司营业执照应具备环境保护设备研发制造或安装维修类别，中标单位负责现场的安装指导，有张家口区域内验收的相关业绩的优先。</w:t>
      </w:r>
    </w:p>
    <w:p>
      <w:pPr>
        <w:numPr>
          <w:ilvl w:val="0"/>
          <w:numId w:val="0"/>
        </w:numPr>
        <w:ind w:firstLine="560" w:firstLineChars="200"/>
        <w:rPr>
          <w:rFonts w:hint="default"/>
          <w:b w:val="0"/>
          <w:bCs/>
          <w:sz w:val="28"/>
          <w:szCs w:val="28"/>
          <w:lang w:val="en-US" w:eastAsia="zh-CN"/>
        </w:rPr>
      </w:pPr>
      <w:r>
        <w:rPr>
          <w:rFonts w:hint="eastAsia"/>
          <w:b w:val="0"/>
          <w:bCs w:val="0"/>
          <w:sz w:val="28"/>
          <w:szCs w:val="32"/>
          <w:lang w:val="en-US" w:eastAsia="zh-CN"/>
        </w:rPr>
        <w:t>服务单位相关技术人员到现场核实设备具体情况。</w:t>
      </w:r>
    </w:p>
    <w:p>
      <w:pPr>
        <w:numPr>
          <w:ilvl w:val="0"/>
          <w:numId w:val="0"/>
        </w:numPr>
        <w:ind w:firstLine="562" w:firstLineChars="200"/>
        <w:rPr>
          <w:rFonts w:hint="eastAsia"/>
          <w:b/>
          <w:bCs/>
          <w:sz w:val="28"/>
          <w:szCs w:val="32"/>
          <w:lang w:val="en-US" w:eastAsia="zh-CN"/>
        </w:rPr>
      </w:pPr>
      <w:r>
        <w:rPr>
          <w:rFonts w:hint="eastAsia"/>
          <w:b/>
          <w:bCs/>
          <w:sz w:val="28"/>
          <w:szCs w:val="32"/>
          <w:lang w:val="en-US" w:eastAsia="zh-CN"/>
        </w:rPr>
        <w:t>三、粉尘在线设备维修内容</w:t>
      </w:r>
    </w:p>
    <w:p>
      <w:pPr>
        <w:numPr>
          <w:ilvl w:val="0"/>
          <w:numId w:val="2"/>
        </w:numPr>
        <w:ind w:firstLine="560" w:firstLineChars="200"/>
        <w:rPr>
          <w:rFonts w:hint="eastAsia"/>
          <w:sz w:val="28"/>
          <w:szCs w:val="32"/>
          <w:lang w:val="en-US" w:eastAsia="zh-CN"/>
        </w:rPr>
      </w:pPr>
      <w:r>
        <w:rPr>
          <w:rFonts w:hint="eastAsia"/>
          <w:sz w:val="28"/>
          <w:szCs w:val="32"/>
          <w:lang w:val="en-US" w:eastAsia="zh-CN"/>
        </w:rPr>
        <w:t>两矿山现有粉尘在线检测设备7台，大斜阳矿山粉尘在线检测设备3台，参照设备1台；太平堡东矿区粉尘在线检测设备2台，参照设备1台。安装时间为2018年，因安装时张家口市环保局信息传输平台未建立完成，无法检测与平台能否对接。</w:t>
      </w:r>
    </w:p>
    <w:p>
      <w:pPr>
        <w:numPr>
          <w:ilvl w:val="0"/>
          <w:numId w:val="2"/>
        </w:numPr>
        <w:ind w:firstLine="560" w:firstLineChars="200"/>
        <w:rPr>
          <w:rFonts w:hint="eastAsia"/>
          <w:sz w:val="28"/>
          <w:szCs w:val="32"/>
          <w:lang w:val="en-US" w:eastAsia="zh-CN"/>
        </w:rPr>
      </w:pPr>
      <w:r>
        <w:rPr>
          <w:rFonts w:hint="eastAsia"/>
          <w:sz w:val="28"/>
          <w:szCs w:val="32"/>
          <w:lang w:val="en-US" w:eastAsia="zh-CN"/>
        </w:rPr>
        <w:t>扬尘在线系统为仪器仪表类中的仪器，国家要求该种仪器的检定周期为1年，淘汰周期为3年。两矿山从设备安装到现在近4年，未进行环保要求的运营维护，也未进行检定。需重新更换的元器件有：贝塔探测器、放射源C14、安卓一体机、传输模块、电机等。</w:t>
      </w:r>
    </w:p>
    <w:p>
      <w:pPr>
        <w:numPr>
          <w:ilvl w:val="0"/>
          <w:numId w:val="0"/>
        </w:numPr>
        <w:ind w:leftChars="0" w:firstLine="562" w:firstLineChars="200"/>
        <w:rPr>
          <w:rFonts w:hint="eastAsia"/>
          <w:b/>
          <w:bCs/>
          <w:sz w:val="28"/>
          <w:szCs w:val="32"/>
          <w:lang w:val="en-US" w:eastAsia="zh-CN"/>
        </w:rPr>
      </w:pPr>
      <w:r>
        <w:rPr>
          <w:rFonts w:hint="eastAsia"/>
          <w:b/>
          <w:bCs/>
          <w:sz w:val="28"/>
          <w:szCs w:val="32"/>
          <w:lang w:val="en-US" w:eastAsia="zh-CN"/>
        </w:rPr>
        <w:t>四、质量和验收标准</w:t>
      </w:r>
    </w:p>
    <w:p>
      <w:pPr>
        <w:numPr>
          <w:ilvl w:val="0"/>
          <w:numId w:val="3"/>
        </w:numPr>
        <w:ind w:leftChars="0" w:firstLine="560" w:firstLineChars="200"/>
        <w:rPr>
          <w:rFonts w:hint="default"/>
          <w:b w:val="0"/>
          <w:bCs w:val="0"/>
          <w:sz w:val="28"/>
          <w:szCs w:val="32"/>
          <w:lang w:val="en-US" w:eastAsia="zh-CN"/>
        </w:rPr>
      </w:pPr>
      <w:r>
        <w:rPr>
          <w:rFonts w:hint="eastAsia"/>
          <w:b w:val="0"/>
          <w:bCs w:val="0"/>
          <w:sz w:val="28"/>
          <w:szCs w:val="32"/>
          <w:lang w:val="en-US" w:eastAsia="zh-CN"/>
        </w:rPr>
        <w:t>更换影响验收的设备设施，确保设备验收时资质证书齐全，符合环保相关要求。（现场初步检查判断因更换的设备有：贝塔探测器、放射源C14、安卓一体机、传输模块、电机；可以继续使用的设备有：流量计、颗粒物切割器、采样泵；以相关专业人员现场核实为准）</w:t>
      </w:r>
    </w:p>
    <w:p>
      <w:pPr>
        <w:numPr>
          <w:ilvl w:val="0"/>
          <w:numId w:val="3"/>
        </w:numPr>
        <w:ind w:leftChars="0" w:firstLine="560" w:firstLineChars="200"/>
        <w:rPr>
          <w:rFonts w:hint="default"/>
          <w:b w:val="0"/>
          <w:bCs w:val="0"/>
          <w:sz w:val="28"/>
          <w:szCs w:val="32"/>
          <w:lang w:val="en-US" w:eastAsia="zh-CN"/>
        </w:rPr>
      </w:pPr>
      <w:r>
        <w:rPr>
          <w:rFonts w:hint="eastAsia"/>
          <w:b w:val="0"/>
          <w:bCs w:val="0"/>
          <w:sz w:val="28"/>
          <w:szCs w:val="32"/>
          <w:lang w:val="en-US" w:eastAsia="zh-CN"/>
        </w:rPr>
        <w:t>实现矿山运行部办公室粉尘数据及视频可视化。（传输数据和视频要使用光纤或网桥必须保证传输的稳定性，因矿山电压有波动，因选用工业级的传输设备设施，如矿山现有的视频设备与现平台不兼容或已损坏，需要统一与平台兼容）</w:t>
      </w:r>
    </w:p>
    <w:p>
      <w:pPr>
        <w:numPr>
          <w:ilvl w:val="0"/>
          <w:numId w:val="3"/>
        </w:numPr>
        <w:ind w:left="0" w:leftChars="0" w:firstLine="560" w:firstLineChars="200"/>
        <w:rPr>
          <w:rFonts w:hint="eastAsia"/>
          <w:b w:val="0"/>
          <w:bCs w:val="0"/>
          <w:sz w:val="28"/>
          <w:szCs w:val="32"/>
          <w:lang w:val="en-US" w:eastAsia="zh-CN"/>
        </w:rPr>
      </w:pPr>
      <w:r>
        <w:rPr>
          <w:rFonts w:hint="eastAsia"/>
          <w:b w:val="0"/>
          <w:bCs w:val="0"/>
          <w:sz w:val="28"/>
          <w:szCs w:val="32"/>
          <w:lang w:val="en-US" w:eastAsia="zh-CN"/>
        </w:rPr>
        <w:t>粉尘在线检测设备机柜为室外机柜，确保雨水不会影响设备使用。（适配的配电柜因使用IP65以上的防护等级，外接口因做好防水措施）</w:t>
      </w:r>
    </w:p>
    <w:p>
      <w:pPr>
        <w:numPr>
          <w:ilvl w:val="0"/>
          <w:numId w:val="3"/>
        </w:numPr>
        <w:ind w:left="0" w:leftChars="0" w:firstLine="560" w:firstLineChars="200"/>
        <w:rPr>
          <w:rFonts w:hint="eastAsia"/>
          <w:b w:val="0"/>
          <w:bCs w:val="0"/>
          <w:sz w:val="28"/>
          <w:szCs w:val="32"/>
          <w:lang w:val="en-US" w:eastAsia="zh-CN"/>
        </w:rPr>
      </w:pPr>
      <w:r>
        <w:rPr>
          <w:rFonts w:hint="eastAsia"/>
          <w:b w:val="0"/>
          <w:bCs w:val="0"/>
          <w:sz w:val="28"/>
          <w:szCs w:val="32"/>
          <w:lang w:val="en-US" w:eastAsia="zh-CN"/>
        </w:rPr>
        <w:t>与环保部门联网保证网络通讯正常，设备设施满足环保部门的验收标准。</w:t>
      </w:r>
    </w:p>
    <w:p>
      <w:pPr>
        <w:numPr>
          <w:ilvl w:val="0"/>
          <w:numId w:val="3"/>
        </w:numPr>
        <w:ind w:left="0" w:leftChars="0" w:firstLine="560" w:firstLineChars="200"/>
        <w:rPr>
          <w:rFonts w:hint="eastAsia"/>
          <w:b w:val="0"/>
          <w:bCs w:val="0"/>
          <w:sz w:val="28"/>
          <w:szCs w:val="32"/>
          <w:lang w:val="en-US" w:eastAsia="zh-CN"/>
        </w:rPr>
      </w:pPr>
      <w:r>
        <w:rPr>
          <w:rFonts w:hint="eastAsia"/>
          <w:b w:val="0"/>
          <w:bCs w:val="0"/>
          <w:sz w:val="28"/>
          <w:szCs w:val="32"/>
          <w:lang w:val="en-US" w:eastAsia="zh-CN"/>
        </w:rPr>
        <w:t>设备从维修到正常运行，工期为期限：45天，其中包含试运行15天；承包方式：包工包料。</w:t>
      </w:r>
    </w:p>
    <w:p>
      <w:pPr>
        <w:numPr>
          <w:ilvl w:val="0"/>
          <w:numId w:val="3"/>
        </w:numPr>
        <w:ind w:left="0" w:leftChars="0" w:firstLine="560" w:firstLineChars="200"/>
        <w:rPr>
          <w:rFonts w:hint="default"/>
          <w:b w:val="0"/>
          <w:bCs w:val="0"/>
          <w:sz w:val="28"/>
          <w:szCs w:val="32"/>
          <w:lang w:val="en-US" w:eastAsia="zh-CN"/>
        </w:rPr>
      </w:pPr>
      <w:r>
        <w:rPr>
          <w:rFonts w:hint="eastAsia"/>
          <w:b w:val="0"/>
          <w:bCs w:val="0"/>
          <w:sz w:val="28"/>
          <w:szCs w:val="32"/>
          <w:lang w:val="en-US" w:eastAsia="zh-CN"/>
        </w:rPr>
        <w:t>项目预算：初步估算需要    万元，付款方式：环保部门联网15天后依据涿金公司资金使用计划支付服务费90%，质保金10%，质保期12个月；付款方式：网银或承兑。</w:t>
      </w:r>
      <w:bookmarkStart w:id="0" w:name="_GoBack"/>
      <w:bookmarkEnd w:id="0"/>
    </w:p>
    <w:p>
      <w:pPr>
        <w:numPr>
          <w:ilvl w:val="0"/>
          <w:numId w:val="3"/>
        </w:numPr>
        <w:ind w:left="0" w:leftChars="0" w:firstLine="560" w:firstLineChars="200"/>
        <w:rPr>
          <w:rFonts w:hint="default"/>
          <w:b w:val="0"/>
          <w:bCs w:val="0"/>
          <w:sz w:val="28"/>
          <w:szCs w:val="32"/>
          <w:lang w:val="en-US" w:eastAsia="zh-CN"/>
        </w:rPr>
      </w:pPr>
      <w:r>
        <w:rPr>
          <w:rFonts w:hint="eastAsia"/>
          <w:b w:val="0"/>
          <w:bCs w:val="0"/>
          <w:sz w:val="28"/>
          <w:szCs w:val="32"/>
          <w:lang w:val="en-US" w:eastAsia="zh-CN"/>
        </w:rPr>
        <w:t>签订合同需要提交的资料</w:t>
      </w:r>
    </w:p>
    <w:p>
      <w:pPr>
        <w:spacing w:line="480" w:lineRule="exact"/>
        <w:jc w:val="center"/>
        <w:rPr>
          <w:rFonts w:ascii="宋体" w:hAnsi="宋体" w:eastAsia="仿宋_GB2312"/>
          <w:b/>
          <w:sz w:val="36"/>
          <w:szCs w:val="36"/>
        </w:rPr>
      </w:pPr>
      <w:r>
        <w:rPr>
          <w:rFonts w:hint="eastAsia" w:ascii="宋体" w:hAnsi="宋体"/>
          <w:b/>
          <w:sz w:val="36"/>
          <w:szCs w:val="36"/>
        </w:rPr>
        <w:t>外包方安全资质和安全条件审查内容清单</w:t>
      </w:r>
    </w:p>
    <w:tbl>
      <w:tblPr>
        <w:tblStyle w:val="4"/>
        <w:tblpPr w:leftFromText="180" w:rightFromText="180" w:vertAnchor="text" w:horzAnchor="page" w:tblpXSpec="center" w:tblpY="612"/>
        <w:tblOverlap w:val="never"/>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8"/>
        <w:gridCol w:w="2918"/>
        <w:gridCol w:w="49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374" w:type="pct"/>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hAnsi="宋体" w:cs="仿宋_GB2312"/>
                <w:b/>
                <w:bCs/>
                <w:sz w:val="21"/>
                <w:szCs w:val="21"/>
              </w:rPr>
            </w:pPr>
            <w:r>
              <w:rPr>
                <w:rFonts w:hint="eastAsia" w:ascii="宋体" w:hAnsi="宋体" w:cs="仿宋_GB2312"/>
                <w:b/>
                <w:bCs/>
                <w:sz w:val="21"/>
                <w:szCs w:val="21"/>
              </w:rPr>
              <w:t>序号</w:t>
            </w:r>
          </w:p>
        </w:tc>
        <w:tc>
          <w:tcPr>
            <w:tcW w:w="1712" w:type="pct"/>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hAnsi="宋体" w:cs="仿宋_GB2312"/>
                <w:b/>
                <w:bCs/>
                <w:sz w:val="21"/>
                <w:szCs w:val="21"/>
              </w:rPr>
            </w:pPr>
            <w:r>
              <w:rPr>
                <w:rFonts w:hint="eastAsia" w:ascii="宋体" w:hAnsi="宋体" w:cs="仿宋_GB2312"/>
                <w:b/>
                <w:bCs/>
                <w:sz w:val="21"/>
                <w:szCs w:val="21"/>
              </w:rPr>
              <w:t>资质内容　</w:t>
            </w:r>
          </w:p>
        </w:tc>
        <w:tc>
          <w:tcPr>
            <w:tcW w:w="2913" w:type="pct"/>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hAnsi="宋体" w:cs="仿宋_GB2312"/>
                <w:b/>
                <w:bCs/>
                <w:sz w:val="21"/>
                <w:szCs w:val="21"/>
              </w:rPr>
            </w:pPr>
            <w:r>
              <w:rPr>
                <w:rFonts w:hint="eastAsia" w:ascii="宋体" w:hAnsi="宋体" w:cs="仿宋_GB2312"/>
                <w:b/>
                <w:bCs/>
                <w:sz w:val="21"/>
                <w:szCs w:val="21"/>
              </w:rPr>
              <w:t>相关要求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374" w:type="pct"/>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1</w:t>
            </w:r>
          </w:p>
        </w:tc>
        <w:tc>
          <w:tcPr>
            <w:tcW w:w="1712" w:type="pct"/>
            <w:tcBorders>
              <w:top w:val="single" w:color="auto" w:sz="8" w:space="0"/>
              <w:left w:val="single" w:color="auto" w:sz="8" w:space="0"/>
              <w:bottom w:val="single" w:color="auto" w:sz="8" w:space="0"/>
              <w:right w:val="single" w:color="auto" w:sz="8" w:space="0"/>
            </w:tcBorders>
            <w:noWrap/>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营业执照</w:t>
            </w:r>
          </w:p>
        </w:tc>
        <w:tc>
          <w:tcPr>
            <w:tcW w:w="2913"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提供原件及复印件，复印件加盖公章。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4" w:type="pct"/>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2</w:t>
            </w:r>
          </w:p>
        </w:tc>
        <w:tc>
          <w:tcPr>
            <w:tcW w:w="1712" w:type="pct"/>
            <w:tcBorders>
              <w:top w:val="single" w:color="auto" w:sz="8" w:space="0"/>
              <w:left w:val="single" w:color="auto" w:sz="8" w:space="0"/>
              <w:bottom w:val="single" w:color="auto" w:sz="8" w:space="0"/>
              <w:right w:val="single" w:color="auto" w:sz="8" w:space="0"/>
            </w:tcBorders>
            <w:noWrap/>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资质证书</w:t>
            </w:r>
          </w:p>
        </w:tc>
        <w:tc>
          <w:tcPr>
            <w:tcW w:w="2913"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提供原件及复印件，复印件公司公章。资质等级需与承包项目相符，且在专业平台如全国建筑市场监管公共服务平台可查。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4" w:type="pct"/>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3</w:t>
            </w:r>
          </w:p>
        </w:tc>
        <w:tc>
          <w:tcPr>
            <w:tcW w:w="1712" w:type="pct"/>
            <w:tcBorders>
              <w:top w:val="single" w:color="auto" w:sz="8" w:space="0"/>
              <w:left w:val="single" w:color="auto" w:sz="8" w:space="0"/>
              <w:bottom w:val="single" w:color="auto" w:sz="8" w:space="0"/>
              <w:right w:val="single" w:color="auto" w:sz="8" w:space="0"/>
            </w:tcBorders>
            <w:noWrap/>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安全生产许可证</w:t>
            </w:r>
          </w:p>
        </w:tc>
        <w:tc>
          <w:tcPr>
            <w:tcW w:w="2913"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提供原件及复印件，复印件加盖公章（涉及矿山企业、建筑施工企业和危险化学品、烟花爆竹、民用爆炸物品生产企业提供）。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374" w:type="pct"/>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4</w:t>
            </w:r>
          </w:p>
        </w:tc>
        <w:tc>
          <w:tcPr>
            <w:tcW w:w="1712" w:type="pct"/>
            <w:tcBorders>
              <w:top w:val="single" w:color="auto" w:sz="8" w:space="0"/>
              <w:left w:val="single" w:color="auto" w:sz="8" w:space="0"/>
              <w:bottom w:val="single" w:color="auto" w:sz="8" w:space="0"/>
              <w:right w:val="single" w:color="auto" w:sz="8" w:space="0"/>
            </w:tcBorders>
            <w:noWrap/>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法定代表人身份证</w:t>
            </w:r>
          </w:p>
        </w:tc>
        <w:tc>
          <w:tcPr>
            <w:tcW w:w="2913"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合同或安全协议签订人为法定代表人时，需提供身份证复印件。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374" w:type="pct"/>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5</w:t>
            </w:r>
          </w:p>
        </w:tc>
        <w:tc>
          <w:tcPr>
            <w:tcW w:w="1712"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法定代表人授权委托书及身份证</w:t>
            </w:r>
          </w:p>
        </w:tc>
        <w:tc>
          <w:tcPr>
            <w:tcW w:w="2913"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合同或安全协议签订人不是执行董事/执行董事/党委书记代表本人时，须提供授权委托书（由法定代表人签字或签章，有身份证照片并加盖公司公章。）及委托代理人身份证。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374" w:type="pct"/>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6</w:t>
            </w:r>
          </w:p>
        </w:tc>
        <w:tc>
          <w:tcPr>
            <w:tcW w:w="1712"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施工业绩</w:t>
            </w:r>
          </w:p>
        </w:tc>
        <w:tc>
          <w:tcPr>
            <w:tcW w:w="2913"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施工业绩需与承揽项目一致或类似，证明具有承揽同类项目施工能力，且业绩良好。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374" w:type="pct"/>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7</w:t>
            </w:r>
          </w:p>
        </w:tc>
        <w:tc>
          <w:tcPr>
            <w:tcW w:w="1712"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安全承诺</w:t>
            </w:r>
          </w:p>
        </w:tc>
        <w:tc>
          <w:tcPr>
            <w:tcW w:w="2913"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企业三年无一般及以上安全生产责任事故及提供材料证实性承诺，提供国家企业信用信息公示系统查询结果，并均加盖公章。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374" w:type="pct"/>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8※</w:t>
            </w:r>
          </w:p>
        </w:tc>
        <w:tc>
          <w:tcPr>
            <w:tcW w:w="1712"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※三项管理制度及生产安全事故应急救援预案</w:t>
            </w:r>
          </w:p>
        </w:tc>
        <w:tc>
          <w:tcPr>
            <w:tcW w:w="2913"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提供安全生产责任制、安全管理制度和岗位安全操作规程目录，提供涉及本项目的生产安全事故应急救援预案，复印加盖单位公章。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374" w:type="pct"/>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9※</w:t>
            </w:r>
          </w:p>
        </w:tc>
        <w:tc>
          <w:tcPr>
            <w:tcW w:w="1712"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安全施工（作业）方案</w:t>
            </w:r>
          </w:p>
        </w:tc>
        <w:tc>
          <w:tcPr>
            <w:tcW w:w="2913"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 xml:space="preserve">1、施工方案：安全管理网络、施工方式、作业流程、技术方案措施等； </w:t>
            </w:r>
          </w:p>
          <w:p>
            <w:pPr>
              <w:spacing w:line="340" w:lineRule="exact"/>
              <w:rPr>
                <w:rFonts w:ascii="宋体" w:hAnsi="宋体" w:cs="仿宋_GB2312"/>
                <w:bCs/>
                <w:sz w:val="21"/>
                <w:szCs w:val="21"/>
                <w:lang w:bidi="ar"/>
              </w:rPr>
            </w:pPr>
            <w:r>
              <w:rPr>
                <w:rFonts w:hint="eastAsia" w:ascii="宋体" w:hAnsi="宋体" w:cs="仿宋_GB2312"/>
                <w:bCs/>
                <w:sz w:val="21"/>
                <w:szCs w:val="21"/>
                <w:lang w:bidi="ar"/>
              </w:rPr>
              <w:t>2、作业风险分析：即本次作业可能涉及的危险因素（如：噪声、粉尘、有毒物质、作业环境不良等）和事故类型（如物体打击、高处坠落、机械伤害、触电、火灾等），详见GB/T13861和GB4661，风险分析应全面具体。</w:t>
            </w:r>
          </w:p>
          <w:p>
            <w:pPr>
              <w:spacing w:line="340" w:lineRule="exact"/>
              <w:rPr>
                <w:rFonts w:ascii="宋体" w:hAnsi="宋体" w:cs="仿宋_GB2312"/>
                <w:bCs/>
                <w:sz w:val="21"/>
                <w:szCs w:val="21"/>
                <w:lang w:bidi="ar"/>
              </w:rPr>
            </w:pPr>
            <w:r>
              <w:rPr>
                <w:rFonts w:hint="eastAsia" w:ascii="宋体" w:hAnsi="宋体" w:cs="仿宋_GB2312"/>
                <w:bCs/>
                <w:sz w:val="21"/>
                <w:szCs w:val="21"/>
                <w:lang w:bidi="ar"/>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4、应急处置措施：即发生事故后的应急处置措施，如何抢救伤者、如何逃离、如何扑灭初起火灾、如何进行事故报告等。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374" w:type="pct"/>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10※</w:t>
            </w:r>
          </w:p>
        </w:tc>
        <w:tc>
          <w:tcPr>
            <w:tcW w:w="1712"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项目负责人、拟进场专（兼）职安全管理人员的证书及特种作业人员操作证</w:t>
            </w:r>
          </w:p>
        </w:tc>
        <w:tc>
          <w:tcPr>
            <w:tcW w:w="2913"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1、项目负责人、安全管理人员培训合格证明必须真实有效，且在有效期内，加盖单位公章。提供的安全管理人员必须在本次作业人员名单中，并负责现场安全。</w:t>
            </w:r>
          </w:p>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2、特种作业人员操作证应提供国家应急管理部网站查询结果纸质版并加盖公司公章。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374" w:type="pct"/>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11※</w:t>
            </w:r>
          </w:p>
        </w:tc>
        <w:tc>
          <w:tcPr>
            <w:tcW w:w="1712"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拟进场作业人员清单及身份证件</w:t>
            </w:r>
          </w:p>
        </w:tc>
        <w:tc>
          <w:tcPr>
            <w:tcW w:w="2913"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374" w:type="pct"/>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12※</w:t>
            </w:r>
          </w:p>
        </w:tc>
        <w:tc>
          <w:tcPr>
            <w:tcW w:w="1712"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全体项目人员的安全教育培训考核记录</w:t>
            </w:r>
          </w:p>
        </w:tc>
        <w:tc>
          <w:tcPr>
            <w:tcW w:w="2913" w:type="pct"/>
            <w:tcBorders>
              <w:top w:val="single" w:color="auto" w:sz="8" w:space="0"/>
              <w:left w:val="single" w:color="auto" w:sz="8" w:space="0"/>
              <w:bottom w:val="single" w:color="auto" w:sz="8" w:space="0"/>
              <w:right w:val="single" w:color="auto" w:sz="8" w:space="0"/>
            </w:tcBorders>
            <w:vAlign w:val="center"/>
          </w:tcPr>
          <w:p>
            <w:pPr>
              <w:widowControl w:val="0"/>
              <w:jc w:val="both"/>
              <w:rPr>
                <w:rFonts w:ascii="宋体" w:hAnsi="宋体" w:cs="仿宋_GB2312"/>
                <w:bCs/>
                <w:kern w:val="2"/>
                <w:sz w:val="21"/>
                <w:szCs w:val="21"/>
                <w:lang w:bidi="ar"/>
              </w:rPr>
            </w:pPr>
            <w:r>
              <w:rPr>
                <w:rFonts w:hint="eastAsia" w:ascii="宋体" w:hAnsi="宋体" w:cs="仿宋_GB2312"/>
                <w:bCs/>
                <w:sz w:val="21"/>
                <w:szCs w:val="21"/>
                <w:lang w:bidi="ar"/>
              </w:rPr>
              <w:t>提供每名进场作业人员考试试卷，必须本人答题，不得出现代答代签、替考问题，得分、判分有效，不得随意涂改；加盖公司公章。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374" w:type="pct"/>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13※</w:t>
            </w:r>
          </w:p>
        </w:tc>
        <w:tc>
          <w:tcPr>
            <w:tcW w:w="1712"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涉及职业禁忌症作业人员的健康体检证明</w:t>
            </w:r>
          </w:p>
        </w:tc>
        <w:tc>
          <w:tcPr>
            <w:tcW w:w="2913"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对电工、焊工等特种作业人员要提供由县级以上医院开具的体检报告原件及复印件。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374" w:type="pct"/>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14※</w:t>
            </w:r>
          </w:p>
        </w:tc>
        <w:tc>
          <w:tcPr>
            <w:tcW w:w="1712"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拟进场作业人员缴纳工伤保险或人身意外伤害险证明</w:t>
            </w:r>
          </w:p>
        </w:tc>
        <w:tc>
          <w:tcPr>
            <w:tcW w:w="2913"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1、提供的保险证明需由社保局或保险公司提供，并有社保局或保险公司印章。</w:t>
            </w:r>
          </w:p>
          <w:p>
            <w:pPr>
              <w:spacing w:line="340" w:lineRule="exact"/>
              <w:rPr>
                <w:rFonts w:ascii="宋体" w:hAnsi="宋体" w:cs="仿宋_GB2312"/>
                <w:bCs/>
                <w:sz w:val="21"/>
                <w:szCs w:val="21"/>
                <w:lang w:bidi="ar"/>
              </w:rPr>
            </w:pPr>
            <w:r>
              <w:rPr>
                <w:rFonts w:hint="eastAsia" w:ascii="宋体" w:hAnsi="宋体" w:cs="仿宋_GB2312"/>
                <w:bCs/>
                <w:sz w:val="21"/>
                <w:szCs w:val="21"/>
                <w:lang w:bidi="ar"/>
              </w:rPr>
              <w:t>2、人身意外伤害险保额不应低于工伤保险一次性工亡补助金的额度。</w:t>
            </w:r>
          </w:p>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3、保险的范围要包括作业项目。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00" w:hRule="atLeast"/>
          <w:jc w:val="center"/>
        </w:trPr>
        <w:tc>
          <w:tcPr>
            <w:tcW w:w="374" w:type="pct"/>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15※</w:t>
            </w:r>
          </w:p>
        </w:tc>
        <w:tc>
          <w:tcPr>
            <w:tcW w:w="1712"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拟进厂设备登记表</w:t>
            </w:r>
          </w:p>
        </w:tc>
        <w:tc>
          <w:tcPr>
            <w:tcW w:w="2913"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1、需登记设备设施包含电焊机、手持电动工具、吊车、叉车及其他车辆、吊篮、起重工具（手拉葫芦、吊索具、千斤顶等）等，保证进场的设备设施安全可靠（需提供登记设备设施实际照片）。</w:t>
            </w:r>
          </w:p>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2、特种设备使用登记证、检测报告与实际设备设施相符，复印加盖单位公章。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374" w:type="pct"/>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16※</w:t>
            </w:r>
          </w:p>
        </w:tc>
        <w:tc>
          <w:tcPr>
            <w:tcW w:w="1712" w:type="pct"/>
            <w:tcBorders>
              <w:top w:val="single" w:color="auto" w:sz="8" w:space="0"/>
              <w:left w:val="single" w:color="auto" w:sz="8" w:space="0"/>
              <w:bottom w:val="single" w:color="auto" w:sz="8" w:space="0"/>
              <w:right w:val="single" w:color="auto" w:sz="8" w:space="0"/>
            </w:tcBorders>
            <w:noWrap/>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涉及职业健康危害岗位人员的职业健康岗前体检证明</w:t>
            </w:r>
          </w:p>
        </w:tc>
        <w:tc>
          <w:tcPr>
            <w:tcW w:w="2913"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作业人员职业健康体检项目必须包含噪声、粉尘、高温项目（如作业项目确实不包含上述三项，经确认可减少），其他项目可根据实际情况进行添加。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374" w:type="pct"/>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17※</w:t>
            </w:r>
          </w:p>
        </w:tc>
        <w:tc>
          <w:tcPr>
            <w:tcW w:w="1712" w:type="pct"/>
            <w:tcBorders>
              <w:top w:val="single" w:color="auto" w:sz="8" w:space="0"/>
              <w:left w:val="single" w:color="auto" w:sz="8" w:space="0"/>
              <w:bottom w:val="single" w:color="auto" w:sz="8" w:space="0"/>
              <w:right w:val="single" w:color="auto" w:sz="8" w:space="0"/>
            </w:tcBorders>
            <w:noWrap/>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安全施工保证金</w:t>
            </w:r>
          </w:p>
        </w:tc>
        <w:tc>
          <w:tcPr>
            <w:tcW w:w="2913"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374" w:type="pct"/>
            <w:tcBorders>
              <w:top w:val="single" w:color="auto" w:sz="8" w:space="0"/>
              <w:left w:val="single" w:color="auto" w:sz="8" w:space="0"/>
              <w:bottom w:val="single" w:color="auto" w:sz="8" w:space="0"/>
              <w:right w:val="single" w:color="auto" w:sz="8" w:space="0"/>
            </w:tcBorders>
            <w:noWrap/>
            <w:vAlign w:val="center"/>
          </w:tcPr>
          <w:p>
            <w:pPr>
              <w:spacing w:line="340" w:lineRule="exact"/>
              <w:jc w:val="center"/>
              <w:rPr>
                <w:rFonts w:ascii="宋体" w:hAnsi="宋体" w:cs="仿宋_GB2312"/>
                <w:bCs/>
                <w:kern w:val="2"/>
                <w:sz w:val="21"/>
                <w:szCs w:val="21"/>
                <w:lang w:bidi="ar"/>
              </w:rPr>
            </w:pPr>
            <w:r>
              <w:rPr>
                <w:rFonts w:hint="eastAsia" w:ascii="宋体" w:hAnsi="宋体" w:cs="仿宋_GB2312"/>
                <w:bCs/>
                <w:sz w:val="21"/>
                <w:szCs w:val="21"/>
                <w:lang w:bidi="ar"/>
              </w:rPr>
              <w:t>18</w:t>
            </w:r>
          </w:p>
        </w:tc>
        <w:tc>
          <w:tcPr>
            <w:tcW w:w="1712" w:type="pct"/>
            <w:tcBorders>
              <w:top w:val="single" w:color="auto" w:sz="8" w:space="0"/>
              <w:left w:val="single" w:color="auto" w:sz="8" w:space="0"/>
              <w:bottom w:val="single" w:color="auto" w:sz="8" w:space="0"/>
              <w:right w:val="single" w:color="auto" w:sz="8" w:space="0"/>
            </w:tcBorders>
            <w:noWrap/>
            <w:vAlign w:val="center"/>
          </w:tcPr>
          <w:p>
            <w:pPr>
              <w:spacing w:line="340" w:lineRule="exact"/>
              <w:rPr>
                <w:rFonts w:ascii="宋体" w:hAnsi="宋体" w:cs="仿宋_GB2312"/>
                <w:bCs/>
                <w:kern w:val="2"/>
                <w:sz w:val="21"/>
                <w:szCs w:val="21"/>
                <w:lang w:bidi="ar"/>
              </w:rPr>
            </w:pPr>
            <w:r>
              <w:rPr>
                <w:rFonts w:hint="eastAsia" w:ascii="宋体" w:hAnsi="宋体" w:cs="仿宋_GB2312"/>
                <w:bCs/>
                <w:sz w:val="21"/>
                <w:szCs w:val="21"/>
                <w:lang w:bidi="ar"/>
              </w:rPr>
              <w:t>视具体情况需要审查的其他有关材料</w:t>
            </w:r>
          </w:p>
        </w:tc>
        <w:tc>
          <w:tcPr>
            <w:tcW w:w="2913" w:type="pct"/>
            <w:tcBorders>
              <w:top w:val="single" w:color="auto" w:sz="8" w:space="0"/>
              <w:left w:val="single" w:color="auto" w:sz="8" w:space="0"/>
              <w:bottom w:val="single" w:color="auto" w:sz="8" w:space="0"/>
              <w:right w:val="single" w:color="auto" w:sz="8" w:space="0"/>
            </w:tcBorders>
            <w:vAlign w:val="center"/>
          </w:tcPr>
          <w:p>
            <w:pPr>
              <w:spacing w:line="340" w:lineRule="exact"/>
              <w:rPr>
                <w:rFonts w:ascii="宋体" w:hAnsi="宋体" w:cs="仿宋_GB2312"/>
                <w:bCs/>
                <w:kern w:val="2"/>
                <w:sz w:val="21"/>
                <w:szCs w:val="21"/>
                <w:lang w:bidi="ar"/>
              </w:rPr>
            </w:pPr>
          </w:p>
        </w:tc>
      </w:tr>
    </w:tbl>
    <w:p>
      <w:pPr>
        <w:numPr>
          <w:ilvl w:val="0"/>
          <w:numId w:val="0"/>
        </w:numPr>
        <w:ind w:leftChars="200"/>
        <w:rPr>
          <w:rFonts w:hint="default"/>
          <w:b w:val="0"/>
          <w:bCs w:val="0"/>
          <w:sz w:val="28"/>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D56C1"/>
    <w:multiLevelType w:val="singleLevel"/>
    <w:tmpl w:val="AD4D56C1"/>
    <w:lvl w:ilvl="0" w:tentative="0">
      <w:start w:val="1"/>
      <w:numFmt w:val="decimal"/>
      <w:suff w:val="nothing"/>
      <w:lvlText w:val="%1、"/>
      <w:lvlJc w:val="left"/>
    </w:lvl>
  </w:abstractNum>
  <w:abstractNum w:abstractNumId="1">
    <w:nsid w:val="3593BBB5"/>
    <w:multiLevelType w:val="singleLevel"/>
    <w:tmpl w:val="3593BBB5"/>
    <w:lvl w:ilvl="0" w:tentative="0">
      <w:start w:val="1"/>
      <w:numFmt w:val="decimal"/>
      <w:suff w:val="nothing"/>
      <w:lvlText w:val="%1、"/>
      <w:lvlJc w:val="left"/>
    </w:lvl>
  </w:abstractNum>
  <w:abstractNum w:abstractNumId="2">
    <w:nsid w:val="745F56CA"/>
    <w:multiLevelType w:val="singleLevel"/>
    <w:tmpl w:val="745F56C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NmVlYzU4ZGViNjNlOWNjNjM2ZDA4NDUxYjUyZDUifQ=="/>
  </w:docVars>
  <w:rsids>
    <w:rsidRoot w:val="1D0B4913"/>
    <w:rsid w:val="147A02A6"/>
    <w:rsid w:val="18E327E9"/>
    <w:rsid w:val="1D0B4913"/>
    <w:rsid w:val="385E49F2"/>
    <w:rsid w:val="3E3D3F80"/>
    <w:rsid w:val="564814A3"/>
    <w:rsid w:val="6D21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99"/>
    <w:pPr>
      <w:spacing w:after="120"/>
      <w:ind w:left="420" w:leftChars="200"/>
    </w:p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2524</Words>
  <Characters>2575</Characters>
  <Lines>0</Lines>
  <Paragraphs>0</Paragraphs>
  <TotalTime>1</TotalTime>
  <ScaleCrop>false</ScaleCrop>
  <LinksUpToDate>false</LinksUpToDate>
  <CharactersWithSpaces>2577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2022-07-26T00:59:00Z</dcterms:created>
  <dc:creator>咱们去钓鱼</dc:creator>
  <cp:lastModifiedBy>李金海</cp:lastModifiedBy>
  <dcterms:modified xsi:type="dcterms:W3CDTF">2022-07-28T02:20:25Z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BBCAB4397B2542819CCE09607233F11F</vt:lpwstr>
  </property>
</Properties>
</file>