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0" w:firstLineChars="0"/>
        <w:rPr>
          <w:rFonts w:hint="default"/>
        </w:rPr>
      </w:pPr>
      <w:r>
        <w:t>附件1</w:t>
      </w:r>
    </w:p>
    <w:p>
      <w:pPr>
        <w:pStyle w:val="8"/>
        <w:ind w:firstLine="0" w:firstLineChars="0"/>
        <w:jc w:val="center"/>
        <w:rPr>
          <w:rFonts w:hint="default" w:ascii="宋体" w:hAnsi="宋体"/>
          <w:b/>
          <w:sz w:val="36"/>
          <w:szCs w:val="36"/>
        </w:rPr>
      </w:pPr>
      <w:r>
        <w:rPr>
          <w:rFonts w:ascii="黑体" w:hAnsi="黑体" w:eastAsia="黑体" w:cs="黑体"/>
          <w:sz w:val="36"/>
          <w:szCs w:val="36"/>
        </w:rPr>
        <w:t>外包方</w:t>
      </w:r>
      <w:r>
        <w:rPr>
          <w:rFonts w:hint="eastAsia" w:ascii="黑体" w:hAnsi="黑体" w:eastAsia="黑体" w:cs="黑体"/>
          <w:sz w:val="36"/>
          <w:szCs w:val="36"/>
          <w:lang w:val="en-US" w:eastAsia="zh-CN"/>
        </w:rPr>
        <w:t>安全</w:t>
      </w:r>
      <w:r>
        <w:rPr>
          <w:rFonts w:ascii="黑体" w:hAnsi="黑体" w:eastAsia="黑体" w:cs="黑体"/>
          <w:sz w:val="36"/>
          <w:szCs w:val="36"/>
        </w:rPr>
        <w:t>资质</w:t>
      </w:r>
      <w:r>
        <w:rPr>
          <w:rFonts w:hint="eastAsia" w:ascii="黑体" w:hAnsi="黑体" w:eastAsia="黑体" w:cs="黑体"/>
          <w:sz w:val="36"/>
          <w:szCs w:val="36"/>
          <w:lang w:val="en-US" w:eastAsia="zh-CN"/>
        </w:rPr>
        <w:t>和安全环保条件</w:t>
      </w:r>
      <w:r>
        <w:rPr>
          <w:rFonts w:ascii="黑体" w:hAnsi="黑体" w:eastAsia="黑体" w:cs="黑体"/>
          <w:sz w:val="36"/>
          <w:szCs w:val="36"/>
        </w:rPr>
        <w:t>审查</w:t>
      </w:r>
      <w:r>
        <w:rPr>
          <w:rFonts w:hint="eastAsia" w:ascii="黑体" w:hAnsi="黑体" w:eastAsia="黑体" w:cs="黑体"/>
          <w:sz w:val="36"/>
          <w:szCs w:val="36"/>
          <w:lang w:val="en-US" w:eastAsia="zh-CN"/>
        </w:rPr>
        <w:t>内容</w:t>
      </w:r>
      <w:r>
        <w:rPr>
          <w:rFonts w:ascii="黑体" w:hAnsi="黑体" w:eastAsia="黑体" w:cs="黑体"/>
          <w:sz w:val="36"/>
          <w:szCs w:val="36"/>
        </w:rPr>
        <w:t>清单</w:t>
      </w:r>
    </w:p>
    <w:tbl>
      <w:tblPr>
        <w:tblStyle w:val="5"/>
        <w:tblpPr w:leftFromText="180" w:rightFromText="180" w:vertAnchor="text" w:horzAnchor="page" w:tblpX="296" w:tblpY="612"/>
        <w:tblOverlap w:val="never"/>
        <w:tblW w:w="1138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15"/>
        <w:gridCol w:w="2535"/>
        <w:gridCol w:w="7080"/>
        <w:gridCol w:w="115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trPr>
        <w:tc>
          <w:tcPr>
            <w:tcW w:w="615" w:type="dxa"/>
            <w:tcBorders>
              <w:tl2br w:val="nil"/>
              <w:tr2bl w:val="nil"/>
            </w:tcBorders>
            <w:shd w:val="clear" w:color="auto" w:fill="auto"/>
            <w:noWrap/>
            <w:vAlign w:val="center"/>
          </w:tcPr>
          <w:p>
            <w:pPr>
              <w:widowControl/>
              <w:spacing w:line="340" w:lineRule="exact"/>
              <w:jc w:val="center"/>
              <w:rPr>
                <w:rFonts w:ascii="宋体" w:hAnsi="宋体" w:eastAsia="宋体" w:cs="仿宋_GB2312"/>
                <w:b/>
                <w:bCs/>
                <w:color w:val="000000"/>
                <w:kern w:val="0"/>
                <w:sz w:val="21"/>
                <w:szCs w:val="21"/>
              </w:rPr>
            </w:pPr>
            <w:r>
              <w:rPr>
                <w:rFonts w:hint="eastAsia" w:ascii="宋体" w:hAnsi="宋体" w:eastAsia="宋体" w:cs="仿宋_GB2312"/>
                <w:b/>
                <w:bCs/>
                <w:color w:val="000000"/>
                <w:kern w:val="0"/>
                <w:sz w:val="21"/>
                <w:szCs w:val="21"/>
              </w:rPr>
              <w:t>序号</w:t>
            </w:r>
          </w:p>
        </w:tc>
        <w:tc>
          <w:tcPr>
            <w:tcW w:w="2535" w:type="dxa"/>
            <w:tcBorders>
              <w:tl2br w:val="nil"/>
              <w:tr2bl w:val="nil"/>
            </w:tcBorders>
            <w:shd w:val="clear" w:color="auto" w:fill="auto"/>
            <w:noWrap/>
            <w:vAlign w:val="center"/>
          </w:tcPr>
          <w:p>
            <w:pPr>
              <w:widowControl/>
              <w:spacing w:line="340" w:lineRule="exact"/>
              <w:jc w:val="center"/>
              <w:rPr>
                <w:rFonts w:ascii="宋体" w:hAnsi="宋体" w:eastAsia="宋体" w:cs="仿宋_GB2312"/>
                <w:b/>
                <w:bCs/>
                <w:color w:val="000000"/>
                <w:kern w:val="0"/>
                <w:sz w:val="21"/>
                <w:szCs w:val="21"/>
              </w:rPr>
            </w:pPr>
            <w:r>
              <w:rPr>
                <w:rFonts w:hint="eastAsia" w:ascii="宋体" w:hAnsi="宋体" w:eastAsia="宋体" w:cs="仿宋_GB2312"/>
                <w:b/>
                <w:bCs/>
                <w:color w:val="000000"/>
                <w:kern w:val="0"/>
                <w:sz w:val="21"/>
                <w:szCs w:val="21"/>
              </w:rPr>
              <w:t>资质内容　</w:t>
            </w:r>
          </w:p>
        </w:tc>
        <w:tc>
          <w:tcPr>
            <w:tcW w:w="7080" w:type="dxa"/>
            <w:tcBorders>
              <w:tl2br w:val="nil"/>
              <w:tr2bl w:val="nil"/>
            </w:tcBorders>
            <w:shd w:val="clear" w:color="auto" w:fill="auto"/>
            <w:noWrap/>
            <w:vAlign w:val="center"/>
          </w:tcPr>
          <w:p>
            <w:pPr>
              <w:widowControl/>
              <w:spacing w:line="340" w:lineRule="exact"/>
              <w:jc w:val="center"/>
              <w:rPr>
                <w:rFonts w:ascii="宋体" w:hAnsi="宋体" w:eastAsia="宋体" w:cs="仿宋_GB2312"/>
                <w:b/>
                <w:bCs/>
                <w:color w:val="000000"/>
                <w:kern w:val="0"/>
                <w:sz w:val="21"/>
                <w:szCs w:val="21"/>
              </w:rPr>
            </w:pPr>
            <w:r>
              <w:rPr>
                <w:rFonts w:hint="eastAsia" w:ascii="宋体" w:hAnsi="宋体" w:eastAsia="宋体" w:cs="仿宋_GB2312"/>
                <w:b/>
                <w:bCs/>
                <w:color w:val="000000"/>
                <w:kern w:val="0"/>
                <w:sz w:val="21"/>
                <w:szCs w:val="21"/>
              </w:rPr>
              <w:t>相关要求</w:t>
            </w:r>
          </w:p>
        </w:tc>
        <w:tc>
          <w:tcPr>
            <w:tcW w:w="1155" w:type="dxa"/>
            <w:tcBorders>
              <w:tl2br w:val="nil"/>
              <w:tr2bl w:val="nil"/>
            </w:tcBorders>
            <w:shd w:val="clear" w:color="auto" w:fill="auto"/>
            <w:noWrap/>
            <w:vAlign w:val="center"/>
          </w:tcPr>
          <w:p>
            <w:pPr>
              <w:widowControl/>
              <w:spacing w:line="340" w:lineRule="exact"/>
              <w:jc w:val="center"/>
              <w:rPr>
                <w:rFonts w:hint="default" w:ascii="宋体" w:hAnsi="宋体" w:eastAsia="宋体" w:cs="仿宋_GB2312"/>
                <w:b/>
                <w:bCs/>
                <w:color w:val="000000"/>
                <w:kern w:val="0"/>
                <w:sz w:val="21"/>
                <w:szCs w:val="21"/>
                <w:lang w:val="en-US" w:eastAsia="zh-CN"/>
              </w:rPr>
            </w:pPr>
            <w:r>
              <w:rPr>
                <w:rFonts w:hint="eastAsia" w:ascii="宋体" w:hAnsi="宋体" w:eastAsia="宋体" w:cs="仿宋_GB2312"/>
                <w:b/>
                <w:bCs/>
                <w:color w:val="000000"/>
                <w:kern w:val="0"/>
                <w:sz w:val="21"/>
                <w:szCs w:val="21"/>
                <w:lang w:val="en-US" w:eastAsia="zh-CN"/>
              </w:rPr>
              <w:t>审核确认“打√”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6" w:hRule="atLeast"/>
        </w:trPr>
        <w:tc>
          <w:tcPr>
            <w:tcW w:w="61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1</w:t>
            </w:r>
          </w:p>
        </w:tc>
        <w:tc>
          <w:tcPr>
            <w:tcW w:w="2535"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营业执照</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提供原件及复印件，复印件加盖公章。</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trPr>
        <w:tc>
          <w:tcPr>
            <w:tcW w:w="61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2</w:t>
            </w:r>
          </w:p>
        </w:tc>
        <w:tc>
          <w:tcPr>
            <w:tcW w:w="2535"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资质证书</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提供原件及复印件，复印件公司公章。资质等级需与承包项目相符，且在专业平台如全国建筑市场监管公共服务平台可查。</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1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3</w:t>
            </w:r>
          </w:p>
        </w:tc>
        <w:tc>
          <w:tcPr>
            <w:tcW w:w="2535"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安全生产许可证</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提供原件及复印件，复印件加盖公章（涉及矿山企业、建筑施工企业和危险化学品、烟花爆竹、民用爆炸物品生产企业提供）。</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1" w:hRule="atLeast"/>
        </w:trPr>
        <w:tc>
          <w:tcPr>
            <w:tcW w:w="61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4</w:t>
            </w:r>
          </w:p>
        </w:tc>
        <w:tc>
          <w:tcPr>
            <w:tcW w:w="2535"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法定代表人身份证</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合同或安全协议签订人为法定代表人时，需提供身份证复印件。</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9"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5</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法定代表人授权委托书及身份证</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合同或安全协议签订人不是法人代表本人时，须提供授权委托书</w:t>
            </w:r>
            <w:r>
              <w:rPr>
                <w:rFonts w:hint="eastAsia" w:ascii="宋体" w:hAnsi="宋体" w:eastAsia="宋体" w:cs="仿宋_GB2312"/>
                <w:bCs/>
                <w:sz w:val="21"/>
                <w:szCs w:val="21"/>
                <w:lang w:eastAsia="zh-CN" w:bidi="ar"/>
              </w:rPr>
              <w:t>（</w:t>
            </w:r>
            <w:r>
              <w:rPr>
                <w:rFonts w:hint="eastAsia" w:ascii="宋体" w:hAnsi="宋体" w:eastAsia="宋体" w:cs="仿宋_GB2312"/>
                <w:bCs/>
                <w:sz w:val="21"/>
                <w:szCs w:val="21"/>
                <w:lang w:val="en-US" w:eastAsia="zh-CN" w:bidi="ar"/>
              </w:rPr>
              <w:t>由法定代表人签字或签章，有身份证照片并加盖公司公章。</w:t>
            </w:r>
            <w:r>
              <w:rPr>
                <w:rFonts w:hint="eastAsia" w:ascii="宋体" w:hAnsi="宋体" w:eastAsia="宋体" w:cs="仿宋_GB2312"/>
                <w:bCs/>
                <w:sz w:val="21"/>
                <w:szCs w:val="21"/>
                <w:lang w:eastAsia="zh-CN" w:bidi="ar"/>
              </w:rPr>
              <w:t>）</w:t>
            </w:r>
            <w:r>
              <w:rPr>
                <w:rFonts w:hint="eastAsia" w:ascii="宋体" w:hAnsi="宋体" w:eastAsia="宋体" w:cs="仿宋_GB2312"/>
                <w:bCs/>
                <w:sz w:val="21"/>
                <w:szCs w:val="21"/>
                <w:lang w:bidi="ar"/>
              </w:rPr>
              <w:t>及委托代理人身份证。</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4"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6</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施工业绩</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施工业绩需与承揽项目一致或类似，证明具有承揽同类项目施工能力，且业绩良好。</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7</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安全承诺</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企业三年无一般及以上安全生产责任事故及提供材料证实性承诺，</w:t>
            </w:r>
            <w:r>
              <w:rPr>
                <w:rFonts w:hint="eastAsia" w:ascii="宋体" w:hAnsi="宋体" w:eastAsia="宋体" w:cs="仿宋_GB2312"/>
                <w:bCs/>
                <w:sz w:val="21"/>
                <w:szCs w:val="21"/>
                <w:lang w:val="en-US" w:eastAsia="zh-CN" w:bidi="ar"/>
              </w:rPr>
              <w:t>提供国家企业信用信息公示系统查询结果，并均加</w:t>
            </w:r>
            <w:r>
              <w:rPr>
                <w:rFonts w:hint="eastAsia" w:ascii="宋体" w:hAnsi="宋体" w:eastAsia="宋体" w:cs="仿宋_GB2312"/>
                <w:bCs/>
                <w:sz w:val="21"/>
                <w:szCs w:val="21"/>
                <w:lang w:bidi="ar"/>
              </w:rPr>
              <w:t>盖公章。</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0"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8</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※三项管理制度及生产安全事故应急救援预案</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提供安全生产责任制、安全管理制度和岗位安全操作规程目录，提供涉及本项目的生产安全事故应急救援预案，复印加盖单位公章。</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0"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9</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highlight w:val="yellow"/>
                <w:lang w:val="en-US" w:eastAsia="zh-CN" w:bidi="ar"/>
              </w:rPr>
            </w:pPr>
            <w:r>
              <w:rPr>
                <w:rFonts w:hint="eastAsia" w:ascii="宋体" w:hAnsi="宋体" w:eastAsia="宋体" w:cs="仿宋_GB2312"/>
                <w:bCs/>
                <w:sz w:val="21"/>
                <w:szCs w:val="21"/>
                <w:highlight w:val="yellow"/>
                <w:lang w:bidi="ar"/>
              </w:rPr>
              <w:t>安全施工（作业）方案</w:t>
            </w:r>
          </w:p>
          <w:p>
            <w:pPr>
              <w:widowControl/>
              <w:spacing w:line="340" w:lineRule="exact"/>
              <w:jc w:val="left"/>
              <w:rPr>
                <w:rFonts w:hint="default" w:ascii="宋体" w:hAnsi="宋体" w:eastAsia="宋体" w:cs="仿宋_GB2312"/>
                <w:bCs/>
                <w:sz w:val="21"/>
                <w:szCs w:val="21"/>
                <w:highlight w:val="yellow"/>
                <w:lang w:val="en-US" w:eastAsia="zh-CN" w:bidi="ar"/>
              </w:rPr>
            </w:pPr>
            <w:r>
              <w:rPr>
                <w:rFonts w:hint="eastAsia" w:ascii="宋体" w:hAnsi="宋体" w:eastAsia="宋体" w:cs="仿宋_GB2312"/>
                <w:bCs/>
                <w:sz w:val="21"/>
                <w:szCs w:val="21"/>
                <w:highlight w:val="yellow"/>
                <w:lang w:val="en-US" w:eastAsia="zh-CN" w:bidi="ar"/>
              </w:rPr>
              <w:t>环保施工（作业）方案</w:t>
            </w:r>
          </w:p>
        </w:tc>
        <w:tc>
          <w:tcPr>
            <w:tcW w:w="7080" w:type="dxa"/>
            <w:tcBorders>
              <w:tl2br w:val="nil"/>
              <w:tr2bl w:val="nil"/>
            </w:tcBorders>
            <w:shd w:val="clear" w:color="auto" w:fill="auto"/>
            <w:vAlign w:val="center"/>
          </w:tcPr>
          <w:p>
            <w:pPr>
              <w:widowControl/>
              <w:spacing w:line="340" w:lineRule="exact"/>
              <w:jc w:val="left"/>
              <w:rPr>
                <w:rFonts w:hint="eastAsia" w:ascii="宋体" w:hAnsi="宋体" w:eastAsia="宋体" w:cs="仿宋_GB2312"/>
                <w:b/>
                <w:bCs w:val="0"/>
                <w:sz w:val="21"/>
                <w:szCs w:val="21"/>
                <w:highlight w:val="yellow"/>
                <w:lang w:eastAsia="zh-CN" w:bidi="ar"/>
              </w:rPr>
            </w:pPr>
            <w:r>
              <w:rPr>
                <w:rFonts w:hint="eastAsia" w:ascii="宋体" w:hAnsi="宋体" w:eastAsia="宋体" w:cs="仿宋_GB2312"/>
                <w:b/>
                <w:bCs w:val="0"/>
                <w:sz w:val="21"/>
                <w:szCs w:val="21"/>
                <w:highlight w:val="yellow"/>
                <w:lang w:bidi="ar"/>
              </w:rPr>
              <w:t>安全施工（作业）方案</w:t>
            </w:r>
            <w:r>
              <w:rPr>
                <w:rFonts w:hint="eastAsia" w:ascii="宋体" w:hAnsi="宋体" w:eastAsia="宋体" w:cs="仿宋_GB2312"/>
                <w:b/>
                <w:bCs w:val="0"/>
                <w:sz w:val="21"/>
                <w:szCs w:val="21"/>
                <w:highlight w:val="yellow"/>
                <w:lang w:eastAsia="zh-CN" w:bidi="ar"/>
              </w:rPr>
              <w:t>：</w:t>
            </w:r>
          </w:p>
          <w:p>
            <w:pPr>
              <w:widowControl/>
              <w:spacing w:line="340" w:lineRule="exact"/>
              <w:jc w:val="left"/>
              <w:rPr>
                <w:rFonts w:ascii="宋体" w:hAnsi="宋体" w:eastAsia="宋体" w:cs="仿宋_GB2312"/>
                <w:bCs/>
                <w:sz w:val="21"/>
                <w:szCs w:val="21"/>
                <w:highlight w:val="yellow"/>
                <w:lang w:bidi="ar"/>
              </w:rPr>
            </w:pPr>
            <w:r>
              <w:rPr>
                <w:rFonts w:hint="eastAsia" w:ascii="宋体" w:hAnsi="宋体" w:eastAsia="宋体" w:cs="仿宋_GB2312"/>
                <w:b/>
                <w:bCs w:val="0"/>
                <w:sz w:val="21"/>
                <w:szCs w:val="21"/>
                <w:highlight w:val="yellow"/>
                <w:lang w:bidi="ar"/>
              </w:rPr>
              <w:t>1、</w:t>
            </w:r>
            <w:r>
              <w:rPr>
                <w:rFonts w:hint="eastAsia" w:ascii="宋体" w:hAnsi="宋体" w:eastAsia="宋体" w:cs="仿宋_GB2312"/>
                <w:b/>
                <w:bCs w:val="0"/>
                <w:sz w:val="21"/>
                <w:szCs w:val="21"/>
                <w:highlight w:val="yellow"/>
                <w:lang w:val="en-US" w:eastAsia="zh-CN" w:bidi="ar"/>
              </w:rPr>
              <w:t>安全</w:t>
            </w:r>
            <w:r>
              <w:rPr>
                <w:rFonts w:hint="eastAsia" w:ascii="宋体" w:hAnsi="宋体" w:eastAsia="宋体" w:cs="仿宋_GB2312"/>
                <w:b/>
                <w:bCs w:val="0"/>
                <w:sz w:val="21"/>
                <w:szCs w:val="21"/>
                <w:highlight w:val="yellow"/>
                <w:lang w:bidi="ar"/>
              </w:rPr>
              <w:t>施工方案：</w:t>
            </w:r>
            <w:r>
              <w:rPr>
                <w:rFonts w:hint="eastAsia" w:ascii="宋体" w:hAnsi="宋体" w:eastAsia="宋体" w:cs="仿宋_GB2312"/>
                <w:bCs/>
                <w:sz w:val="21"/>
                <w:szCs w:val="21"/>
                <w:highlight w:val="yellow"/>
                <w:lang w:bidi="ar"/>
              </w:rPr>
              <w:t>安全管理网络、施工方式、作业流程、技术方案措施等；</w:t>
            </w:r>
            <w:r>
              <w:rPr>
                <w:rFonts w:ascii="宋体" w:hAnsi="宋体" w:eastAsia="宋体" w:cs="仿宋_GB2312"/>
                <w:bCs/>
                <w:sz w:val="21"/>
                <w:szCs w:val="21"/>
                <w:highlight w:val="yellow"/>
                <w:lang w:bidi="ar"/>
              </w:rPr>
              <w:t xml:space="preserve"> </w:t>
            </w:r>
          </w:p>
          <w:p>
            <w:pPr>
              <w:widowControl/>
              <w:spacing w:line="340" w:lineRule="exact"/>
              <w:jc w:val="left"/>
              <w:rPr>
                <w:rFonts w:ascii="宋体" w:hAnsi="宋体" w:eastAsia="宋体" w:cs="仿宋_GB2312"/>
                <w:bCs/>
                <w:sz w:val="21"/>
                <w:szCs w:val="21"/>
                <w:highlight w:val="yellow"/>
                <w:lang w:bidi="ar"/>
              </w:rPr>
            </w:pPr>
            <w:r>
              <w:rPr>
                <w:rFonts w:hint="eastAsia" w:ascii="宋体" w:hAnsi="宋体" w:eastAsia="宋体" w:cs="仿宋_GB2312"/>
                <w:b/>
                <w:bCs w:val="0"/>
                <w:sz w:val="21"/>
                <w:szCs w:val="21"/>
                <w:highlight w:val="yellow"/>
                <w:lang w:bidi="ar"/>
              </w:rPr>
              <w:t>2、</w:t>
            </w:r>
            <w:r>
              <w:rPr>
                <w:rFonts w:hint="eastAsia" w:ascii="宋体" w:hAnsi="宋体" w:eastAsia="宋体" w:cs="仿宋_GB2312"/>
                <w:b/>
                <w:bCs w:val="0"/>
                <w:sz w:val="21"/>
                <w:szCs w:val="21"/>
                <w:highlight w:val="yellow"/>
                <w:lang w:val="en-US" w:eastAsia="zh-CN" w:bidi="ar"/>
              </w:rPr>
              <w:t>安全</w:t>
            </w:r>
            <w:r>
              <w:rPr>
                <w:rFonts w:hint="eastAsia" w:ascii="宋体" w:hAnsi="宋体" w:eastAsia="宋体" w:cs="仿宋_GB2312"/>
                <w:b/>
                <w:bCs w:val="0"/>
                <w:sz w:val="21"/>
                <w:szCs w:val="21"/>
                <w:highlight w:val="yellow"/>
                <w:lang w:bidi="ar"/>
              </w:rPr>
              <w:t>作业风险分析：</w:t>
            </w:r>
            <w:r>
              <w:rPr>
                <w:rFonts w:hint="eastAsia" w:ascii="宋体" w:hAnsi="宋体" w:eastAsia="宋体" w:cs="仿宋_GB2312"/>
                <w:bCs/>
                <w:sz w:val="21"/>
                <w:szCs w:val="21"/>
                <w:highlight w:val="yellow"/>
                <w:lang w:bidi="ar"/>
              </w:rPr>
              <w:t>即本次作业可能涉及的危险因素（如：噪声、粉尘、有毒物质、作业环境不良等）和事故类型（如物体打击、高处坠落、机械伤害、触电、火灾等），详见GB/T13861和GB4661，风险分析应全面具体。</w:t>
            </w:r>
          </w:p>
          <w:p>
            <w:pPr>
              <w:widowControl/>
              <w:spacing w:line="340" w:lineRule="exact"/>
              <w:jc w:val="left"/>
              <w:rPr>
                <w:rFonts w:ascii="宋体" w:hAnsi="宋体" w:eastAsia="宋体" w:cs="仿宋_GB2312"/>
                <w:bCs/>
                <w:sz w:val="21"/>
                <w:szCs w:val="21"/>
                <w:highlight w:val="yellow"/>
                <w:lang w:bidi="ar"/>
              </w:rPr>
            </w:pPr>
            <w:r>
              <w:rPr>
                <w:rFonts w:hint="eastAsia" w:ascii="宋体" w:hAnsi="宋体" w:eastAsia="宋体" w:cs="仿宋_GB2312"/>
                <w:b/>
                <w:bCs w:val="0"/>
                <w:sz w:val="21"/>
                <w:szCs w:val="21"/>
                <w:highlight w:val="yellow"/>
                <w:lang w:bidi="ar"/>
              </w:rPr>
              <w:t>3、</w:t>
            </w:r>
            <w:r>
              <w:rPr>
                <w:rFonts w:hint="eastAsia" w:ascii="宋体" w:hAnsi="宋体" w:eastAsia="宋体" w:cs="仿宋_GB2312"/>
                <w:b/>
                <w:bCs w:val="0"/>
                <w:sz w:val="21"/>
                <w:szCs w:val="21"/>
                <w:highlight w:val="yellow"/>
                <w:lang w:val="en-US" w:eastAsia="zh-CN" w:bidi="ar"/>
              </w:rPr>
              <w:t>安全</w:t>
            </w:r>
            <w:r>
              <w:rPr>
                <w:rFonts w:hint="eastAsia" w:ascii="宋体" w:hAnsi="宋体" w:eastAsia="宋体" w:cs="仿宋_GB2312"/>
                <w:b/>
                <w:bCs w:val="0"/>
                <w:sz w:val="21"/>
                <w:szCs w:val="21"/>
                <w:highlight w:val="yellow"/>
                <w:lang w:bidi="ar"/>
              </w:rPr>
              <w:t>风险防控措施：</w:t>
            </w:r>
            <w:r>
              <w:rPr>
                <w:rFonts w:hint="eastAsia" w:ascii="宋体" w:hAnsi="宋体" w:eastAsia="宋体" w:cs="仿宋_GB2312"/>
                <w:bCs/>
                <w:sz w:val="21"/>
                <w:szCs w:val="21"/>
                <w:highlight w:val="yellow"/>
                <w:lang w:bidi="ar"/>
              </w:rPr>
              <w:t>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pPr>
              <w:widowControl/>
              <w:spacing w:line="340" w:lineRule="exact"/>
              <w:jc w:val="left"/>
              <w:rPr>
                <w:rFonts w:hint="eastAsia" w:ascii="宋体" w:hAnsi="宋体" w:eastAsia="宋体" w:cs="仿宋_GB2312"/>
                <w:bCs/>
                <w:sz w:val="21"/>
                <w:szCs w:val="21"/>
                <w:highlight w:val="yellow"/>
                <w:lang w:bidi="ar"/>
              </w:rPr>
            </w:pPr>
            <w:r>
              <w:rPr>
                <w:rFonts w:hint="eastAsia" w:ascii="宋体" w:hAnsi="宋体" w:eastAsia="宋体" w:cs="仿宋_GB2312"/>
                <w:b/>
                <w:bCs w:val="0"/>
                <w:sz w:val="21"/>
                <w:szCs w:val="21"/>
                <w:highlight w:val="yellow"/>
                <w:lang w:bidi="ar"/>
              </w:rPr>
              <w:t>4、</w:t>
            </w:r>
            <w:r>
              <w:rPr>
                <w:rFonts w:hint="eastAsia" w:ascii="宋体" w:hAnsi="宋体" w:eastAsia="宋体" w:cs="仿宋_GB2312"/>
                <w:b/>
                <w:bCs w:val="0"/>
                <w:sz w:val="21"/>
                <w:szCs w:val="21"/>
                <w:highlight w:val="yellow"/>
                <w:lang w:val="en-US" w:eastAsia="zh-CN" w:bidi="ar"/>
              </w:rPr>
              <w:t>安全</w:t>
            </w:r>
            <w:r>
              <w:rPr>
                <w:rFonts w:hint="eastAsia" w:ascii="宋体" w:hAnsi="宋体" w:eastAsia="宋体" w:cs="仿宋_GB2312"/>
                <w:b/>
                <w:bCs w:val="0"/>
                <w:sz w:val="21"/>
                <w:szCs w:val="21"/>
                <w:highlight w:val="yellow"/>
                <w:lang w:bidi="ar"/>
              </w:rPr>
              <w:t>应急处置措施：</w:t>
            </w:r>
            <w:r>
              <w:rPr>
                <w:rFonts w:hint="eastAsia" w:ascii="宋体" w:hAnsi="宋体" w:eastAsia="宋体" w:cs="仿宋_GB2312"/>
                <w:bCs/>
                <w:sz w:val="21"/>
                <w:szCs w:val="21"/>
                <w:highlight w:val="yellow"/>
                <w:lang w:bidi="ar"/>
              </w:rPr>
              <w:t>即发生事故后的应急处置措施，如何抢救伤者、如何逃离、如何扑灭初起火灾、如何进行事故报告等。</w:t>
            </w:r>
          </w:p>
          <w:p>
            <w:pPr>
              <w:widowControl/>
              <w:spacing w:line="340" w:lineRule="exact"/>
              <w:jc w:val="left"/>
              <w:rPr>
                <w:rFonts w:hint="eastAsia" w:ascii="宋体" w:hAnsi="宋体" w:eastAsia="宋体" w:cs="仿宋_GB2312"/>
                <w:b/>
                <w:bCs w:val="0"/>
                <w:sz w:val="21"/>
                <w:szCs w:val="21"/>
                <w:highlight w:val="yellow"/>
                <w:lang w:val="en-US" w:eastAsia="zh-CN" w:bidi="ar"/>
              </w:rPr>
            </w:pPr>
            <w:r>
              <w:rPr>
                <w:rFonts w:hint="eastAsia" w:ascii="宋体" w:hAnsi="宋体" w:eastAsia="宋体" w:cs="仿宋_GB2312"/>
                <w:b/>
                <w:bCs w:val="0"/>
                <w:sz w:val="21"/>
                <w:szCs w:val="21"/>
                <w:highlight w:val="yellow"/>
                <w:lang w:val="en-US" w:eastAsia="zh-CN" w:bidi="ar"/>
              </w:rPr>
              <w:t>环保施工（作业）方案：</w:t>
            </w:r>
          </w:p>
          <w:p>
            <w:pPr>
              <w:widowControl/>
              <w:spacing w:line="340" w:lineRule="exact"/>
              <w:jc w:val="left"/>
              <w:rPr>
                <w:rFonts w:hint="default" w:ascii="宋体" w:hAnsi="宋体" w:eastAsia="宋体" w:cs="仿宋_GB2312"/>
                <w:b/>
                <w:bCs w:val="0"/>
                <w:sz w:val="21"/>
                <w:szCs w:val="21"/>
                <w:highlight w:val="yellow"/>
                <w:lang w:val="en-US" w:eastAsia="zh-CN" w:bidi="ar"/>
              </w:rPr>
            </w:pPr>
            <w:r>
              <w:rPr>
                <w:rFonts w:hint="eastAsia" w:ascii="宋体" w:hAnsi="宋体" w:eastAsia="宋体" w:cs="仿宋_GB2312"/>
                <w:b/>
                <w:bCs w:val="0"/>
                <w:sz w:val="21"/>
                <w:szCs w:val="21"/>
                <w:highlight w:val="yellow"/>
                <w:lang w:val="en-US" w:eastAsia="zh-CN" w:bidi="ar"/>
              </w:rPr>
              <w:t>1、环保作业风险分析：</w:t>
            </w:r>
            <w:r>
              <w:rPr>
                <w:rFonts w:hint="eastAsia" w:ascii="宋体" w:hAnsi="宋体" w:eastAsia="宋体" w:cs="仿宋_GB2312"/>
                <w:bCs/>
                <w:sz w:val="21"/>
                <w:szCs w:val="21"/>
                <w:highlight w:val="yellow"/>
                <w:lang w:bidi="ar"/>
              </w:rPr>
              <w:t>即本次作业可能涉及的</w:t>
            </w:r>
            <w:r>
              <w:rPr>
                <w:rFonts w:hint="eastAsia" w:ascii="宋体" w:hAnsi="宋体" w:eastAsia="宋体" w:cs="仿宋_GB2312"/>
                <w:bCs/>
                <w:sz w:val="21"/>
                <w:szCs w:val="21"/>
                <w:highlight w:val="yellow"/>
                <w:lang w:val="en-US" w:eastAsia="zh-CN" w:bidi="ar"/>
              </w:rPr>
              <w:t>环境污染</w:t>
            </w:r>
            <w:r>
              <w:rPr>
                <w:rFonts w:hint="eastAsia" w:ascii="宋体" w:hAnsi="宋体" w:eastAsia="宋体" w:cs="仿宋_GB2312"/>
                <w:bCs/>
                <w:sz w:val="21"/>
                <w:szCs w:val="21"/>
                <w:highlight w:val="yellow"/>
                <w:lang w:bidi="ar"/>
              </w:rPr>
              <w:t>因素（如：</w:t>
            </w:r>
            <w:r>
              <w:rPr>
                <w:rFonts w:hint="eastAsia" w:ascii="宋体" w:hAnsi="宋体" w:eastAsia="宋体" w:cs="仿宋_GB2312"/>
                <w:bCs/>
                <w:sz w:val="21"/>
                <w:szCs w:val="21"/>
                <w:highlight w:val="yellow"/>
                <w:lang w:val="en-US" w:eastAsia="zh-CN" w:bidi="ar"/>
              </w:rPr>
              <w:t>环保设施破坏、无组织排放</w:t>
            </w:r>
            <w:r>
              <w:rPr>
                <w:rFonts w:hint="eastAsia" w:ascii="宋体" w:hAnsi="宋体" w:eastAsia="宋体" w:cs="仿宋_GB2312"/>
                <w:bCs/>
                <w:sz w:val="21"/>
                <w:szCs w:val="21"/>
                <w:highlight w:val="yellow"/>
                <w:lang w:bidi="ar"/>
              </w:rPr>
              <w:t>、</w:t>
            </w:r>
            <w:r>
              <w:rPr>
                <w:rFonts w:hint="eastAsia" w:ascii="宋体" w:hAnsi="宋体" w:eastAsia="宋体" w:cs="仿宋_GB2312"/>
                <w:bCs/>
                <w:sz w:val="21"/>
                <w:szCs w:val="21"/>
                <w:highlight w:val="yellow"/>
                <w:lang w:val="en-US" w:eastAsia="zh-CN" w:bidi="ar"/>
              </w:rPr>
              <w:t>跑冒滴漏</w:t>
            </w:r>
            <w:r>
              <w:rPr>
                <w:rFonts w:hint="eastAsia" w:ascii="宋体" w:hAnsi="宋体" w:eastAsia="宋体" w:cs="仿宋_GB2312"/>
                <w:bCs/>
                <w:sz w:val="21"/>
                <w:szCs w:val="21"/>
                <w:highlight w:val="yellow"/>
                <w:lang w:bidi="ar"/>
              </w:rPr>
              <w:t>、</w:t>
            </w:r>
            <w:r>
              <w:rPr>
                <w:rFonts w:hint="eastAsia" w:ascii="宋体" w:hAnsi="宋体" w:eastAsia="宋体" w:cs="仿宋_GB2312"/>
                <w:bCs/>
                <w:sz w:val="21"/>
                <w:szCs w:val="21"/>
                <w:highlight w:val="yellow"/>
                <w:lang w:val="en-US" w:eastAsia="zh-CN" w:bidi="ar"/>
              </w:rPr>
              <w:t>废弃物</w:t>
            </w:r>
            <w:r>
              <w:rPr>
                <w:rFonts w:hint="eastAsia" w:ascii="宋体" w:hAnsi="宋体" w:eastAsia="宋体" w:cs="仿宋_GB2312"/>
                <w:bCs/>
                <w:sz w:val="21"/>
                <w:szCs w:val="21"/>
                <w:highlight w:val="yellow"/>
                <w:lang w:bidi="ar"/>
              </w:rPr>
              <w:t>、作业</w:t>
            </w:r>
            <w:r>
              <w:rPr>
                <w:rFonts w:hint="eastAsia" w:ascii="宋体" w:hAnsi="宋体" w:eastAsia="宋体" w:cs="仿宋_GB2312"/>
                <w:bCs/>
                <w:sz w:val="21"/>
                <w:szCs w:val="21"/>
                <w:highlight w:val="yellow"/>
                <w:lang w:val="en-US" w:eastAsia="zh-CN" w:bidi="ar"/>
              </w:rPr>
              <w:t>或运输设备环保不达标</w:t>
            </w:r>
            <w:r>
              <w:rPr>
                <w:rFonts w:hint="eastAsia" w:ascii="宋体" w:hAnsi="宋体" w:eastAsia="宋体" w:cs="仿宋_GB2312"/>
                <w:bCs/>
                <w:sz w:val="21"/>
                <w:szCs w:val="21"/>
                <w:highlight w:val="yellow"/>
                <w:lang w:bidi="ar"/>
              </w:rPr>
              <w:t>等）和</w:t>
            </w:r>
            <w:r>
              <w:rPr>
                <w:rFonts w:hint="eastAsia" w:ascii="宋体" w:hAnsi="宋体" w:eastAsia="宋体" w:cs="仿宋_GB2312"/>
                <w:bCs/>
                <w:sz w:val="21"/>
                <w:szCs w:val="21"/>
                <w:highlight w:val="yellow"/>
                <w:lang w:val="en-US" w:eastAsia="zh-CN" w:bidi="ar"/>
              </w:rPr>
              <w:t>环境</w:t>
            </w:r>
            <w:r>
              <w:rPr>
                <w:rFonts w:hint="eastAsia" w:ascii="宋体" w:hAnsi="宋体" w:eastAsia="宋体" w:cs="仿宋_GB2312"/>
                <w:bCs/>
                <w:sz w:val="21"/>
                <w:szCs w:val="21"/>
                <w:highlight w:val="yellow"/>
                <w:lang w:bidi="ar"/>
              </w:rPr>
              <w:t>事故类型（如物</w:t>
            </w:r>
            <w:r>
              <w:rPr>
                <w:rFonts w:hint="eastAsia" w:ascii="宋体" w:hAnsi="宋体" w:eastAsia="宋体" w:cs="仿宋_GB2312"/>
                <w:bCs/>
                <w:sz w:val="21"/>
                <w:szCs w:val="21"/>
                <w:highlight w:val="yellow"/>
                <w:lang w:val="en-US" w:eastAsia="zh-CN" w:bidi="ar"/>
              </w:rPr>
              <w:t>无组织排放、危废存储处置不规范</w:t>
            </w:r>
            <w:r>
              <w:rPr>
                <w:rFonts w:hint="eastAsia" w:ascii="宋体" w:hAnsi="宋体" w:eastAsia="宋体" w:cs="仿宋_GB2312"/>
                <w:bCs/>
                <w:sz w:val="21"/>
                <w:szCs w:val="21"/>
                <w:highlight w:val="yellow"/>
                <w:lang w:bidi="ar"/>
              </w:rPr>
              <w:t>等），详见</w:t>
            </w:r>
            <w:r>
              <w:rPr>
                <w:rFonts w:hint="eastAsia" w:ascii="宋体" w:hAnsi="宋体" w:eastAsia="宋体" w:cs="仿宋_GB2312"/>
                <w:bCs/>
                <w:sz w:val="21"/>
                <w:szCs w:val="21"/>
                <w:highlight w:val="yellow"/>
                <w:lang w:eastAsia="zh-CN" w:bidi="ar"/>
              </w:rPr>
              <w:t>HJ847</w:t>
            </w:r>
            <w:r>
              <w:rPr>
                <w:rFonts w:hint="eastAsia" w:ascii="宋体" w:hAnsi="宋体" w:eastAsia="宋体" w:cs="仿宋_GB2312"/>
                <w:bCs/>
                <w:sz w:val="21"/>
                <w:szCs w:val="21"/>
                <w:highlight w:val="yellow"/>
                <w:lang w:bidi="ar"/>
              </w:rPr>
              <w:t>号和GB18597，风险分析应全面具体。</w:t>
            </w:r>
          </w:p>
          <w:p>
            <w:pPr>
              <w:widowControl/>
              <w:spacing w:line="340" w:lineRule="exact"/>
              <w:jc w:val="left"/>
              <w:rPr>
                <w:rFonts w:hint="eastAsia" w:ascii="宋体" w:hAnsi="宋体" w:eastAsia="宋体" w:cs="仿宋_GB2312"/>
                <w:b/>
                <w:bCs w:val="0"/>
                <w:sz w:val="21"/>
                <w:szCs w:val="21"/>
                <w:highlight w:val="yellow"/>
                <w:lang w:val="en-US" w:eastAsia="zh-CN" w:bidi="ar"/>
              </w:rPr>
            </w:pPr>
            <w:r>
              <w:rPr>
                <w:rFonts w:hint="eastAsia" w:ascii="宋体" w:hAnsi="宋体" w:eastAsia="宋体" w:cs="仿宋_GB2312"/>
                <w:b/>
                <w:bCs w:val="0"/>
                <w:sz w:val="21"/>
                <w:szCs w:val="21"/>
                <w:highlight w:val="yellow"/>
                <w:lang w:val="en-US" w:eastAsia="zh-CN" w:bidi="ar"/>
              </w:rPr>
              <w:t>2</w:t>
            </w:r>
            <w:r>
              <w:rPr>
                <w:rFonts w:hint="eastAsia" w:ascii="宋体" w:hAnsi="宋体" w:eastAsia="宋体" w:cs="仿宋_GB2312"/>
                <w:b/>
                <w:bCs w:val="0"/>
                <w:sz w:val="21"/>
                <w:szCs w:val="21"/>
                <w:highlight w:val="yellow"/>
                <w:lang w:bidi="ar"/>
              </w:rPr>
              <w:t>、</w:t>
            </w:r>
            <w:r>
              <w:rPr>
                <w:rFonts w:hint="eastAsia" w:ascii="宋体" w:hAnsi="宋体" w:eastAsia="宋体" w:cs="仿宋_GB2312"/>
                <w:b/>
                <w:bCs w:val="0"/>
                <w:sz w:val="21"/>
                <w:szCs w:val="21"/>
                <w:highlight w:val="yellow"/>
                <w:lang w:val="en-US" w:eastAsia="zh-CN" w:bidi="ar"/>
              </w:rPr>
              <w:t>环保</w:t>
            </w:r>
            <w:r>
              <w:rPr>
                <w:rFonts w:hint="eastAsia" w:ascii="宋体" w:hAnsi="宋体" w:eastAsia="宋体" w:cs="仿宋_GB2312"/>
                <w:b/>
                <w:bCs w:val="0"/>
                <w:sz w:val="21"/>
                <w:szCs w:val="21"/>
                <w:highlight w:val="yellow"/>
                <w:lang w:bidi="ar"/>
              </w:rPr>
              <w:t>风险防控措施：</w:t>
            </w:r>
            <w:r>
              <w:rPr>
                <w:rFonts w:hint="eastAsia" w:ascii="宋体" w:hAnsi="宋体" w:eastAsia="宋体" w:cs="仿宋_GB2312"/>
                <w:bCs/>
                <w:sz w:val="21"/>
                <w:szCs w:val="21"/>
                <w:highlight w:val="yellow"/>
                <w:lang w:bidi="ar"/>
              </w:rPr>
              <w:t>即作业风险的控制措施，为了改善</w:t>
            </w:r>
            <w:r>
              <w:rPr>
                <w:rFonts w:hint="eastAsia" w:ascii="宋体" w:hAnsi="宋体" w:eastAsia="宋体" w:cs="仿宋_GB2312"/>
                <w:bCs/>
                <w:sz w:val="21"/>
                <w:szCs w:val="21"/>
                <w:highlight w:val="yellow"/>
                <w:lang w:val="en-US" w:eastAsia="zh-CN" w:bidi="ar"/>
              </w:rPr>
              <w:t>施工作业</w:t>
            </w:r>
            <w:r>
              <w:rPr>
                <w:rFonts w:hint="eastAsia" w:ascii="宋体" w:hAnsi="宋体" w:eastAsia="宋体" w:cs="仿宋_GB2312"/>
                <w:bCs/>
                <w:sz w:val="21"/>
                <w:szCs w:val="21"/>
                <w:highlight w:val="yellow"/>
                <w:lang w:bidi="ar"/>
              </w:rPr>
              <w:t>环境，减少和杜绝</w:t>
            </w:r>
            <w:r>
              <w:rPr>
                <w:rFonts w:hint="eastAsia" w:ascii="宋体" w:hAnsi="宋体" w:eastAsia="宋体" w:cs="仿宋_GB2312"/>
                <w:bCs/>
                <w:sz w:val="21"/>
                <w:szCs w:val="21"/>
                <w:highlight w:val="yellow"/>
                <w:lang w:val="en-US" w:eastAsia="zh-CN" w:bidi="ar"/>
              </w:rPr>
              <w:t>环境污染</w:t>
            </w:r>
            <w:r>
              <w:rPr>
                <w:rFonts w:hint="eastAsia" w:ascii="宋体" w:hAnsi="宋体" w:eastAsia="宋体" w:cs="仿宋_GB2312"/>
                <w:bCs/>
                <w:sz w:val="21"/>
                <w:szCs w:val="21"/>
                <w:highlight w:val="yellow"/>
                <w:lang w:bidi="ar"/>
              </w:rPr>
              <w:t>事故的发生而采取的一系列措施和规定。如：</w:t>
            </w:r>
            <w:r>
              <w:rPr>
                <w:rFonts w:hint="eastAsia" w:ascii="宋体" w:hAnsi="宋体" w:eastAsia="宋体" w:cs="仿宋_GB2312"/>
                <w:bCs/>
                <w:sz w:val="21"/>
                <w:szCs w:val="21"/>
                <w:highlight w:val="yellow"/>
                <w:lang w:val="en-US" w:eastAsia="zh-CN" w:bidi="ar"/>
              </w:rPr>
              <w:t>配置必要环保设备、涉及粉尘或电焊作业配置烟尘收集设施、施工现场围挡隔离、土方开挖苫盖、使用环保达标设备</w:t>
            </w:r>
            <w:r>
              <w:rPr>
                <w:rFonts w:hint="eastAsia" w:ascii="宋体" w:hAnsi="宋体" w:eastAsia="宋体" w:cs="仿宋_GB2312"/>
                <w:bCs/>
                <w:sz w:val="21"/>
                <w:szCs w:val="21"/>
                <w:highlight w:val="yellow"/>
                <w:lang w:bidi="ar"/>
              </w:rPr>
              <w:t>等。</w:t>
            </w:r>
          </w:p>
          <w:p>
            <w:pPr>
              <w:widowControl/>
              <w:spacing w:line="340" w:lineRule="exact"/>
              <w:jc w:val="left"/>
              <w:rPr>
                <w:rFonts w:hint="default" w:ascii="宋体" w:hAnsi="宋体" w:eastAsia="宋体" w:cs="仿宋_GB2312"/>
                <w:bCs/>
                <w:sz w:val="21"/>
                <w:szCs w:val="21"/>
                <w:highlight w:val="yellow"/>
                <w:lang w:val="en-US" w:eastAsia="zh-CN" w:bidi="ar"/>
              </w:rPr>
            </w:pPr>
            <w:r>
              <w:rPr>
                <w:rFonts w:hint="eastAsia" w:ascii="宋体" w:hAnsi="宋体" w:eastAsia="宋体" w:cs="仿宋_GB2312"/>
                <w:b/>
                <w:bCs w:val="0"/>
                <w:sz w:val="21"/>
                <w:szCs w:val="21"/>
                <w:highlight w:val="yellow"/>
                <w:lang w:val="en-US" w:eastAsia="zh-CN" w:bidi="ar"/>
              </w:rPr>
              <w:t>3、环保应急处置措施：</w:t>
            </w:r>
            <w:r>
              <w:rPr>
                <w:rFonts w:hint="eastAsia" w:ascii="宋体" w:hAnsi="宋体" w:eastAsia="宋体" w:cs="仿宋_GB2312"/>
                <w:bCs/>
                <w:sz w:val="21"/>
                <w:szCs w:val="21"/>
                <w:highlight w:val="yellow"/>
                <w:lang w:bidi="ar"/>
              </w:rPr>
              <w:t>即发</w:t>
            </w:r>
            <w:r>
              <w:rPr>
                <w:rFonts w:hint="eastAsia" w:ascii="宋体" w:hAnsi="宋体" w:eastAsia="宋体" w:cs="仿宋_GB2312"/>
                <w:bCs/>
                <w:sz w:val="21"/>
                <w:szCs w:val="21"/>
                <w:highlight w:val="yellow"/>
                <w:lang w:val="en-US" w:eastAsia="zh-CN" w:bidi="ar"/>
              </w:rPr>
              <w:t>生环境污染事</w:t>
            </w:r>
            <w:r>
              <w:rPr>
                <w:rFonts w:hint="eastAsia" w:ascii="宋体" w:hAnsi="宋体" w:eastAsia="宋体" w:cs="仿宋_GB2312"/>
                <w:bCs/>
                <w:sz w:val="21"/>
                <w:szCs w:val="21"/>
                <w:highlight w:val="yellow"/>
                <w:lang w:bidi="ar"/>
              </w:rPr>
              <w:t>故后的应急处置措施，如何</w:t>
            </w:r>
            <w:r>
              <w:rPr>
                <w:rFonts w:hint="eastAsia" w:ascii="宋体" w:hAnsi="宋体" w:eastAsia="宋体" w:cs="仿宋_GB2312"/>
                <w:bCs/>
                <w:sz w:val="21"/>
                <w:szCs w:val="21"/>
                <w:highlight w:val="yellow"/>
                <w:lang w:val="en-US" w:eastAsia="zh-CN" w:bidi="ar"/>
              </w:rPr>
              <w:t>清理现场无组织排放痕迹、危废处置措施；污染天气预警相应措施；</w:t>
            </w:r>
            <w:r>
              <w:rPr>
                <w:rFonts w:hint="eastAsia" w:ascii="宋体" w:hAnsi="宋体" w:eastAsia="宋体" w:cs="仿宋_GB2312"/>
                <w:bCs/>
                <w:sz w:val="21"/>
                <w:szCs w:val="21"/>
                <w:highlight w:val="yellow"/>
                <w:lang w:bidi="ar"/>
              </w:rPr>
              <w:t>如何进行事故报告等。</w:t>
            </w:r>
          </w:p>
        </w:tc>
        <w:tc>
          <w:tcPr>
            <w:tcW w:w="1155" w:type="dxa"/>
            <w:tcBorders>
              <w:tl2br w:val="nil"/>
              <w:tr2bl w:val="nil"/>
            </w:tcBorders>
            <w:shd w:val="clear" w:color="auto" w:fill="auto"/>
            <w:vAlign w:val="center"/>
          </w:tcPr>
          <w:p>
            <w:pPr>
              <w:widowControl/>
              <w:spacing w:line="340" w:lineRule="exact"/>
              <w:jc w:val="left"/>
              <w:rPr>
                <w:rFonts w:hint="default" w:ascii="宋体" w:hAnsi="宋体" w:eastAsia="宋体" w:cs="仿宋_GB2312"/>
                <w:bCs/>
                <w:sz w:val="21"/>
                <w:szCs w:val="21"/>
                <w:highlight w:val="yellow"/>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5"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10</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项目负责人、拟进场专（兼）职安全管理人员的证书及特种作业人员操作证</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1、项目负责人、安全管理人员培训合格证明必须真实有效，且在有效期内，加盖单位公章。提供的安全管理人员必须在本次作业人员名单中，并负责现场安全。2、特种作业人员操作证有效。</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0"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11</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拟进场作业人员清单及身份证件</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人员信息包括姓名、性别、出生年月、文化程度、所在岗位和资格证书、血型、健康状况、保险有效期等。作业人员年龄必须符合《劳动法》要求，</w:t>
            </w:r>
            <w:r>
              <w:rPr>
                <w:rFonts w:hint="eastAsia" w:ascii="宋体" w:hAnsi="宋体" w:eastAsia="宋体" w:cs="仿宋_GB2312"/>
                <w:bCs/>
                <w:sz w:val="21"/>
                <w:szCs w:val="21"/>
                <w:lang w:val="en-US" w:eastAsia="zh-CN" w:bidi="ar"/>
              </w:rPr>
              <w:t>普工年龄男</w:t>
            </w:r>
            <w:bookmarkStart w:id="0" w:name="_GoBack"/>
            <w:bookmarkEnd w:id="0"/>
            <w:r>
              <w:rPr>
                <w:rFonts w:hint="eastAsia" w:ascii="宋体" w:hAnsi="宋体" w:eastAsia="宋体" w:cs="仿宋_GB2312"/>
                <w:bCs/>
                <w:sz w:val="21"/>
                <w:szCs w:val="21"/>
                <w:lang w:val="en-US" w:eastAsia="zh-CN" w:bidi="ar"/>
              </w:rPr>
              <w:t>不得大于60周岁、女不得大于50周岁；</w:t>
            </w:r>
            <w:r>
              <w:rPr>
                <w:rFonts w:hint="eastAsia" w:ascii="宋体" w:hAnsi="宋体" w:eastAsia="宋体" w:cs="仿宋_GB2312"/>
                <w:bCs/>
                <w:sz w:val="21"/>
                <w:szCs w:val="21"/>
                <w:lang w:bidi="ar"/>
              </w:rPr>
              <w:t>对年龄有特殊规定的，按照规定执行，如清库作业为21～50周岁。</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88"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12</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hint="default" w:ascii="宋体" w:hAnsi="宋体" w:eastAsia="宋体" w:cs="仿宋_GB2312"/>
                <w:bCs/>
                <w:sz w:val="21"/>
                <w:szCs w:val="21"/>
                <w:highlight w:val="yellow"/>
                <w:lang w:val="en-US" w:eastAsia="zh-CN" w:bidi="ar"/>
              </w:rPr>
            </w:pPr>
            <w:r>
              <w:rPr>
                <w:rFonts w:hint="eastAsia" w:ascii="宋体" w:hAnsi="宋体" w:eastAsia="宋体" w:cs="仿宋_GB2312"/>
                <w:bCs/>
                <w:sz w:val="21"/>
                <w:szCs w:val="21"/>
                <w:highlight w:val="yellow"/>
                <w:lang w:val="en-US" w:eastAsia="zh-CN" w:bidi="ar"/>
              </w:rPr>
              <w:t>全体项目人员的安全、环保教育培训考核记录</w:t>
            </w:r>
          </w:p>
        </w:tc>
        <w:tc>
          <w:tcPr>
            <w:tcW w:w="7080"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highlight w:val="yellow"/>
                <w:lang w:val="en-US" w:eastAsia="zh-CN" w:bidi="ar"/>
              </w:rPr>
            </w:pPr>
            <w:r>
              <w:rPr>
                <w:rFonts w:hint="eastAsia" w:ascii="宋体" w:hAnsi="宋体" w:eastAsia="宋体" w:cs="仿宋_GB2312"/>
                <w:b/>
                <w:bCs w:val="0"/>
                <w:sz w:val="21"/>
                <w:szCs w:val="21"/>
                <w:highlight w:val="yellow"/>
                <w:lang w:val="en-US" w:eastAsia="zh-CN" w:bidi="ar"/>
              </w:rPr>
              <w:t>安全培训：</w:t>
            </w:r>
            <w:r>
              <w:rPr>
                <w:rFonts w:hint="eastAsia" w:ascii="宋体" w:hAnsi="宋体" w:eastAsia="宋体" w:cs="仿宋_GB2312"/>
                <w:bCs/>
                <w:sz w:val="21"/>
                <w:szCs w:val="21"/>
                <w:highlight w:val="yellow"/>
                <w:lang w:val="en-US" w:eastAsia="zh-CN" w:bidi="ar"/>
              </w:rPr>
              <w:t>提供每名进场作业人员安全培训记录（签到表、培训照片、培训内容）、考试试卷（考试内容为外包项目相关的安全知识）。</w:t>
            </w:r>
          </w:p>
          <w:p>
            <w:pPr>
              <w:widowControl/>
              <w:spacing w:line="340" w:lineRule="exact"/>
              <w:jc w:val="left"/>
              <w:rPr>
                <w:rFonts w:hint="default" w:ascii="宋体" w:hAnsi="宋体" w:eastAsia="宋体" w:cs="仿宋_GB2312"/>
                <w:bCs/>
                <w:sz w:val="21"/>
                <w:szCs w:val="21"/>
                <w:highlight w:val="yellow"/>
                <w:lang w:val="en-US" w:eastAsia="zh-CN" w:bidi="ar"/>
              </w:rPr>
            </w:pPr>
            <w:r>
              <w:rPr>
                <w:rFonts w:hint="eastAsia" w:ascii="宋体" w:hAnsi="宋体" w:eastAsia="宋体" w:cs="仿宋_GB2312"/>
                <w:b/>
                <w:bCs w:val="0"/>
                <w:sz w:val="21"/>
                <w:szCs w:val="21"/>
                <w:highlight w:val="yellow"/>
                <w:lang w:val="en-US" w:eastAsia="zh-CN" w:bidi="ar"/>
              </w:rPr>
              <w:t>环保培训：</w:t>
            </w:r>
            <w:r>
              <w:rPr>
                <w:rFonts w:hint="eastAsia" w:ascii="宋体" w:hAnsi="宋体" w:eastAsia="宋体" w:cs="仿宋_GB2312"/>
                <w:bCs/>
                <w:sz w:val="21"/>
                <w:szCs w:val="21"/>
                <w:highlight w:val="yellow"/>
                <w:lang w:val="en-US" w:eastAsia="zh-CN" w:bidi="ar"/>
              </w:rPr>
              <w:t>提供每名进场作业人员环保培训记录（《外委单位环保管理办法》《环保施工（作业）方案》培训签到表、培训照片）、考试试卷（考试内容为外包项目相关的环保知识）。</w:t>
            </w:r>
          </w:p>
          <w:p>
            <w:pPr>
              <w:widowControl/>
              <w:spacing w:line="340" w:lineRule="exact"/>
              <w:jc w:val="left"/>
              <w:rPr>
                <w:rFonts w:hint="default" w:ascii="宋体" w:hAnsi="宋体" w:eastAsia="宋体" w:cs="仿宋_GB2312"/>
                <w:bCs/>
                <w:sz w:val="21"/>
                <w:szCs w:val="21"/>
                <w:highlight w:val="yellow"/>
                <w:lang w:val="en-US" w:eastAsia="zh-CN" w:bidi="ar"/>
              </w:rPr>
            </w:pPr>
            <w:r>
              <w:rPr>
                <w:rFonts w:hint="eastAsia" w:ascii="宋体" w:hAnsi="宋体" w:eastAsia="宋体" w:cs="仿宋_GB2312"/>
                <w:b/>
                <w:bCs w:val="0"/>
                <w:sz w:val="21"/>
                <w:szCs w:val="21"/>
                <w:highlight w:val="yellow"/>
                <w:lang w:val="en-US" w:eastAsia="zh-CN" w:bidi="ar"/>
              </w:rPr>
              <w:t>要求：</w:t>
            </w:r>
            <w:r>
              <w:rPr>
                <w:rFonts w:hint="eastAsia" w:ascii="宋体" w:hAnsi="宋体" w:eastAsia="宋体" w:cs="仿宋_GB2312"/>
                <w:bCs/>
                <w:sz w:val="21"/>
                <w:szCs w:val="21"/>
                <w:highlight w:val="yellow"/>
                <w:lang w:val="en-US" w:eastAsia="zh-CN" w:bidi="ar"/>
              </w:rPr>
              <w:t>必须本人答题，不得出现代答代签、替考问题，得分、判分有效，不得随意涂改；加盖公司公章。</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
                <w:bCs w:val="0"/>
                <w:sz w:val="21"/>
                <w:szCs w:val="21"/>
                <w:highlight w:val="yellow"/>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5"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13</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hint="default" w:ascii="宋体" w:hAnsi="宋体" w:eastAsia="宋体" w:cs="仿宋_GB2312"/>
                <w:bCs/>
                <w:sz w:val="21"/>
                <w:szCs w:val="21"/>
                <w:lang w:val="en-US" w:eastAsia="zh-CN" w:bidi="ar"/>
              </w:rPr>
            </w:pPr>
            <w:r>
              <w:rPr>
                <w:rFonts w:hint="eastAsia" w:ascii="宋体" w:hAnsi="宋体" w:eastAsia="宋体" w:cs="仿宋_GB2312"/>
                <w:bCs/>
                <w:sz w:val="21"/>
                <w:szCs w:val="21"/>
                <w:lang w:bidi="ar"/>
              </w:rPr>
              <w:t>涉及职业</w:t>
            </w:r>
            <w:r>
              <w:rPr>
                <w:rFonts w:hint="eastAsia" w:ascii="宋体" w:hAnsi="宋体" w:eastAsia="宋体" w:cs="仿宋_GB2312"/>
                <w:bCs/>
                <w:sz w:val="21"/>
                <w:szCs w:val="21"/>
                <w:lang w:val="en-US" w:eastAsia="zh-CN" w:bidi="ar"/>
              </w:rPr>
              <w:t>职业禁忌作业人员的健康体检证明</w:t>
            </w:r>
          </w:p>
        </w:tc>
        <w:tc>
          <w:tcPr>
            <w:tcW w:w="7080" w:type="dxa"/>
            <w:tcBorders>
              <w:tl2br w:val="nil"/>
              <w:tr2bl w:val="nil"/>
            </w:tcBorders>
            <w:shd w:val="clear" w:color="auto" w:fill="auto"/>
            <w:vAlign w:val="center"/>
          </w:tcPr>
          <w:p>
            <w:pPr>
              <w:widowControl/>
              <w:spacing w:line="340" w:lineRule="exact"/>
              <w:jc w:val="left"/>
              <w:rPr>
                <w:rFonts w:hint="default" w:ascii="宋体" w:hAnsi="宋体" w:eastAsia="宋体" w:cs="仿宋_GB2312"/>
                <w:bCs/>
                <w:sz w:val="21"/>
                <w:szCs w:val="21"/>
                <w:lang w:val="en-US" w:eastAsia="zh-CN" w:bidi="ar"/>
              </w:rPr>
            </w:pPr>
            <w:r>
              <w:rPr>
                <w:rFonts w:hint="eastAsia" w:ascii="宋体" w:hAnsi="宋体" w:eastAsia="宋体" w:cs="仿宋_GB2312"/>
                <w:bCs/>
                <w:sz w:val="21"/>
                <w:szCs w:val="21"/>
                <w:lang w:val="en-US" w:eastAsia="zh-CN" w:bidi="ar"/>
              </w:rPr>
              <w:t>对电工、焊工等特种作业人员要提供由县级以上医院开具的体检报告原件及复印件。</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w:t>
            </w:r>
            <w:r>
              <w:rPr>
                <w:rFonts w:hint="eastAsia" w:ascii="宋体" w:hAnsi="宋体" w:eastAsia="宋体" w:cs="仿宋_GB2312"/>
                <w:bCs/>
                <w:sz w:val="21"/>
                <w:szCs w:val="21"/>
                <w:lang w:val="en-US" w:eastAsia="zh-CN" w:bidi="ar"/>
              </w:rPr>
              <w:t>4</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拟进场作业人员缴纳工伤保险或人身意外伤害险证明</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1、提供的保险证明需由社保局或保险公司提供，并有社保局或保险公司印章。2、人身意外伤害险</w:t>
            </w:r>
            <w:r>
              <w:rPr>
                <w:rFonts w:hint="eastAsia" w:ascii="宋体" w:hAnsi="宋体" w:eastAsia="宋体" w:cs="仿宋_GB2312"/>
                <w:b/>
                <w:bCs w:val="0"/>
                <w:sz w:val="21"/>
                <w:szCs w:val="21"/>
                <w:lang w:bidi="ar"/>
              </w:rPr>
              <w:t>保额不应低于工伤保险一次性工亡补助金</w:t>
            </w:r>
            <w:r>
              <w:rPr>
                <w:rFonts w:hint="eastAsia" w:ascii="宋体" w:hAnsi="宋体" w:eastAsia="宋体" w:cs="仿宋_GB2312"/>
                <w:bCs/>
                <w:sz w:val="21"/>
                <w:szCs w:val="21"/>
                <w:lang w:bidi="ar"/>
              </w:rPr>
              <w:t>的额度。</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3、保险的范围要包括作业项目。</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38"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w:t>
            </w:r>
            <w:r>
              <w:rPr>
                <w:rFonts w:hint="eastAsia" w:ascii="宋体" w:hAnsi="宋体" w:eastAsia="宋体" w:cs="仿宋_GB2312"/>
                <w:bCs/>
                <w:sz w:val="21"/>
                <w:szCs w:val="21"/>
                <w:lang w:val="en-US" w:eastAsia="zh-CN" w:bidi="ar"/>
              </w:rPr>
              <w:t>5</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拟进厂设备登记表</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1、需登记设备设施包含电焊机、手持电动工具、叉车、吊车、吊篮、起重工具（手拉葫芦、吊索具、千斤顶等）等，保证进场的设备设施安全可靠（需提供登记设备设施实际照片）。</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2、特种设备使用登记证、检测报告与实际设备设施相符，复印盖单位公章。</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9" w:hRule="atLeast"/>
        </w:trPr>
        <w:tc>
          <w:tcPr>
            <w:tcW w:w="61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w:t>
            </w:r>
            <w:r>
              <w:rPr>
                <w:rFonts w:hint="eastAsia" w:ascii="宋体" w:hAnsi="宋体" w:eastAsia="宋体" w:cs="仿宋_GB2312"/>
                <w:bCs/>
                <w:sz w:val="21"/>
                <w:szCs w:val="21"/>
                <w:lang w:val="en-US" w:eastAsia="zh-CN" w:bidi="ar"/>
              </w:rPr>
              <w:t>6</w:t>
            </w:r>
            <w:r>
              <w:rPr>
                <w:rFonts w:hint="eastAsia" w:ascii="宋体" w:hAnsi="宋体" w:eastAsia="宋体" w:cs="仿宋_GB2312"/>
                <w:bCs/>
                <w:sz w:val="21"/>
                <w:szCs w:val="21"/>
                <w:lang w:bidi="ar"/>
              </w:rPr>
              <w:t>※</w:t>
            </w:r>
          </w:p>
        </w:tc>
        <w:tc>
          <w:tcPr>
            <w:tcW w:w="2535"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涉及职业健康危害岗位人员的职业健康岗前体检证明</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作业人员职业健康体检项目必须包含噪声、粉尘、高温项目（如作业项目确实不包含上述三项，经确认可减少），其他项目可根据实际情况进行添加。</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5" w:hRule="atLeast"/>
        </w:trPr>
        <w:tc>
          <w:tcPr>
            <w:tcW w:w="61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w:t>
            </w:r>
            <w:r>
              <w:rPr>
                <w:rFonts w:hint="eastAsia" w:ascii="宋体" w:hAnsi="宋体" w:eastAsia="宋体" w:cs="仿宋_GB2312"/>
                <w:bCs/>
                <w:sz w:val="21"/>
                <w:szCs w:val="21"/>
                <w:lang w:val="en-US" w:eastAsia="zh-CN" w:bidi="ar"/>
              </w:rPr>
              <w:t>7</w:t>
            </w:r>
            <w:r>
              <w:rPr>
                <w:rFonts w:hint="eastAsia" w:ascii="宋体" w:hAnsi="宋体" w:eastAsia="宋体" w:cs="仿宋_GB2312"/>
                <w:bCs/>
                <w:sz w:val="21"/>
                <w:szCs w:val="21"/>
                <w:lang w:bidi="ar"/>
              </w:rPr>
              <w:t>※</w:t>
            </w:r>
          </w:p>
        </w:tc>
        <w:tc>
          <w:tcPr>
            <w:tcW w:w="2535"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w:t>
            </w:r>
            <w:r>
              <w:rPr>
                <w:rFonts w:hint="eastAsia" w:ascii="宋体" w:hAnsi="宋体" w:eastAsia="宋体" w:cs="仿宋_GB2312"/>
                <w:bCs/>
                <w:sz w:val="21"/>
                <w:szCs w:val="21"/>
                <w:lang w:val="en-US" w:eastAsia="zh-CN" w:bidi="ar"/>
              </w:rPr>
              <w:t>环保</w:t>
            </w:r>
            <w:r>
              <w:rPr>
                <w:rFonts w:hint="eastAsia" w:ascii="宋体" w:hAnsi="宋体" w:eastAsia="宋体" w:cs="仿宋_GB2312"/>
                <w:bCs/>
                <w:sz w:val="21"/>
                <w:szCs w:val="21"/>
                <w:lang w:bidi="ar"/>
              </w:rPr>
              <w:t>施工保证金</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按照项目进行缴纳，每个项目均需缴纳安全</w:t>
            </w:r>
            <w:r>
              <w:rPr>
                <w:rFonts w:hint="eastAsia" w:ascii="宋体" w:hAnsi="宋体" w:eastAsia="宋体" w:cs="仿宋_GB2312"/>
                <w:bCs/>
                <w:sz w:val="21"/>
                <w:szCs w:val="21"/>
                <w:lang w:val="en-US" w:eastAsia="zh-CN" w:bidi="ar"/>
              </w:rPr>
              <w:t>环保</w:t>
            </w:r>
            <w:r>
              <w:rPr>
                <w:rFonts w:hint="eastAsia" w:ascii="宋体" w:hAnsi="宋体" w:eastAsia="宋体" w:cs="仿宋_GB2312"/>
                <w:bCs/>
                <w:sz w:val="21"/>
                <w:szCs w:val="21"/>
                <w:lang w:bidi="ar"/>
              </w:rPr>
              <w:t>保证金，金额按照合同标的2%-10%（最低不少于2000元，最高不多于20万元），</w:t>
            </w:r>
            <w:r>
              <w:rPr>
                <w:rFonts w:hint="eastAsia" w:ascii="宋体" w:hAnsi="宋体" w:eastAsia="宋体" w:cs="仿宋_GB2312"/>
                <w:bCs/>
                <w:sz w:val="21"/>
                <w:szCs w:val="21"/>
                <w:lang w:val="en-US" w:eastAsia="zh-CN" w:bidi="ar"/>
              </w:rPr>
              <w:t>如外包单位没有缴纳安全责任保险或者意外险，需缴纳不低于150万元的安全环保施工保证金，</w:t>
            </w:r>
            <w:r>
              <w:rPr>
                <w:rFonts w:hint="eastAsia" w:ascii="宋体" w:hAnsi="宋体" w:eastAsia="宋体" w:cs="仿宋_GB2312"/>
                <w:bCs/>
                <w:sz w:val="21"/>
                <w:szCs w:val="21"/>
                <w:lang w:bidi="ar"/>
              </w:rPr>
              <w:t>中标后收取。</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1" w:hRule="atLeast"/>
        </w:trPr>
        <w:tc>
          <w:tcPr>
            <w:tcW w:w="615" w:type="dxa"/>
            <w:tcBorders>
              <w:tl2br w:val="nil"/>
              <w:tr2bl w:val="nil"/>
            </w:tcBorders>
            <w:shd w:val="clear" w:color="auto" w:fill="auto"/>
            <w:noWrap/>
            <w:vAlign w:val="center"/>
          </w:tcPr>
          <w:p>
            <w:pPr>
              <w:widowControl/>
              <w:spacing w:line="340" w:lineRule="exact"/>
              <w:jc w:val="center"/>
              <w:rPr>
                <w:rFonts w:hint="default" w:ascii="宋体" w:hAnsi="宋体" w:eastAsia="宋体" w:cs="仿宋_GB2312"/>
                <w:bCs/>
                <w:sz w:val="21"/>
                <w:szCs w:val="21"/>
                <w:lang w:val="en-US" w:eastAsia="zh-CN" w:bidi="ar"/>
              </w:rPr>
            </w:pPr>
            <w:r>
              <w:rPr>
                <w:rFonts w:hint="eastAsia" w:ascii="宋体" w:hAnsi="宋体" w:eastAsia="宋体" w:cs="仿宋_GB2312"/>
                <w:bCs/>
                <w:sz w:val="21"/>
                <w:szCs w:val="21"/>
                <w:lang w:val="en-US" w:eastAsia="zh-CN" w:bidi="ar"/>
              </w:rPr>
              <w:t>18</w:t>
            </w:r>
          </w:p>
        </w:tc>
        <w:tc>
          <w:tcPr>
            <w:tcW w:w="2535"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视具体情况需要审查的其他有关材料</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p>
        </w:tc>
        <w:tc>
          <w:tcPr>
            <w:tcW w:w="115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p>
        </w:tc>
      </w:tr>
    </w:tbl>
    <w:p>
      <w:pPr>
        <w:keepNext w:val="0"/>
        <w:keepLines w:val="0"/>
        <w:pageBreakBefore w:val="0"/>
        <w:kinsoku/>
        <w:wordWrap/>
        <w:overflowPunct/>
        <w:topLinePunct w:val="0"/>
        <w:autoSpaceDE/>
        <w:autoSpaceDN/>
        <w:bidi w:val="0"/>
        <w:snapToGrid/>
        <w:spacing w:before="40" w:after="40" w:line="300" w:lineRule="exact"/>
        <w:textAlignment w:val="auto"/>
        <w:rPr>
          <w:rFonts w:hint="default" w:ascii="宋体" w:hAnsi="宋体" w:eastAsia="宋体" w:cs="仿宋_GB2312"/>
          <w:bCs/>
          <w:sz w:val="21"/>
          <w:szCs w:val="21"/>
          <w:highlight w:val="none"/>
          <w:lang w:val="en-US" w:bidi="ar"/>
        </w:rPr>
      </w:pPr>
      <w:r>
        <w:rPr>
          <w:rFonts w:hint="eastAsia" w:ascii="宋体" w:hAnsi="宋体" w:eastAsia="宋体" w:cs="仿宋_GB2312"/>
          <w:b/>
          <w:bCs w:val="0"/>
          <w:sz w:val="21"/>
          <w:szCs w:val="21"/>
          <w:highlight w:val="none"/>
          <w:lang w:val="en-US" w:eastAsia="zh-CN" w:bidi="ar"/>
        </w:rPr>
        <w:t xml:space="preserve">业务部门资质审核确认签字：                           时间：                              </w:t>
      </w:r>
    </w:p>
    <w:p>
      <w:pPr>
        <w:keepNext w:val="0"/>
        <w:keepLines w:val="0"/>
        <w:pageBreakBefore w:val="0"/>
        <w:kinsoku/>
        <w:wordWrap/>
        <w:overflowPunct/>
        <w:topLinePunct w:val="0"/>
        <w:autoSpaceDE/>
        <w:autoSpaceDN/>
        <w:bidi w:val="0"/>
        <w:snapToGrid/>
        <w:spacing w:before="40" w:after="40" w:line="240" w:lineRule="exact"/>
        <w:textAlignment w:val="auto"/>
        <w:rPr>
          <w:rFonts w:ascii="宋体" w:hAnsi="宋体" w:eastAsia="宋体" w:cs="仿宋_GB2312"/>
          <w:bCs/>
          <w:sz w:val="18"/>
          <w:szCs w:val="18"/>
          <w:lang w:bidi="ar"/>
        </w:rPr>
      </w:pPr>
      <w:r>
        <w:rPr>
          <w:rFonts w:hint="eastAsia" w:ascii="宋体" w:hAnsi="宋体" w:eastAsia="宋体" w:cs="仿宋_GB2312"/>
          <w:bCs/>
          <w:sz w:val="18"/>
          <w:szCs w:val="18"/>
          <w:lang w:bidi="ar"/>
        </w:rPr>
        <w:t>备注：</w:t>
      </w:r>
    </w:p>
    <w:p>
      <w:pPr>
        <w:pStyle w:val="8"/>
        <w:keepNext w:val="0"/>
        <w:keepLines w:val="0"/>
        <w:pageBreakBefore w:val="0"/>
        <w:kinsoku/>
        <w:wordWrap/>
        <w:overflowPunct/>
        <w:topLinePunct w:val="0"/>
        <w:autoSpaceDE/>
        <w:autoSpaceDN/>
        <w:bidi w:val="0"/>
        <w:snapToGrid/>
        <w:spacing w:line="240" w:lineRule="exact"/>
        <w:ind w:firstLine="428"/>
        <w:textAlignment w:val="auto"/>
        <w:rPr>
          <w:rFonts w:hint="default" w:ascii="宋体" w:hAnsi="宋体" w:eastAsia="宋体" w:cs="仿宋_GB2312"/>
          <w:bCs/>
          <w:sz w:val="18"/>
          <w:szCs w:val="18"/>
          <w:lang w:val="en-US" w:eastAsia="zh-CN" w:bidi="ar"/>
        </w:rPr>
      </w:pPr>
      <w:r>
        <w:rPr>
          <w:rFonts w:ascii="宋体" w:hAnsi="宋体" w:eastAsia="宋体" w:cs="仿宋_GB2312"/>
          <w:bCs/>
          <w:sz w:val="18"/>
          <w:szCs w:val="18"/>
          <w:lang w:bidi="ar"/>
        </w:rPr>
        <w:t>1、</w:t>
      </w:r>
      <w:r>
        <w:rPr>
          <w:rFonts w:hint="eastAsia" w:ascii="宋体" w:hAnsi="宋体" w:eastAsia="宋体" w:cs="仿宋_GB2312"/>
          <w:bCs/>
          <w:sz w:val="18"/>
          <w:szCs w:val="18"/>
          <w:lang w:val="en-US" w:eastAsia="zh-CN" w:bidi="ar"/>
        </w:rPr>
        <w:t>业务发包</w:t>
      </w:r>
      <w:r>
        <w:rPr>
          <w:rFonts w:ascii="宋体" w:hAnsi="宋体" w:eastAsia="宋体" w:cs="仿宋_GB2312"/>
          <w:bCs/>
          <w:sz w:val="18"/>
          <w:szCs w:val="18"/>
          <w:lang w:bidi="ar"/>
        </w:rPr>
        <w:t>部门（如工程部、设备部或物资部门等）负责将此审查清单提前交至投标单位，准备相关资料材料；</w:t>
      </w:r>
      <w:r>
        <w:rPr>
          <w:rFonts w:hint="eastAsia" w:ascii="宋体" w:hAnsi="宋体" w:eastAsia="宋体" w:cs="仿宋_GB2312"/>
          <w:bCs/>
          <w:sz w:val="18"/>
          <w:szCs w:val="18"/>
          <w:lang w:val="en-US" w:eastAsia="zh-CN" w:bidi="ar"/>
        </w:rPr>
        <w:t>签订协议前进行备案资料审查，无误后签字确认。</w:t>
      </w:r>
    </w:p>
    <w:p>
      <w:pPr>
        <w:pStyle w:val="8"/>
        <w:keepNext w:val="0"/>
        <w:keepLines w:val="0"/>
        <w:pageBreakBefore w:val="0"/>
        <w:kinsoku/>
        <w:wordWrap/>
        <w:overflowPunct/>
        <w:topLinePunct w:val="0"/>
        <w:autoSpaceDE/>
        <w:autoSpaceDN/>
        <w:bidi w:val="0"/>
        <w:snapToGrid/>
        <w:spacing w:line="240" w:lineRule="exact"/>
        <w:ind w:firstLine="428"/>
        <w:textAlignment w:val="auto"/>
        <w:rPr>
          <w:rFonts w:hint="default" w:ascii="宋体" w:hAnsi="宋体" w:eastAsia="宋体" w:cs="仿宋_GB2312"/>
          <w:bCs/>
          <w:sz w:val="18"/>
          <w:szCs w:val="18"/>
          <w:lang w:bidi="ar"/>
        </w:rPr>
      </w:pPr>
      <w:r>
        <w:rPr>
          <w:rFonts w:ascii="宋体" w:hAnsi="宋体" w:eastAsia="宋体" w:cs="仿宋_GB2312"/>
          <w:bCs/>
          <w:sz w:val="18"/>
          <w:szCs w:val="18"/>
          <w:lang w:bidi="ar"/>
        </w:rPr>
        <w:t>2、企业成立评标委员会或评标小组对投标单位的资质进行审查；</w:t>
      </w:r>
    </w:p>
    <w:p>
      <w:pPr>
        <w:pStyle w:val="8"/>
        <w:keepNext w:val="0"/>
        <w:keepLines w:val="0"/>
        <w:pageBreakBefore w:val="0"/>
        <w:kinsoku/>
        <w:wordWrap/>
        <w:overflowPunct/>
        <w:topLinePunct w:val="0"/>
        <w:autoSpaceDE/>
        <w:autoSpaceDN/>
        <w:bidi w:val="0"/>
        <w:snapToGrid/>
        <w:spacing w:line="240" w:lineRule="exact"/>
        <w:ind w:firstLine="428"/>
        <w:textAlignment w:val="auto"/>
        <w:rPr>
          <w:rFonts w:hint="default" w:ascii="宋体" w:hAnsi="宋体" w:eastAsia="宋体" w:cs="仿宋_GB2312"/>
          <w:bCs/>
          <w:sz w:val="18"/>
          <w:szCs w:val="18"/>
          <w:lang w:bidi="ar"/>
        </w:rPr>
      </w:pPr>
      <w:r>
        <w:rPr>
          <w:rFonts w:ascii="宋体" w:hAnsi="宋体" w:eastAsia="宋体" w:cs="仿宋_GB2312"/>
          <w:bCs/>
          <w:sz w:val="18"/>
          <w:szCs w:val="18"/>
          <w:lang w:bidi="ar"/>
        </w:rPr>
        <w:t>3、上述材料中均需审查原件，存档复印件需加盖外包单位公章；</w:t>
      </w:r>
    </w:p>
    <w:p>
      <w:pPr>
        <w:pStyle w:val="8"/>
        <w:keepNext w:val="0"/>
        <w:keepLines w:val="0"/>
        <w:pageBreakBefore w:val="0"/>
        <w:kinsoku/>
        <w:wordWrap/>
        <w:overflowPunct/>
        <w:topLinePunct w:val="0"/>
        <w:autoSpaceDE/>
        <w:autoSpaceDN/>
        <w:bidi w:val="0"/>
        <w:snapToGrid/>
        <w:spacing w:line="240" w:lineRule="exact"/>
        <w:ind w:firstLine="428"/>
        <w:textAlignment w:val="auto"/>
        <w:rPr>
          <w:rFonts w:hint="default" w:ascii="宋体" w:hAnsi="宋体" w:eastAsia="宋体" w:cs="仿宋_GB2312"/>
          <w:bCs/>
          <w:sz w:val="18"/>
          <w:szCs w:val="18"/>
          <w:lang w:bidi="ar"/>
        </w:rPr>
      </w:pPr>
      <w:r>
        <w:rPr>
          <w:rFonts w:hint="default" w:ascii="宋体" w:hAnsi="宋体" w:eastAsia="宋体" w:cs="仿宋_GB2312"/>
          <w:bCs/>
          <w:sz w:val="18"/>
          <w:szCs w:val="18"/>
          <w:lang w:bidi="ar"/>
        </w:rPr>
        <w:t>4</w:t>
      </w:r>
      <w:r>
        <w:rPr>
          <w:rFonts w:ascii="宋体" w:hAnsi="宋体" w:eastAsia="宋体" w:cs="仿宋_GB2312"/>
          <w:bCs/>
          <w:sz w:val="18"/>
          <w:szCs w:val="18"/>
          <w:lang w:bidi="ar"/>
        </w:rPr>
        <w:t>、在中标后，加※项目为再次审查和核验项目，确保施工方案科学合理、进场人员和设备符合安全</w:t>
      </w:r>
      <w:r>
        <w:rPr>
          <w:rFonts w:hint="eastAsia" w:ascii="宋体" w:hAnsi="宋体" w:eastAsia="宋体" w:cs="仿宋_GB2312"/>
          <w:bCs/>
          <w:sz w:val="18"/>
          <w:szCs w:val="18"/>
          <w:lang w:val="en-US" w:eastAsia="zh-CN" w:bidi="ar"/>
        </w:rPr>
        <w:t>环保</w:t>
      </w:r>
      <w:r>
        <w:rPr>
          <w:rFonts w:ascii="宋体" w:hAnsi="宋体" w:eastAsia="宋体" w:cs="仿宋_GB2312"/>
          <w:bCs/>
          <w:sz w:val="18"/>
          <w:szCs w:val="18"/>
          <w:lang w:bidi="ar"/>
        </w:rPr>
        <w:t>条件。</w:t>
      </w:r>
    </w:p>
    <w:sectPr>
      <w:type w:val="continuous"/>
      <w:pgSz w:w="11906" w:h="16838"/>
      <w:pgMar w:top="1134" w:right="1134" w:bottom="1134" w:left="1134" w:header="851" w:footer="992" w:gutter="0"/>
      <w:cols w:space="0" w:num="1"/>
      <w:rtlGutter w:val="0"/>
      <w:docGrid w:type="linesAndChars" w:linePitch="453"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bordersDoNotSurroundHeader w:val="1"/>
  <w:bordersDoNotSurroundFooter w:val="1"/>
  <w:documentProtection w:enforcement="0"/>
  <w:defaultTabStop w:val="420"/>
  <w:drawingGridHorizontalSpacing w:val="162"/>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9233D"/>
    <w:rsid w:val="00072218"/>
    <w:rsid w:val="000A2A2F"/>
    <w:rsid w:val="000C49F6"/>
    <w:rsid w:val="000E5953"/>
    <w:rsid w:val="00145B5E"/>
    <w:rsid w:val="00177CB0"/>
    <w:rsid w:val="001F7DAC"/>
    <w:rsid w:val="00255A35"/>
    <w:rsid w:val="00281B88"/>
    <w:rsid w:val="002962BF"/>
    <w:rsid w:val="002E1AB7"/>
    <w:rsid w:val="00424031"/>
    <w:rsid w:val="00430CFB"/>
    <w:rsid w:val="00440700"/>
    <w:rsid w:val="00455FF4"/>
    <w:rsid w:val="0052163F"/>
    <w:rsid w:val="00532850"/>
    <w:rsid w:val="00550FB1"/>
    <w:rsid w:val="006122ED"/>
    <w:rsid w:val="006750C6"/>
    <w:rsid w:val="00693631"/>
    <w:rsid w:val="007019C4"/>
    <w:rsid w:val="007248F7"/>
    <w:rsid w:val="00776C1C"/>
    <w:rsid w:val="00792B98"/>
    <w:rsid w:val="007A4D12"/>
    <w:rsid w:val="008D4FE1"/>
    <w:rsid w:val="009A0D7A"/>
    <w:rsid w:val="009E072F"/>
    <w:rsid w:val="00A5100F"/>
    <w:rsid w:val="00A51A1D"/>
    <w:rsid w:val="00AC4917"/>
    <w:rsid w:val="00B05A5C"/>
    <w:rsid w:val="00B15FF4"/>
    <w:rsid w:val="00B507A8"/>
    <w:rsid w:val="00B538E8"/>
    <w:rsid w:val="00C1577D"/>
    <w:rsid w:val="00C5286C"/>
    <w:rsid w:val="00C76F9F"/>
    <w:rsid w:val="00D14A26"/>
    <w:rsid w:val="00D27F8C"/>
    <w:rsid w:val="00DA45C8"/>
    <w:rsid w:val="00DD7FA5"/>
    <w:rsid w:val="00E02445"/>
    <w:rsid w:val="00F2738C"/>
    <w:rsid w:val="00F70D2F"/>
    <w:rsid w:val="00FE378E"/>
    <w:rsid w:val="06E26F31"/>
    <w:rsid w:val="0B180D62"/>
    <w:rsid w:val="0B733AEE"/>
    <w:rsid w:val="0F5C327A"/>
    <w:rsid w:val="195A732F"/>
    <w:rsid w:val="1C426BD2"/>
    <w:rsid w:val="22DD017F"/>
    <w:rsid w:val="275D6C7D"/>
    <w:rsid w:val="28D10164"/>
    <w:rsid w:val="29E8575D"/>
    <w:rsid w:val="2C37710F"/>
    <w:rsid w:val="2EC65842"/>
    <w:rsid w:val="33A44998"/>
    <w:rsid w:val="35003003"/>
    <w:rsid w:val="390B74F1"/>
    <w:rsid w:val="43575907"/>
    <w:rsid w:val="47A50AA1"/>
    <w:rsid w:val="4BB73274"/>
    <w:rsid w:val="4C524EEC"/>
    <w:rsid w:val="5699233D"/>
    <w:rsid w:val="59607824"/>
    <w:rsid w:val="5ADF79E4"/>
    <w:rsid w:val="5BA3609A"/>
    <w:rsid w:val="5E242B5F"/>
    <w:rsid w:val="5F985477"/>
    <w:rsid w:val="60762364"/>
    <w:rsid w:val="69387EB3"/>
    <w:rsid w:val="6E4347F9"/>
    <w:rsid w:val="72B84A17"/>
    <w:rsid w:val="74B96C3C"/>
    <w:rsid w:val="772C2FEB"/>
    <w:rsid w:val="7B0F32E4"/>
    <w:rsid w:val="7E4958FC"/>
    <w:rsid w:val="7EF90665"/>
    <w:rsid w:val="7F1A405E"/>
    <w:rsid w:val="7FAC1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eastAsia="仿宋_GB2312"/>
      <w:kern w:val="2"/>
      <w:sz w:val="18"/>
      <w:szCs w:val="18"/>
    </w:rPr>
  </w:style>
  <w:style w:type="paragraph" w:customStyle="1" w:styleId="8">
    <w:name w:val="制度-正文"/>
    <w:basedOn w:val="1"/>
    <w:qFormat/>
    <w:uiPriority w:val="0"/>
    <w:pPr>
      <w:widowControl/>
      <w:adjustRightInd w:val="0"/>
      <w:spacing w:line="560" w:lineRule="exact"/>
      <w:ind w:firstLine="200" w:firstLineChars="200"/>
      <w:jc w:val="left"/>
    </w:pPr>
    <w:rPr>
      <w:rFonts w:hint="eastAsia" w:ascii="仿宋_GB2312"/>
      <w:szCs w:val="32"/>
    </w:rPr>
  </w:style>
  <w:style w:type="character" w:customStyle="1" w:styleId="9">
    <w:name w:val="批注框文本 字符"/>
    <w:basedOn w:val="6"/>
    <w:link w:val="2"/>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A8CFE6-3F3F-4AD8-9D69-43DC2387C0BA}">
  <ds:schemaRefs/>
</ds:datastoreItem>
</file>

<file path=docProps/app.xml><?xml version="1.0" encoding="utf-8"?>
<Properties xmlns="http://schemas.openxmlformats.org/officeDocument/2006/extended-properties" xmlns:vt="http://schemas.openxmlformats.org/officeDocument/2006/docPropsVTypes">
  <Template>Normal</Template>
  <Pages>2</Pages>
  <Words>243</Words>
  <Characters>1387</Characters>
  <Lines>11</Lines>
  <Paragraphs>3</Paragraphs>
  <TotalTime>4241</TotalTime>
  <ScaleCrop>false</ScaleCrop>
  <LinksUpToDate>false</LinksUpToDate>
  <CharactersWithSpaces>1627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2020-03-23T07:11:00Z</dcterms:created>
  <dc:creator>我还没疯</dc:creator>
  <cp:lastModifiedBy>默弃</cp:lastModifiedBy>
  <cp:lastPrinted>2022-02-16T09:26:53Z</cp:lastPrinted>
  <dcterms:modified xsi:type="dcterms:W3CDTF">2022-02-25T08:44:46Z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