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lang w:val="en-US" w:eastAsia="zh-CN"/>
        </w:rPr>
        <w:t>800KW柴油发电机租赁项目</w:t>
      </w:r>
      <w:r>
        <w:rPr>
          <w:rFonts w:hint="eastAsia"/>
          <w:sz w:val="32"/>
          <w:szCs w:val="32"/>
        </w:rPr>
        <w:t>技术要求</w:t>
      </w:r>
    </w:p>
    <w:tbl>
      <w:tblPr>
        <w:tblStyle w:val="5"/>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579"/>
        <w:gridCol w:w="723"/>
        <w:gridCol w:w="1152"/>
        <w:gridCol w:w="123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8" w:type="dxa"/>
            <w:vAlign w:val="center"/>
          </w:tcPr>
          <w:p>
            <w:pPr>
              <w:snapToGrid w:val="0"/>
              <w:jc w:val="center"/>
              <w:rPr>
                <w:rFonts w:ascii="仿宋" w:hAnsi="仿宋" w:eastAsia="仿宋" w:cs="仿宋"/>
                <w:sz w:val="24"/>
              </w:rPr>
            </w:pPr>
            <w:r>
              <w:rPr>
                <w:rFonts w:hint="eastAsia" w:ascii="仿宋" w:hAnsi="仿宋" w:eastAsia="仿宋" w:cs="仿宋"/>
                <w:sz w:val="24"/>
              </w:rPr>
              <w:t>序号</w:t>
            </w:r>
          </w:p>
        </w:tc>
        <w:tc>
          <w:tcPr>
            <w:tcW w:w="2579" w:type="dxa"/>
            <w:vAlign w:val="center"/>
          </w:tcPr>
          <w:p>
            <w:pPr>
              <w:snapToGrid w:val="0"/>
              <w:jc w:val="center"/>
              <w:rPr>
                <w:rFonts w:ascii="仿宋" w:hAnsi="仿宋" w:eastAsia="仿宋" w:cs="仿宋"/>
                <w:sz w:val="24"/>
              </w:rPr>
            </w:pPr>
            <w:r>
              <w:rPr>
                <w:rFonts w:hint="eastAsia" w:ascii="仿宋" w:hAnsi="仿宋" w:eastAsia="仿宋" w:cs="仿宋"/>
                <w:sz w:val="24"/>
              </w:rPr>
              <w:t>名称/型号</w:t>
            </w:r>
          </w:p>
        </w:tc>
        <w:tc>
          <w:tcPr>
            <w:tcW w:w="723" w:type="dxa"/>
            <w:vAlign w:val="center"/>
          </w:tcPr>
          <w:p>
            <w:pPr>
              <w:snapToGrid w:val="0"/>
              <w:jc w:val="center"/>
              <w:rPr>
                <w:rFonts w:ascii="仿宋" w:hAnsi="仿宋" w:eastAsia="仿宋" w:cs="仿宋"/>
                <w:sz w:val="24"/>
              </w:rPr>
            </w:pPr>
            <w:r>
              <w:rPr>
                <w:rFonts w:hint="eastAsia" w:ascii="仿宋" w:hAnsi="仿宋" w:eastAsia="仿宋" w:cs="仿宋"/>
                <w:sz w:val="24"/>
              </w:rPr>
              <w:t>单位</w:t>
            </w:r>
          </w:p>
        </w:tc>
        <w:tc>
          <w:tcPr>
            <w:tcW w:w="1152" w:type="dxa"/>
            <w:vAlign w:val="center"/>
          </w:tcPr>
          <w:p>
            <w:pPr>
              <w:snapToGrid w:val="0"/>
              <w:jc w:val="center"/>
              <w:rPr>
                <w:rFonts w:ascii="仿宋" w:hAnsi="仿宋" w:eastAsia="仿宋" w:cs="仿宋"/>
                <w:sz w:val="24"/>
              </w:rPr>
            </w:pPr>
            <w:r>
              <w:rPr>
                <w:rFonts w:hint="eastAsia" w:ascii="仿宋" w:hAnsi="仿宋" w:eastAsia="仿宋" w:cs="仿宋"/>
                <w:sz w:val="24"/>
                <w:lang w:val="en-US" w:eastAsia="zh-CN"/>
              </w:rPr>
              <w:t>暂估</w:t>
            </w:r>
            <w:r>
              <w:rPr>
                <w:rFonts w:hint="eastAsia" w:ascii="仿宋" w:hAnsi="仿宋" w:eastAsia="仿宋" w:cs="仿宋"/>
                <w:sz w:val="24"/>
              </w:rPr>
              <w:t>数量</w:t>
            </w:r>
          </w:p>
        </w:tc>
        <w:tc>
          <w:tcPr>
            <w:tcW w:w="1232" w:type="dxa"/>
            <w:vAlign w:val="center"/>
          </w:tcPr>
          <w:p>
            <w:pPr>
              <w:snapToGrid w:val="0"/>
              <w:jc w:val="center"/>
              <w:rPr>
                <w:rFonts w:ascii="仿宋" w:hAnsi="仿宋" w:eastAsia="仿宋" w:cs="仿宋"/>
                <w:sz w:val="24"/>
              </w:rPr>
            </w:pPr>
            <w:r>
              <w:rPr>
                <w:rFonts w:hint="eastAsia" w:ascii="仿宋" w:hAnsi="仿宋" w:eastAsia="仿宋" w:cs="仿宋"/>
                <w:sz w:val="24"/>
              </w:rPr>
              <w:t>单价（元）</w:t>
            </w:r>
          </w:p>
        </w:tc>
        <w:tc>
          <w:tcPr>
            <w:tcW w:w="1259" w:type="dxa"/>
            <w:vAlign w:val="center"/>
          </w:tcPr>
          <w:p>
            <w:pPr>
              <w:snapToGrid w:val="0"/>
              <w:jc w:val="center"/>
              <w:rPr>
                <w:rFonts w:ascii="仿宋" w:hAnsi="仿宋" w:eastAsia="仿宋" w:cs="仿宋"/>
                <w:sz w:val="24"/>
              </w:rPr>
            </w:pPr>
            <w:r>
              <w:rPr>
                <w:rFonts w:hint="eastAsia" w:ascii="仿宋" w:hAnsi="仿宋" w:eastAsia="仿宋" w:cs="仿宋"/>
                <w:sz w:val="24"/>
                <w:lang w:val="en-US" w:eastAsia="zh-CN"/>
              </w:rPr>
              <w:t>总价</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8" w:type="dxa"/>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2579" w:type="dxa"/>
            <w:vAlign w:val="center"/>
          </w:tcPr>
          <w:p>
            <w:pPr>
              <w:snapToGrid w:val="0"/>
              <w:jc w:val="center"/>
              <w:rPr>
                <w:rFonts w:ascii="仿宋" w:hAnsi="仿宋" w:eastAsia="仿宋" w:cs="仿宋"/>
                <w:sz w:val="24"/>
              </w:rPr>
            </w:pPr>
            <w:r>
              <w:rPr>
                <w:rFonts w:hint="eastAsia" w:ascii="仿宋" w:hAnsi="仿宋" w:eastAsia="仿宋" w:cs="仿宋"/>
                <w:sz w:val="24"/>
              </w:rPr>
              <w:t>800KW柴油发电机租赁1台</w:t>
            </w:r>
          </w:p>
        </w:tc>
        <w:tc>
          <w:tcPr>
            <w:tcW w:w="723" w:type="dxa"/>
            <w:vAlign w:val="center"/>
          </w:tcPr>
          <w:p>
            <w:pPr>
              <w:snapToGrid w:val="0"/>
              <w:jc w:val="center"/>
              <w:rPr>
                <w:rFonts w:ascii="仿宋" w:hAnsi="仿宋" w:eastAsia="仿宋" w:cs="仿宋"/>
                <w:sz w:val="24"/>
              </w:rPr>
            </w:pPr>
            <w:r>
              <w:rPr>
                <w:rFonts w:ascii="仿宋" w:hAnsi="仿宋" w:eastAsia="仿宋" w:cs="仿宋"/>
                <w:sz w:val="24"/>
              </w:rPr>
              <w:t>班</w:t>
            </w:r>
          </w:p>
        </w:tc>
        <w:tc>
          <w:tcPr>
            <w:tcW w:w="1152" w:type="dxa"/>
            <w:vAlign w:val="center"/>
          </w:tcPr>
          <w:p>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4.5</w:t>
            </w:r>
          </w:p>
        </w:tc>
        <w:tc>
          <w:tcPr>
            <w:tcW w:w="1232" w:type="dxa"/>
            <w:vAlign w:val="center"/>
          </w:tcPr>
          <w:p>
            <w:pPr>
              <w:snapToGrid w:val="0"/>
              <w:jc w:val="center"/>
              <w:rPr>
                <w:rFonts w:ascii="仿宋" w:hAnsi="仿宋" w:eastAsia="仿宋" w:cs="仿宋"/>
                <w:sz w:val="24"/>
              </w:rPr>
            </w:pPr>
          </w:p>
        </w:tc>
        <w:tc>
          <w:tcPr>
            <w:tcW w:w="125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8" w:type="dxa"/>
            <w:vAlign w:val="center"/>
          </w:tcPr>
          <w:p>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备注</w:t>
            </w:r>
          </w:p>
        </w:tc>
        <w:tc>
          <w:tcPr>
            <w:tcW w:w="6945" w:type="dxa"/>
            <w:gridSpan w:val="5"/>
            <w:vAlign w:val="center"/>
          </w:tcPr>
          <w:p>
            <w:pPr>
              <w:snapToGrid w:val="0"/>
              <w:jc w:val="center"/>
              <w:rPr>
                <w:rFonts w:ascii="仿宋" w:hAnsi="仿宋" w:eastAsia="仿宋" w:cs="仿宋"/>
                <w:sz w:val="24"/>
              </w:rPr>
            </w:pPr>
            <w:r>
              <w:rPr>
                <w:rFonts w:hint="eastAsia" w:ascii="仿宋" w:hAnsi="仿宋" w:eastAsia="仿宋" w:cs="仿宋"/>
                <w:sz w:val="24"/>
              </w:rPr>
              <w:t>含13%税费</w:t>
            </w:r>
            <w:r>
              <w:rPr>
                <w:rFonts w:hint="eastAsia" w:ascii="仿宋" w:hAnsi="仿宋" w:eastAsia="仿宋" w:cs="仿宋"/>
                <w:sz w:val="24"/>
                <w:lang w:eastAsia="zh-CN"/>
              </w:rPr>
              <w:t>、</w:t>
            </w:r>
            <w:r>
              <w:rPr>
                <w:rFonts w:hint="eastAsia" w:ascii="仿宋" w:hAnsi="仿宋" w:eastAsia="仿宋" w:cs="仿宋"/>
                <w:sz w:val="24"/>
                <w:lang w:val="en-US" w:eastAsia="zh-CN"/>
              </w:rPr>
              <w:t>往返运费</w:t>
            </w:r>
            <w:r>
              <w:rPr>
                <w:rFonts w:hint="eastAsia" w:ascii="仿宋" w:hAnsi="仿宋" w:eastAsia="仿宋" w:cs="仿宋"/>
                <w:sz w:val="24"/>
              </w:rPr>
              <w:t>，一票制结算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3" w:type="dxa"/>
            <w:gridSpan w:val="6"/>
            <w:vAlign w:val="center"/>
          </w:tcPr>
          <w:p>
            <w:pPr>
              <w:snapToGrid w:val="0"/>
              <w:jc w:val="center"/>
              <w:rPr>
                <w:rFonts w:ascii="仿宋" w:hAnsi="仿宋" w:eastAsia="仿宋" w:cs="仿宋"/>
                <w:sz w:val="24"/>
              </w:rPr>
            </w:pPr>
            <w:r>
              <w:rPr>
                <w:rFonts w:hint="eastAsia" w:ascii="Calibri" w:hAnsi="Calibri"/>
                <w:sz w:val="24"/>
              </w:rPr>
              <w:t>合计人民币大写：</w:t>
            </w:r>
            <w:r>
              <w:rPr>
                <w:rFonts w:hint="eastAsia" w:ascii="Calibri" w:hAnsi="Calibri"/>
                <w:sz w:val="24"/>
                <w:u w:val="single"/>
              </w:rPr>
              <w:t xml:space="preserve">            </w:t>
            </w:r>
            <w:r>
              <w:rPr>
                <w:rFonts w:hint="eastAsia" w:ascii="Calibri" w:hAnsi="Calibri"/>
                <w:sz w:val="24"/>
              </w:rPr>
              <w:t>元整（含13%增值税</w:t>
            </w:r>
            <w:r>
              <w:rPr>
                <w:rFonts w:hint="eastAsia" w:ascii="仿宋" w:hAnsi="仿宋" w:eastAsia="仿宋" w:cs="仿宋"/>
                <w:sz w:val="24"/>
                <w:lang w:eastAsia="zh-CN"/>
              </w:rPr>
              <w:t>、</w:t>
            </w:r>
            <w:r>
              <w:rPr>
                <w:rFonts w:hint="eastAsia" w:ascii="Calibri" w:hAnsi="Calibri"/>
                <w:sz w:val="24"/>
                <w:lang w:val="en-US" w:eastAsia="zh-CN"/>
              </w:rPr>
              <w:t>往返运费</w:t>
            </w:r>
            <w:r>
              <w:rPr>
                <w:rFonts w:hint="eastAsia" w:ascii="Calibri" w:hAnsi="Calibri"/>
                <w:sz w:val="24"/>
              </w:rPr>
              <w:t>）</w:t>
            </w:r>
          </w:p>
        </w:tc>
      </w:tr>
    </w:tbl>
    <w:p/>
    <w:p>
      <w:pPr>
        <w:rPr>
          <w:sz w:val="24"/>
        </w:rPr>
      </w:pPr>
    </w:p>
    <w:p>
      <w:pPr>
        <w:rPr>
          <w:sz w:val="24"/>
        </w:rPr>
      </w:pPr>
      <w:r>
        <w:rPr>
          <w:rFonts w:hint="eastAsia"/>
          <w:sz w:val="24"/>
        </w:rPr>
        <w:t>备注：</w:t>
      </w:r>
    </w:p>
    <w:p>
      <w:pPr>
        <w:keepNext w:val="0"/>
        <w:keepLines w:val="0"/>
        <w:pageBreakBefore w:val="0"/>
        <w:kinsoku/>
        <w:wordWrap/>
        <w:overflowPunct/>
        <w:topLinePunct w:val="0"/>
        <w:autoSpaceDE/>
        <w:autoSpaceDN/>
        <w:bidi w:val="0"/>
        <w:spacing w:line="240" w:lineRule="auto"/>
        <w:ind w:firstLine="480" w:firstLineChars="200"/>
        <w:rPr>
          <w:rFonts w:hint="eastAsia" w:ascii="Times New Roman" w:hAnsi="Times New Roman" w:eastAsia="宋体" w:cs="Times New Roman"/>
          <w:kern w:val="2"/>
          <w:sz w:val="24"/>
          <w:szCs w:val="24"/>
          <w:lang w:val="en-US" w:eastAsia="zh-CN" w:bidi="ar-SA"/>
        </w:rPr>
      </w:pPr>
      <w:r>
        <w:rPr>
          <w:rFonts w:hint="eastAsia"/>
          <w:sz w:val="24"/>
          <w:lang w:val="en-US" w:eastAsia="zh-CN"/>
        </w:rPr>
        <w:t>1</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报价</w:t>
      </w:r>
      <w:r>
        <w:rPr>
          <w:rFonts w:hint="eastAsia" w:ascii="Times New Roman" w:hAnsi="Times New Roman" w:eastAsia="宋体" w:cs="Times New Roman"/>
          <w:kern w:val="2"/>
          <w:sz w:val="24"/>
          <w:szCs w:val="24"/>
          <w:lang w:val="en-US" w:eastAsia="zh-CN" w:bidi="ar-SA"/>
        </w:rPr>
        <w:t>方式：完全综合单价报价，最终价格为包含租赁费、运费、税费等包干价格，报价时需填写总价；</w:t>
      </w:r>
    </w:p>
    <w:p>
      <w:pPr>
        <w:keepNext w:val="0"/>
        <w:keepLines w:val="0"/>
        <w:pageBreakBefore w:val="0"/>
        <w:kinsoku/>
        <w:wordWrap/>
        <w:overflowPunct/>
        <w:topLinePunct w:val="0"/>
        <w:autoSpaceDE/>
        <w:autoSpaceDN/>
        <w:bidi w:val="0"/>
        <w:spacing w:line="24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、付款方式：租赁设备使用结束，出租方根据使用时间及每班单价出具结算单，并根据结算单金额开具全额13%的增值税专用发票，承租方收到发票挂账后支付全部设备租赁费用。</w:t>
      </w:r>
    </w:p>
    <w:p>
      <w:pPr>
        <w:keepNext w:val="0"/>
        <w:keepLines w:val="0"/>
        <w:pageBreakBefore w:val="0"/>
        <w:kinsoku/>
        <w:wordWrap/>
        <w:overflowPunct/>
        <w:topLinePunct w:val="0"/>
        <w:autoSpaceDE/>
        <w:autoSpaceDN/>
        <w:bidi w:val="0"/>
        <w:spacing w:line="24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结算方式：每班按照8小时计算，不足一个班的每超出1小时，按租赁费用（含税费）的1/8结算。</w:t>
      </w:r>
    </w:p>
    <w:p>
      <w:pPr>
        <w:keepNext w:val="0"/>
        <w:keepLines w:val="0"/>
        <w:pageBreakBefore w:val="0"/>
        <w:kinsoku/>
        <w:wordWrap/>
        <w:overflowPunct/>
        <w:topLinePunct w:val="0"/>
        <w:autoSpaceDE/>
        <w:autoSpaceDN/>
        <w:bidi w:val="0"/>
        <w:spacing w:line="24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、施工地点：乌兰察布市卓资县旗下营工业园区内蒙古伊东冀东水泥有限公司院内；</w:t>
      </w:r>
    </w:p>
    <w:p>
      <w:pPr>
        <w:keepNext w:val="0"/>
        <w:keepLines w:val="0"/>
        <w:pageBreakBefore w:val="0"/>
        <w:kinsoku/>
        <w:wordWrap/>
        <w:overflowPunct/>
        <w:topLinePunct w:val="0"/>
        <w:autoSpaceDE/>
        <w:autoSpaceDN/>
        <w:bidi w:val="0"/>
        <w:spacing w:line="240" w:lineRule="auto"/>
        <w:ind w:firstLine="480" w:firstLineChars="200"/>
        <w:rPr>
          <w:rFonts w:hint="default" w:ascii="宋体" w:hAnsi="宋体"/>
          <w:sz w:val="24"/>
          <w:szCs w:val="24"/>
          <w:lang w:val="en-US" w:eastAsia="zh-CN"/>
        </w:rPr>
      </w:pPr>
      <w:r>
        <w:rPr>
          <w:rFonts w:hint="eastAsia"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、资质要求：具有柴油发电机设备租赁资质；</w:t>
      </w:r>
    </w:p>
    <w:p>
      <w:pPr>
        <w:keepNext w:val="0"/>
        <w:keepLines w:val="0"/>
        <w:pageBreakBefore w:val="0"/>
        <w:kinsoku/>
        <w:wordWrap/>
        <w:overflowPunct/>
        <w:topLinePunct w:val="0"/>
        <w:autoSpaceDE/>
        <w:autoSpaceDN/>
        <w:bidi w:val="0"/>
        <w:spacing w:line="24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、投标方提供的设备须能达到总功率的80%效率。投标方承担往返运费，必须配备设备看管人员，招标方提供柴油和在招标方院内的装卸车。</w:t>
      </w:r>
    </w:p>
    <w:p>
      <w:pPr>
        <w:keepNext w:val="0"/>
        <w:keepLines w:val="0"/>
        <w:pageBreakBefore w:val="0"/>
        <w:kinsoku/>
        <w:wordWrap/>
        <w:overflowPunct/>
        <w:topLinePunct w:val="0"/>
        <w:autoSpaceDE/>
        <w:autoSpaceDN/>
        <w:bidi w:val="0"/>
        <w:spacing w:line="24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租赁设备使用期间发生故障，由投标方负责在最短时间内解决，费用由投标方承担（不包括使用不当或长时间超载运行造成的故障）；故障时间超过30分钟，扣除租赁费用10%，超过1小时，扣除租赁费用20%，以此类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rPr>
      </w:pPr>
      <w:r>
        <w:rPr>
          <w:rFonts w:hint="eastAsia"/>
          <w:sz w:val="24"/>
          <w:lang w:val="en-US" w:eastAsia="zh-CN"/>
        </w:rPr>
        <w:t>7</w:t>
      </w:r>
      <w:r>
        <w:rPr>
          <w:rFonts w:hint="eastAsia"/>
          <w:sz w:val="24"/>
        </w:rPr>
        <w:t>、招标方预计5月2</w:t>
      </w:r>
      <w:r>
        <w:rPr>
          <w:rFonts w:hint="eastAsia"/>
          <w:sz w:val="24"/>
          <w:lang w:val="en-US" w:eastAsia="zh-CN"/>
        </w:rPr>
        <w:t>3</w:t>
      </w:r>
      <w:r>
        <w:rPr>
          <w:rFonts w:hint="eastAsia"/>
          <w:sz w:val="24"/>
        </w:rPr>
        <w:t>日</w:t>
      </w:r>
      <w:r>
        <w:rPr>
          <w:rFonts w:hint="eastAsia"/>
          <w:sz w:val="24"/>
          <w:lang w:val="en-US" w:eastAsia="zh-CN"/>
        </w:rPr>
        <w:t>8：00时</w:t>
      </w:r>
      <w:r>
        <w:rPr>
          <w:rFonts w:hint="eastAsia"/>
          <w:sz w:val="24"/>
        </w:rPr>
        <w:t>-2</w:t>
      </w:r>
      <w:r>
        <w:rPr>
          <w:rFonts w:hint="eastAsia"/>
          <w:sz w:val="24"/>
          <w:lang w:val="en-US" w:eastAsia="zh-CN"/>
        </w:rPr>
        <w:t>4</w:t>
      </w:r>
      <w:r>
        <w:rPr>
          <w:rFonts w:hint="eastAsia"/>
          <w:sz w:val="24"/>
        </w:rPr>
        <w:t>日</w:t>
      </w:r>
      <w:r>
        <w:rPr>
          <w:rFonts w:hint="eastAsia"/>
          <w:sz w:val="24"/>
          <w:lang w:val="en-US" w:eastAsia="zh-CN"/>
        </w:rPr>
        <w:t>20：00时</w:t>
      </w:r>
      <w:r>
        <w:rPr>
          <w:rFonts w:hint="eastAsia"/>
          <w:sz w:val="24"/>
        </w:rPr>
        <w:t>使用柴油发电机，投标方须在5月2</w:t>
      </w:r>
      <w:r>
        <w:rPr>
          <w:rFonts w:hint="eastAsia"/>
          <w:sz w:val="24"/>
          <w:lang w:val="en-US" w:eastAsia="zh-CN"/>
        </w:rPr>
        <w:t>2</w:t>
      </w:r>
      <w:r>
        <w:rPr>
          <w:rFonts w:hint="eastAsia"/>
          <w:sz w:val="24"/>
        </w:rPr>
        <w:t>日将柴油发电机运送到招标方单位院内，并做好设备调试工作，计费时间从</w:t>
      </w:r>
      <w:r>
        <w:rPr>
          <w:rFonts w:hint="eastAsia"/>
          <w:sz w:val="24"/>
          <w:lang w:val="en-US" w:eastAsia="zh-CN"/>
        </w:rPr>
        <w:t>发电机启动时</w:t>
      </w:r>
      <w:r>
        <w:rPr>
          <w:rFonts w:hint="eastAsia"/>
          <w:sz w:val="24"/>
        </w:rPr>
        <w:t>起算；如有时间变动，招标方须在投标方发车前4小时告知投标方。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sz w:val="24"/>
          <w:lang w:val="en-US" w:eastAsia="zh-CN"/>
        </w:rPr>
      </w:pPr>
      <w:r>
        <w:rPr>
          <w:rFonts w:hint="eastAsia"/>
          <w:sz w:val="24"/>
          <w:lang w:val="en-US" w:eastAsia="zh-CN"/>
        </w:rPr>
        <w:t>8、上传报价单盖章扫描件。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58"/>
    <w:rsid w:val="0002142C"/>
    <w:rsid w:val="00071781"/>
    <w:rsid w:val="000874C0"/>
    <w:rsid w:val="001730C2"/>
    <w:rsid w:val="001827CD"/>
    <w:rsid w:val="001A230C"/>
    <w:rsid w:val="00201CEA"/>
    <w:rsid w:val="00311699"/>
    <w:rsid w:val="003571AC"/>
    <w:rsid w:val="003A0705"/>
    <w:rsid w:val="00510FD6"/>
    <w:rsid w:val="00544BCC"/>
    <w:rsid w:val="005C0601"/>
    <w:rsid w:val="005E58C4"/>
    <w:rsid w:val="00731B68"/>
    <w:rsid w:val="007C0B45"/>
    <w:rsid w:val="008454A9"/>
    <w:rsid w:val="00914DDE"/>
    <w:rsid w:val="00985F8B"/>
    <w:rsid w:val="00AA5EA7"/>
    <w:rsid w:val="00AD5F10"/>
    <w:rsid w:val="00B95BA7"/>
    <w:rsid w:val="00C1464A"/>
    <w:rsid w:val="00DB5616"/>
    <w:rsid w:val="00DE6A1F"/>
    <w:rsid w:val="00DF7171"/>
    <w:rsid w:val="00E138A5"/>
    <w:rsid w:val="00E62E21"/>
    <w:rsid w:val="00E70A74"/>
    <w:rsid w:val="00F3457B"/>
    <w:rsid w:val="00F36858"/>
    <w:rsid w:val="00FD664E"/>
    <w:rsid w:val="00FE380E"/>
    <w:rsid w:val="118C50FB"/>
    <w:rsid w:val="150D379A"/>
    <w:rsid w:val="1E0F1E04"/>
    <w:rsid w:val="26A1186B"/>
    <w:rsid w:val="27635C0D"/>
    <w:rsid w:val="29E3170A"/>
    <w:rsid w:val="2CF478A3"/>
    <w:rsid w:val="336B0BBF"/>
    <w:rsid w:val="33B45770"/>
    <w:rsid w:val="3DE24180"/>
    <w:rsid w:val="468F1C82"/>
    <w:rsid w:val="4AA72F14"/>
    <w:rsid w:val="4B0E1D4E"/>
    <w:rsid w:val="4B8E10A3"/>
    <w:rsid w:val="4C35316B"/>
    <w:rsid w:val="55B7520C"/>
    <w:rsid w:val="6A635222"/>
    <w:rsid w:val="6D8B5CAD"/>
    <w:rsid w:val="732D03A0"/>
    <w:rsid w:val="74B7375C"/>
    <w:rsid w:val="7E76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167</Words>
  <Characters>182</Characters>
  <Lines>15</Lines>
  <Paragraphs>21</Paragraphs>
  <TotalTime>21</TotalTime>
  <ScaleCrop>false</ScaleCrop>
  <LinksUpToDate>false</LinksUpToDate>
  <CharactersWithSpaces>328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2021-03-17T04:54:00Z</dcterms:created>
  <dc:creator>吴立岗</dc:creator>
  <cp:lastModifiedBy>吴立岗</cp:lastModifiedBy>
  <dcterms:modified xsi:type="dcterms:W3CDTF">2022-05-16T08:26:26Z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AD250E96D78A4D2888B727AF6FD07FDC</vt:lpwstr>
  </property>
</Properties>
</file>