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/>
        <w:jc w:val="center"/>
        <w:outlineLvl w:val="1"/>
        <w:rPr>
          <w:rFonts w:hint="default" w:ascii="仿宋_GB2312" w:hAnsi="仿宋_GB2312" w:eastAsia="仿宋_GB2312" w:cs="仿宋_GB2312"/>
          <w:b/>
          <w:bCs/>
          <w:szCs w:val="28"/>
          <w:lang w:val="en-US"/>
        </w:rPr>
      </w:pPr>
      <w:bookmarkStart w:id="0" w:name="_Toc13397"/>
      <w:bookmarkStart w:id="1" w:name="_Toc23482"/>
      <w:bookmarkStart w:id="2" w:name="_Toc28713"/>
      <w:bookmarkStart w:id="3" w:name="_Toc23449"/>
      <w:bookmarkStart w:id="4" w:name="_Toc2084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水泥生产线与矿山构建双重预防机制</w:t>
      </w:r>
      <w:bookmarkEnd w:id="0"/>
      <w:bookmarkEnd w:id="1"/>
      <w:bookmarkEnd w:id="2"/>
      <w:bookmarkEnd w:id="3"/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</w:t>
      </w:r>
    </w:p>
    <w:tbl>
      <w:tblPr>
        <w:tblStyle w:val="16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2"/>
        <w:gridCol w:w="3739"/>
        <w:gridCol w:w="155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工作步骤</w:t>
            </w:r>
          </w:p>
        </w:tc>
        <w:tc>
          <w:tcPr>
            <w:tcW w:w="37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形成成果</w:t>
            </w: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分项报价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项目启动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培训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策划与准备</w:t>
            </w:r>
          </w:p>
        </w:tc>
        <w:tc>
          <w:tcPr>
            <w:tcW w:w="3739" w:type="dxa"/>
            <w:vAlign w:val="center"/>
          </w:tcPr>
          <w:p>
            <w:pPr>
              <w:pStyle w:val="9"/>
              <w:ind w:left="240" w:right="0" w:hanging="240" w:hanging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1、指导企业成立双重预防机制建设工作领导机构</w:t>
            </w:r>
          </w:p>
          <w:p>
            <w:pPr>
              <w:pStyle w:val="9"/>
              <w:spacing w:line="240" w:lineRule="auto"/>
              <w:ind w:left="0" w:right="-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、培训：</w:t>
            </w:r>
          </w:p>
          <w:p>
            <w:pPr>
              <w:pStyle w:val="9"/>
              <w:spacing w:line="240" w:lineRule="auto"/>
              <w:ind w:left="0" w:right="-91" w:firstLine="120" w:firstLineChars="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（1）双重预防机制相关的法律法规、标准、规范；</w:t>
            </w:r>
          </w:p>
          <w:p>
            <w:pPr>
              <w:pStyle w:val="9"/>
              <w:ind w:left="0" w:firstLine="120" w:firstLineChars="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（2）构建双重预防机制具体方法</w:t>
            </w:r>
          </w:p>
          <w:p>
            <w:pPr>
              <w:pStyle w:val="9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、现场情况摸底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全员了解双重预防工作的内容、程序和方法</w:t>
            </w:r>
          </w:p>
        </w:tc>
        <w:tc>
          <w:tcPr>
            <w:tcW w:w="1640" w:type="dxa"/>
            <w:vAlign w:val="center"/>
          </w:tcPr>
          <w:p>
            <w:pPr>
              <w:spacing w:line="490" w:lineRule="exact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2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风险辨识</w:t>
            </w:r>
          </w:p>
        </w:tc>
        <w:tc>
          <w:tcPr>
            <w:tcW w:w="3739" w:type="dxa"/>
            <w:vAlign w:val="center"/>
          </w:tcPr>
          <w:p>
            <w:pPr>
              <w:pStyle w:val="18"/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信息收集与准备；</w:t>
            </w:r>
          </w:p>
          <w:p>
            <w:pPr>
              <w:pStyle w:val="18"/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全面、详细地剖析生产系统；</w:t>
            </w:r>
          </w:p>
          <w:p>
            <w:pPr>
              <w:pStyle w:val="18"/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结合一个示范的风险点，包括：设备设施、场所辨识风险单元，带领并指导企业结合标准规范要求，来辨识危险有害因素；</w:t>
            </w:r>
          </w:p>
          <w:p>
            <w:pPr>
              <w:pStyle w:val="18"/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培训车间级、班组级的技术人员学会风险辨识的方法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 w:cs="仿宋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Cs w:val="24"/>
              </w:rPr>
              <w:t>、车间级、班组级培训；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 w:cs="仿宋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Cs w:val="24"/>
              </w:rPr>
              <w:t>、形成企业的作业活动清单、主要风险点清单</w:t>
            </w:r>
          </w:p>
        </w:tc>
        <w:tc>
          <w:tcPr>
            <w:tcW w:w="1640" w:type="dxa"/>
            <w:vAlign w:val="center"/>
          </w:tcPr>
          <w:p>
            <w:pPr>
              <w:spacing w:line="490" w:lineRule="exact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3</w:t>
            </w:r>
          </w:p>
        </w:tc>
        <w:tc>
          <w:tcPr>
            <w:tcW w:w="141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风险分级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管控清单</w:t>
            </w:r>
          </w:p>
        </w:tc>
        <w:tc>
          <w:tcPr>
            <w:tcW w:w="3739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360" w:hanging="360" w:hangingChars="15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、针对识别出的风险点名称、风险类别、危险源、风险等级清单，按照安全风险分级管控工作制度实施管理，明确安全风险分级管控原则和责任主体，分别落实领导层、管理层、员工层的风险管控职责和风险管控清单；分类别、分专业明确部门、车间、班组、岗位的安全风险管控措施；</w:t>
            </w:r>
          </w:p>
          <w:p>
            <w:pPr>
              <w:adjustRightInd w:val="0"/>
              <w:snapToGrid w:val="0"/>
              <w:spacing w:line="240" w:lineRule="auto"/>
              <w:ind w:left="360" w:hanging="360" w:hangingChars="150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 w:cs="仿宋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Cs w:val="24"/>
              </w:rPr>
              <w:t>、绘制企业安全风险四色分布图</w:t>
            </w:r>
          </w:p>
          <w:p>
            <w:pPr>
              <w:adjustRightInd w:val="0"/>
              <w:snapToGrid w:val="0"/>
              <w:spacing w:line="240" w:lineRule="auto"/>
              <w:ind w:left="360" w:leftChars="100" w:hanging="120" w:hangingChars="50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包括：固有风险清单、现有风险清单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1、形成风险分级管控清单</w:t>
            </w:r>
          </w:p>
          <w:p>
            <w:pPr>
              <w:pStyle w:val="9"/>
              <w:spacing w:line="240" w:lineRule="auto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、形成安全风险四色分布图两张；</w:t>
            </w:r>
          </w:p>
        </w:tc>
        <w:tc>
          <w:tcPr>
            <w:tcW w:w="1640" w:type="dxa"/>
            <w:vAlign w:val="center"/>
          </w:tcPr>
          <w:p>
            <w:pPr>
              <w:spacing w:line="490" w:lineRule="exact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4</w:t>
            </w:r>
          </w:p>
        </w:tc>
        <w:tc>
          <w:tcPr>
            <w:tcW w:w="141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隐患排查和治理</w:t>
            </w:r>
          </w:p>
        </w:tc>
        <w:tc>
          <w:tcPr>
            <w:tcW w:w="3739" w:type="dxa"/>
            <w:vAlign w:val="center"/>
          </w:tcPr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hangingChars="15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结合工贸机械类企业隐患排查</w:t>
            </w:r>
          </w:p>
          <w:p>
            <w:pPr>
              <w:adjustRightInd w:val="0"/>
              <w:snapToGrid w:val="0"/>
              <w:spacing w:line="240" w:lineRule="auto"/>
              <w:ind w:left="360" w:leftChars="100" w:hanging="120" w:hangingChars="5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方案，按照安全基础管理、机械设备设施、电器仪表、化学品管理与消防应急、职业健康安全管理等专业进行企业现场隐患排查；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hangingChars="15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编制问题清单与整改建议；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hangingChars="15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现场复核风险辨识与评估分级清单的适宜性、充分性；</w:t>
            </w:r>
          </w:p>
          <w:p>
            <w:pPr>
              <w:adjustRightInd w:val="0"/>
              <w:snapToGrid w:val="0"/>
              <w:spacing w:line="240" w:lineRule="auto"/>
              <w:ind w:left="360" w:hanging="360" w:hangingChars="15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4、结合企业实际，指导企业完善隐患治理措施；</w:t>
            </w:r>
          </w:p>
          <w:p>
            <w:pPr>
              <w:adjustRightInd w:val="0"/>
              <w:snapToGrid w:val="0"/>
              <w:spacing w:line="240" w:lineRule="auto"/>
              <w:ind w:left="360" w:hanging="360" w:hangingChars="150"/>
            </w:pPr>
            <w:r>
              <w:rPr>
                <w:rFonts w:ascii="仿宋" w:hAnsi="仿宋" w:eastAsia="仿宋" w:cs="仿宋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Cs w:val="24"/>
              </w:rPr>
              <w:t>、如存在重大隐患，需按照要求制定重大隐患治理实施方案并严格落实。</w:t>
            </w:r>
          </w:p>
        </w:tc>
        <w:tc>
          <w:tcPr>
            <w:tcW w:w="1550" w:type="dxa"/>
            <w:vAlign w:val="center"/>
          </w:tcPr>
          <w:p>
            <w:pPr>
              <w:spacing w:line="490" w:lineRule="exac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形成隐患排查治理台账</w:t>
            </w:r>
          </w:p>
        </w:tc>
        <w:tc>
          <w:tcPr>
            <w:tcW w:w="1640" w:type="dxa"/>
            <w:vAlign w:val="center"/>
          </w:tcPr>
          <w:p>
            <w:pPr>
              <w:spacing w:line="490" w:lineRule="exact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5</w:t>
            </w:r>
          </w:p>
        </w:tc>
        <w:tc>
          <w:tcPr>
            <w:tcW w:w="141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警示和公告</w:t>
            </w:r>
          </w:p>
        </w:tc>
        <w:tc>
          <w:tcPr>
            <w:tcW w:w="3739" w:type="dxa"/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指导企业制作安全警示公告栏和风险告知卡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现场布置安全警示公告栏和风险告知卡</w:t>
            </w:r>
          </w:p>
        </w:tc>
        <w:tc>
          <w:tcPr>
            <w:tcW w:w="1640" w:type="dxa"/>
            <w:vAlign w:val="center"/>
          </w:tcPr>
          <w:p>
            <w:pPr>
              <w:spacing w:line="490" w:lineRule="exact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6</w:t>
            </w:r>
          </w:p>
        </w:tc>
        <w:tc>
          <w:tcPr>
            <w:tcW w:w="141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双重预防建设工作总结</w:t>
            </w:r>
          </w:p>
        </w:tc>
        <w:tc>
          <w:tcPr>
            <w:tcW w:w="3739" w:type="dxa"/>
            <w:vAlign w:val="center"/>
          </w:tcPr>
          <w:p>
            <w:pPr>
              <w:spacing w:line="240" w:lineRule="auto"/>
              <w:ind w:left="175" w:hanging="175" w:hangingChars="73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编写工作报告</w:t>
            </w:r>
          </w:p>
        </w:tc>
        <w:tc>
          <w:tcPr>
            <w:tcW w:w="1550" w:type="dxa"/>
            <w:vAlign w:val="center"/>
          </w:tcPr>
          <w:p>
            <w:pPr>
              <w:spacing w:line="490" w:lineRule="exac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工作报告</w:t>
            </w:r>
          </w:p>
        </w:tc>
        <w:tc>
          <w:tcPr>
            <w:tcW w:w="1640" w:type="dxa"/>
            <w:vAlign w:val="center"/>
          </w:tcPr>
          <w:p>
            <w:pPr>
              <w:spacing w:line="490" w:lineRule="exact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7</w:t>
            </w:r>
          </w:p>
        </w:tc>
        <w:tc>
          <w:tcPr>
            <w:tcW w:w="14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票据</w:t>
            </w:r>
          </w:p>
        </w:tc>
        <w:tc>
          <w:tcPr>
            <w:tcW w:w="3739" w:type="dxa"/>
            <w:vAlign w:val="center"/>
          </w:tcPr>
          <w:p>
            <w:pPr>
              <w:spacing w:line="240" w:lineRule="auto"/>
              <w:ind w:left="175" w:hanging="175" w:hangingChars="73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增值税专用发票</w:t>
            </w:r>
          </w:p>
        </w:tc>
        <w:tc>
          <w:tcPr>
            <w:tcW w:w="1550" w:type="dxa"/>
            <w:vAlign w:val="center"/>
          </w:tcPr>
          <w:p>
            <w:pPr>
              <w:spacing w:line="490" w:lineRule="exact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税费</w:t>
            </w:r>
          </w:p>
        </w:tc>
        <w:tc>
          <w:tcPr>
            <w:tcW w:w="1640" w:type="dxa"/>
            <w:vAlign w:val="center"/>
          </w:tcPr>
          <w:p>
            <w:pPr>
              <w:spacing w:line="490" w:lineRule="exact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90" w:lineRule="exact"/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  <w:t>8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合计（含税费）</w:t>
            </w:r>
          </w:p>
        </w:tc>
        <w:tc>
          <w:tcPr>
            <w:tcW w:w="6929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B2058"/>
    <w:multiLevelType w:val="multilevel"/>
    <w:tmpl w:val="03DB2058"/>
    <w:lvl w:ilvl="0" w:tentative="0">
      <w:start w:val="1"/>
      <w:numFmt w:val="decimal"/>
      <w:pStyle w:val="3"/>
      <w:lvlText w:val="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C3D6B"/>
    <w:multiLevelType w:val="multilevel"/>
    <w:tmpl w:val="257C3D6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55BB7"/>
    <w:multiLevelType w:val="multilevel"/>
    <w:tmpl w:val="57355BB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A7938"/>
    <w:rsid w:val="002B735A"/>
    <w:rsid w:val="23C73041"/>
    <w:rsid w:val="2BD55F02"/>
    <w:rsid w:val="2ED12E48"/>
    <w:rsid w:val="2F91569A"/>
    <w:rsid w:val="33330134"/>
    <w:rsid w:val="49113EE5"/>
    <w:rsid w:val="4959692B"/>
    <w:rsid w:val="58242733"/>
    <w:rsid w:val="5F4A7938"/>
    <w:rsid w:val="67C125D2"/>
    <w:rsid w:val="6E0D6B47"/>
    <w:rsid w:val="70902E0C"/>
    <w:rsid w:val="7648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/>
      <w:jc w:val="left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tabs>
        <w:tab w:val="left" w:pos="0"/>
      </w:tabs>
      <w:spacing w:line="240" w:lineRule="auto"/>
      <w:ind w:left="420" w:firstLine="420" w:firstLineChars="0"/>
    </w:pPr>
    <w:rPr>
      <w:rFonts w:ascii="Times New Roman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ody Text"/>
    <w:basedOn w:val="1"/>
    <w:qFormat/>
    <w:uiPriority w:val="1"/>
    <w:rPr>
      <w:rFonts w:ascii="宋体" w:hAnsi="宋体" w:cs="宋体"/>
      <w:sz w:val="21"/>
      <w:szCs w:val="21"/>
      <w:lang w:val="zh-CN" w:bidi="zh-CN"/>
    </w:rPr>
  </w:style>
  <w:style w:type="paragraph" w:styleId="8">
    <w:name w:val="Body Text Indent"/>
    <w:basedOn w:val="1"/>
    <w:qFormat/>
    <w:uiPriority w:val="0"/>
    <w:pPr>
      <w:widowControl/>
      <w:ind w:firstLine="652" w:firstLineChars="233"/>
    </w:pPr>
    <w:rPr>
      <w:sz w:val="28"/>
    </w:rPr>
  </w:style>
  <w:style w:type="paragraph" w:styleId="9">
    <w:name w:val="Block Text"/>
    <w:basedOn w:val="1"/>
    <w:qFormat/>
    <w:uiPriority w:val="0"/>
    <w:pPr>
      <w:ind w:left="548" w:right="-88"/>
    </w:pPr>
    <w:rPr>
      <w:rFonts w:ascii="宋体"/>
      <w:sz w:val="28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8020</Words>
  <Characters>9041</Characters>
  <Lines>0</Lines>
  <Paragraphs>0</Paragraphs>
  <TotalTime>4</TotalTime>
  <ScaleCrop>false</ScaleCrop>
  <LinksUpToDate>false</LinksUpToDate>
  <CharactersWithSpaces>9182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2020-11-09T10:09:00Z</dcterms:created>
  <dc:creator>你的jrr</dc:creator>
  <cp:lastModifiedBy>瑜</cp:lastModifiedBy>
  <dcterms:modified xsi:type="dcterms:W3CDTF">2022-04-07T05:25:13Z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E9BA4240246440D4A0A94FEDE0C341EB</vt:lpwstr>
  </property>
</Properties>
</file>