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 xml:space="preserve"> 宣化金隅水泥喷码发货系统方案</w:t>
      </w:r>
    </w:p>
    <w:p>
      <w:pPr>
        <w:spacing w:after="0" w:line="360" w:lineRule="auto"/>
        <w:ind w:left="708" w:leftChars="322"/>
        <w:jc w:val="center"/>
        <w:rPr>
          <w:rFonts w:asciiTheme="minorEastAsia" w:hAnsiTheme="minorEastAsia" w:eastAsiaTheme="minorEastAsia"/>
          <w:b/>
          <w:sz w:val="21"/>
          <w:szCs w:val="21"/>
        </w:rPr>
      </w:pPr>
    </w:p>
    <w:p>
      <w:pPr>
        <w:spacing w:after="0" w:line="360" w:lineRule="auto"/>
        <w:rPr>
          <w:rStyle w:val="12"/>
        </w:rPr>
      </w:pPr>
      <w:r>
        <w:rPr>
          <w:rStyle w:val="12"/>
          <w:rFonts w:hint="eastAsia"/>
        </w:rPr>
        <w:t>一、喷码发货系统要求：</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喷码机需要双行打印，打印内容为金隅集团统一要求的质量码及防串货码。</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喷码数据来源为自动获取盾石信息公司发运系统中的喷码数据。</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喷码机需保证每袋喷码均正确，不打印或打印字符不清晰时要报警提示。</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设备需具备可靠的二维码打印及二维码识别拓展功能。为后续喷码升级做预留。</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系统要求能与信息公司发运系统对接，刷卡至提货过程，流程清晰，简单易操作。</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系统实现自动喷码、自动计数、到数自动停机、大屏显示车牌信息、提货型号、提货包数。</w:t>
      </w:r>
    </w:p>
    <w:p>
      <w:pPr>
        <w:pStyle w:val="11"/>
        <w:numPr>
          <w:ilvl w:val="0"/>
          <w:numId w:val="1"/>
        </w:numPr>
        <w:spacing w:after="0" w:line="360" w:lineRule="auto"/>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设备要符合节生产陈本，便于现场维护，符合国家环保政策的要求。</w:t>
      </w:r>
    </w:p>
    <w:p>
      <w:pPr>
        <w:pStyle w:val="11"/>
        <w:spacing w:after="0" w:line="360" w:lineRule="auto"/>
        <w:ind w:left="720" w:firstLine="0" w:firstLineChars="0"/>
        <w:rPr>
          <w:rFonts w:asciiTheme="minorEastAsia" w:hAnsiTheme="minorEastAsia" w:eastAsiaTheme="minorEastAsia"/>
          <w:sz w:val="21"/>
          <w:szCs w:val="21"/>
        </w:rPr>
      </w:pPr>
    </w:p>
    <w:p>
      <w:pPr>
        <w:spacing w:after="0" w:line="360" w:lineRule="auto"/>
        <w:rPr>
          <w:rStyle w:val="12"/>
        </w:rPr>
      </w:pPr>
      <w:r>
        <w:rPr>
          <w:rStyle w:val="12"/>
          <w:rFonts w:hint="eastAsia"/>
        </w:rPr>
        <w:t>二、设备选用：</w:t>
      </w:r>
    </w:p>
    <w:p>
      <w:pPr>
        <w:spacing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2.1   </w:t>
      </w:r>
      <w:r>
        <w:rPr>
          <w:rFonts w:hint="eastAsia" w:asciiTheme="minorEastAsia" w:hAnsiTheme="minorEastAsia" w:eastAsiaTheme="minorEastAsia"/>
          <w:b/>
          <w:sz w:val="21"/>
          <w:szCs w:val="21"/>
        </w:rPr>
        <w:t>喷码机选用</w:t>
      </w:r>
    </w:p>
    <w:p>
      <w:pPr>
        <w:spacing w:after="0" w:line="360" w:lineRule="auto"/>
        <w:ind w:left="708" w:leftChars="322"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为满足现场喷码需求，建议采</w:t>
      </w:r>
      <w:r>
        <w:rPr>
          <w:rFonts w:hint="eastAsia" w:asciiTheme="minorEastAsia" w:hAnsiTheme="minorEastAsia" w:eastAsiaTheme="minorEastAsia"/>
          <w:b w:val="0"/>
          <w:bCs/>
          <w:sz w:val="21"/>
          <w:szCs w:val="21"/>
        </w:rPr>
        <w:t>用</w:t>
      </w:r>
      <w:r>
        <w:rPr>
          <w:rFonts w:hint="eastAsia" w:asciiTheme="minorEastAsia" w:hAnsiTheme="minorEastAsia" w:eastAsiaTheme="minorEastAsia"/>
          <w:b/>
          <w:sz w:val="21"/>
          <w:szCs w:val="21"/>
        </w:rPr>
        <w:t>Condor-ULG-9501</w:t>
      </w:r>
      <w:r>
        <w:rPr>
          <w:rFonts w:hint="eastAsia" w:asciiTheme="minorEastAsia" w:hAnsiTheme="minorEastAsia" w:eastAsiaTheme="minorEastAsia"/>
          <w:sz w:val="21"/>
          <w:szCs w:val="21"/>
        </w:rPr>
        <w:t>喷码机，该喷码机采用Windows 10 系统、可高清打印双行、及多行、可直接与发运系统对接、打印分辨率可达1200DPI以上、可直接用于打印二维码、使用环保型墨水，无需清洗剂，不堵喷头，系统可直接拓展二维码识别与视觉识别，为以后现场一物一码，防伪防串货提供硬件支持。</w:t>
      </w:r>
    </w:p>
    <w:p>
      <w:pPr>
        <w:spacing w:after="0"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2.2   发货系统选用</w:t>
      </w:r>
    </w:p>
    <w:p>
      <w:pPr>
        <w:spacing w:after="0" w:line="360" w:lineRule="auto"/>
        <w:ind w:left="708" w:leftChars="322" w:firstLine="405"/>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根据现场智能发运系统的部署情况及车道信息情况，</w:t>
      </w:r>
      <w:r>
        <w:rPr>
          <w:rFonts w:hint="eastAsia" w:cs="Times New Roman" w:asciiTheme="minorEastAsia" w:hAnsiTheme="minorEastAsia" w:eastAsiaTheme="minorEastAsia"/>
          <w:b/>
          <w:kern w:val="2"/>
          <w:sz w:val="21"/>
          <w:szCs w:val="21"/>
        </w:rPr>
        <w:t>Condor-F900B</w:t>
      </w:r>
      <w:r>
        <w:rPr>
          <w:rFonts w:hint="eastAsia" w:cs="Times New Roman" w:asciiTheme="minorEastAsia" w:hAnsiTheme="minorEastAsia" w:eastAsiaTheme="minorEastAsia"/>
          <w:kern w:val="2"/>
          <w:sz w:val="21"/>
          <w:szCs w:val="21"/>
        </w:rPr>
        <w:t>发货系统，系统硬件主要由1套工控机、2套计数器、2套辅助计数屏、4套LED大屏及4套刷卡设备组成，软件支持刷卡自动显示车牌号、产品号、提货量等基础信息，计数器自动接收数据开始计数、计数到包提前预警、计数到包自动停止、自动补包、手动补包等多项功能</w:t>
      </w:r>
      <w:r>
        <w:rPr>
          <w:rFonts w:hint="eastAsia" w:cs="Times New Roman" w:asciiTheme="minorEastAsia" w:hAnsiTheme="minorEastAsia" w:eastAsiaTheme="minorEastAsia"/>
          <w:kern w:val="2"/>
          <w:sz w:val="21"/>
          <w:szCs w:val="21"/>
          <w:lang w:eastAsia="zh-CN"/>
        </w:rPr>
        <w:t>。</w:t>
      </w:r>
    </w:p>
    <w:p>
      <w:pPr>
        <w:spacing w:after="0" w:line="360" w:lineRule="auto"/>
        <w:rPr>
          <w:rFonts w:ascii="楷体_GB2312" w:eastAsia="宋体" w:cs="Times New Roman"/>
          <w:b/>
          <w:kern w:val="44"/>
          <w:sz w:val="24"/>
          <w:szCs w:val="24"/>
        </w:rPr>
      </w:pPr>
      <w:r>
        <w:rPr>
          <w:rStyle w:val="12"/>
          <w:rFonts w:hint="eastAsia"/>
        </w:rPr>
        <w:t>三、喷码发货系统工作流程：</w:t>
      </w:r>
    </w:p>
    <w:p>
      <w:pPr>
        <w:spacing w:after="0" w:line="360" w:lineRule="auto"/>
        <w:ind w:left="565" w:leftChars="257" w:firstLine="42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在控制室安装工控机，工控机与现场原有发运系统通过网络连接，工控机通过网络将数据传输给喷码机与计数器、当司机刷卡时系统根据卡片内容自动读取提货信息，将提货信息展示在车道LED大屏，同时计数器进入等待计数状态，喷码机自动获取到该车次喷码信息并进入等待喷印状态。操作工开始发货，计数器计数即将到达指定包数时输出报警提示上袋工人，计数器到达指定包数时发出停止信号控制皮带或包装机停止。遇到需要补包的情况时可设定现场手动补包或由控制室控制补包或者需要重新制卡补包</w:t>
      </w:r>
      <w:r>
        <w:rPr>
          <w:rFonts w:hint="eastAsia" w:asciiTheme="minorEastAsia" w:hAnsiTheme="minorEastAsia" w:eastAsiaTheme="minorEastAsia"/>
          <w:sz w:val="21"/>
          <w:szCs w:val="21"/>
          <w:lang w:eastAsia="zh-CN"/>
        </w:rPr>
        <w:t>。</w:t>
      </w:r>
    </w:p>
    <w:p>
      <w:pPr>
        <w:spacing w:after="0" w:line="360" w:lineRule="auto"/>
        <w:ind w:left="565" w:leftChars="257" w:firstLine="420"/>
        <w:rPr>
          <w:rFonts w:hint="eastAsia" w:asciiTheme="minorEastAsia" w:hAnsiTheme="minorEastAsia" w:eastAsiaTheme="minorEastAsia"/>
          <w:sz w:val="21"/>
          <w:szCs w:val="21"/>
          <w:lang w:eastAsia="zh-CN"/>
        </w:rPr>
      </w:pPr>
    </w:p>
    <w:p>
      <w:pPr>
        <w:spacing w:after="0" w:line="360" w:lineRule="auto"/>
        <w:ind w:left="565" w:leftChars="257" w:firstLine="420"/>
        <w:rPr>
          <w:rFonts w:hint="eastAsia" w:asciiTheme="minorEastAsia" w:hAnsiTheme="minorEastAsia" w:eastAsiaTheme="minorEastAsia"/>
          <w:sz w:val="21"/>
          <w:szCs w:val="21"/>
          <w:lang w:eastAsia="zh-CN"/>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Style w:val="12"/>
        </w:rPr>
      </w:pPr>
      <w:r>
        <w:rPr>
          <w:rStyle w:val="12"/>
          <w:rFonts w:hint="eastAsia"/>
        </w:rPr>
        <w:t>四、系统部署</w:t>
      </w:r>
    </w:p>
    <w:tbl>
      <w:tblPr>
        <w:tblStyle w:val="8"/>
        <w:tblW w:w="9923"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23"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pStyle w:val="11"/>
              <w:spacing w:after="0"/>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网络拓扑结构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58" w:hRule="atLeast"/>
        </w:trPr>
        <w:tc>
          <w:tcPr>
            <w:tcW w:w="99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tabs>
                <w:tab w:val="center" w:pos="4853"/>
                <w:tab w:val="left" w:pos="6248"/>
              </w:tabs>
              <w:spacing w:after="0"/>
              <w:ind w:left="-101" w:leftChars="-46"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286500" cy="35433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srcRect/>
                          <a:stretch>
                            <a:fillRect/>
                          </a:stretch>
                        </pic:blipFill>
                        <pic:spPr>
                          <a:xfrm>
                            <a:off x="0" y="0"/>
                            <a:ext cx="6286500" cy="354330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9923" w:type="dxa"/>
            <w:tcBorders>
              <w:top w:val="single" w:color="auto" w:sz="4" w:space="0"/>
              <w:bottom w:val="single" w:color="auto" w:sz="4" w:space="0"/>
            </w:tcBorders>
            <w:shd w:val="clear" w:color="auto" w:fill="auto"/>
            <w:vAlign w:val="center"/>
          </w:tcPr>
          <w:p>
            <w:pPr>
              <w:pStyle w:val="11"/>
              <w:tabs>
                <w:tab w:val="center" w:pos="4853"/>
                <w:tab w:val="left" w:pos="6248"/>
              </w:tabs>
              <w:spacing w:after="0"/>
              <w:ind w:firstLine="0" w:firstLineChars="0"/>
              <w:jc w:val="center"/>
              <w:rPr>
                <w:rFonts w:asciiTheme="minorEastAsia" w:hAnsiTheme="minorEastAsia" w:eastAsiaTheme="minorEastAsia"/>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6" w:hRule="atLeast"/>
        </w:trPr>
        <w:tc>
          <w:tcPr>
            <w:tcW w:w="9923"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pStyle w:val="11"/>
              <w:spacing w:after="0"/>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设备安装位置参考图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923" w:type="dxa"/>
            <w:tcBorders>
              <w:top w:val="single" w:color="auto" w:sz="4" w:space="0"/>
              <w:left w:val="single" w:color="auto" w:sz="4" w:space="0"/>
              <w:right w:val="single" w:color="auto" w:sz="4" w:space="0"/>
            </w:tcBorders>
            <w:vAlign w:val="center"/>
          </w:tcPr>
          <w:p>
            <w:pPr>
              <w:pStyle w:val="11"/>
              <w:spacing w:after="0"/>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drawing>
                <wp:inline distT="0" distB="0" distL="0" distR="0">
                  <wp:extent cx="5975985" cy="3781425"/>
                  <wp:effectExtent l="57150" t="19050" r="81599"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76008" cy="3781487"/>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 w:hRule="atLeast"/>
        </w:trPr>
        <w:tc>
          <w:tcPr>
            <w:tcW w:w="9923" w:type="dxa"/>
            <w:tcBorders>
              <w:left w:val="single" w:color="auto" w:sz="4" w:space="0"/>
              <w:bottom w:val="single" w:color="auto" w:sz="4" w:space="0"/>
              <w:right w:val="single" w:color="auto" w:sz="4" w:space="0"/>
            </w:tcBorders>
            <w:vAlign w:val="center"/>
          </w:tcPr>
          <w:p>
            <w:pPr>
              <w:pStyle w:val="11"/>
              <w:spacing w:after="0"/>
              <w:ind w:firstLine="0" w:firstLineChars="0"/>
              <w:rPr>
                <w:rFonts w:asciiTheme="minorEastAsia" w:hAnsiTheme="minorEastAsia" w:eastAsiaTheme="minorEastAsia"/>
                <w:sz w:val="21"/>
                <w:szCs w:val="21"/>
              </w:rPr>
            </w:pPr>
          </w:p>
        </w:tc>
      </w:tr>
    </w:tbl>
    <w:p>
      <w:pPr>
        <w:spacing w:after="0" w:line="360" w:lineRule="auto"/>
        <w:rPr>
          <w:rStyle w:val="12"/>
        </w:rPr>
      </w:pPr>
      <w:r>
        <w:rPr>
          <w:rStyle w:val="12"/>
          <w:rFonts w:hint="eastAsia"/>
        </w:rPr>
        <w:t>五、喷码系统及发货系统对接</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962"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spacing w:after="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喷码机自动打印界面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single" w:color="auto" w:sz="4" w:space="0"/>
              <w:bottom w:val="single" w:color="auto" w:sz="4" w:space="0"/>
            </w:tcBorders>
          </w:tcPr>
          <w:p>
            <w:pPr>
              <w:spacing w:after="0" w:line="360" w:lineRule="auto"/>
              <w:ind w:left="-141" w:leftChars="-64"/>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295390" cy="3743325"/>
                  <wp:effectExtent l="19050" t="0" r="0" b="0"/>
                  <wp:docPr id="23" name="图片 7" descr="C:\Users\Administrator\Desktop\微信图片_20220305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Administrator\Desktop\微信图片_20220305140008.jpg"/>
                          <pic:cNvPicPr>
                            <a:picLocks noChangeAspect="1" noChangeArrowheads="1"/>
                          </pic:cNvPicPr>
                        </pic:nvPicPr>
                        <pic:blipFill>
                          <a:blip r:embed="rId6" cstate="print"/>
                          <a:srcRect/>
                          <a:stretch>
                            <a:fillRect/>
                          </a:stretch>
                        </pic:blipFill>
                        <pic:spPr>
                          <a:xfrm>
                            <a:off x="0" y="0"/>
                            <a:ext cx="6298540" cy="3744821"/>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single" w:color="auto" w:sz="4" w:space="0"/>
              <w:left w:val="nil"/>
              <w:bottom w:val="single" w:color="auto" w:sz="4" w:space="0"/>
              <w:right w:val="nil"/>
            </w:tcBorders>
          </w:tcPr>
          <w:p>
            <w:pPr>
              <w:spacing w:after="0" w:line="360" w:lineRule="auto"/>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962"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spacing w:after="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发货系统控制界面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5" w:hRule="atLeast"/>
        </w:trPr>
        <w:tc>
          <w:tcPr>
            <w:tcW w:w="9962" w:type="dxa"/>
            <w:tcBorders>
              <w:top w:val="single" w:color="auto" w:sz="4" w:space="0"/>
            </w:tcBorders>
          </w:tcPr>
          <w:p>
            <w:pPr>
              <w:spacing w:after="0" w:line="360" w:lineRule="auto"/>
              <w:ind w:left="-141" w:leftChars="-64"/>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295390" cy="3667125"/>
                  <wp:effectExtent l="19050" t="0" r="0" b="0"/>
                  <wp:docPr id="21" name="图片 6" descr="C:\Users\Administrator\Desktop\微信图片_2022030417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Administrator\Desktop\微信图片_20220304173706.png"/>
                          <pic:cNvPicPr>
                            <a:picLocks noChangeAspect="1" noChangeArrowheads="1"/>
                          </pic:cNvPicPr>
                        </pic:nvPicPr>
                        <pic:blipFill>
                          <a:blip r:embed="rId7" cstate="print"/>
                          <a:srcRect/>
                          <a:stretch>
                            <a:fillRect/>
                          </a:stretch>
                        </pic:blipFill>
                        <pic:spPr>
                          <a:xfrm>
                            <a:off x="0" y="0"/>
                            <a:ext cx="6294853" cy="3666443"/>
                          </a:xfrm>
                          <a:prstGeom prst="rect">
                            <a:avLst/>
                          </a:prstGeom>
                          <a:noFill/>
                          <a:ln w="9525">
                            <a:noFill/>
                            <a:miter lim="800000"/>
                            <a:headEnd/>
                            <a:tailEnd/>
                          </a:ln>
                        </pic:spPr>
                      </pic:pic>
                    </a:graphicData>
                  </a:graphic>
                </wp:inline>
              </w:drawing>
            </w:r>
          </w:p>
        </w:tc>
      </w:tr>
    </w:tbl>
    <w:p>
      <w:pPr>
        <w:spacing w:after="0" w:line="360" w:lineRule="auto"/>
        <w:rPr>
          <w:rStyle w:val="12"/>
        </w:rPr>
      </w:pPr>
      <w:r>
        <w:rPr>
          <w:rStyle w:val="12"/>
          <w:rFonts w:hint="eastAsia"/>
        </w:rPr>
        <w:t>六、提货流程：</w:t>
      </w:r>
    </w:p>
    <w:p>
      <w:pPr>
        <w:spacing w:after="0" w:line="360" w:lineRule="auto"/>
        <w:ind w:left="843" w:hanging="843" w:hangingChars="400"/>
        <w:rPr>
          <w:rFonts w:asciiTheme="minorEastAsia" w:hAnsiTheme="minorEastAsia" w:eastAsiaTheme="minorEastAsia"/>
          <w:b/>
          <w:sz w:val="21"/>
          <w:szCs w:val="21"/>
        </w:rPr>
      </w:pPr>
      <w:r>
        <w:rPr>
          <w:rFonts w:hint="eastAsia" w:asciiTheme="minorEastAsia" w:hAnsiTheme="minorEastAsia" w:eastAsiaTheme="minorEastAsia"/>
          <w:b/>
          <w:sz w:val="21"/>
          <w:szCs w:val="21"/>
        </w:rPr>
        <w:t>6．1、 信息同步流程：</w:t>
      </w:r>
    </w:p>
    <w:p>
      <w:pPr>
        <w:spacing w:after="0" w:line="360" w:lineRule="auto"/>
        <w:ind w:left="875" w:leftChars="350" w:hanging="105" w:hangingChars="50"/>
        <w:rPr>
          <w:rFonts w:asciiTheme="minorEastAsia" w:hAnsiTheme="minorEastAsia" w:eastAsiaTheme="minorEastAsia"/>
          <w:sz w:val="21"/>
          <w:szCs w:val="21"/>
        </w:rPr>
      </w:pPr>
      <w:r>
        <w:rPr>
          <w:rFonts w:hint="eastAsia" w:asciiTheme="minorEastAsia" w:hAnsiTheme="minorEastAsia" w:eastAsiaTheme="minorEastAsia"/>
          <w:sz w:val="21"/>
          <w:szCs w:val="21"/>
        </w:rPr>
        <w:t>司机刷卡→数据读取→获取信息并同步处理→喷码机启动→计数器启动→装车结束自动停机</w:t>
      </w:r>
    </w:p>
    <w:p>
      <w:pPr>
        <w:spacing w:after="0"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6.2、  具体提货流程</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1） 提货司机进厂在开票室开好提货单前往提货现场，司机根据现场情况到对应车道自动排队刷卡提货。2） 刷卡成功开机后系统自动发送所需打印内容（冀东集团制定喷码格式-双行打印）的编码到喷码机。</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3） 刷卡成功后系统自动设定的提货包数发送给计数器进行计数。</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4） 当提货包数到达设定包数后，计数器联锁包机与流水线控制停止。</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5） 软件按权限设有多重密码可根据不同权限进入操作。</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6） 软件有补包键、数量更改键，方便进行补包和修改数量。</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7） 自带数据库根据计数器发货数量进行保存发货时间、客户名称、数量、品种、破包数、当班操作人员，以便追溯查询。</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8） 包装机自身皮带机出口端显示屏幕为单排数码管，先显示设定包数，以递减的方式进行计数，方便插包机控制员察看。</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9） 装车移动式皮带机出口端的显示LED屏幕可选择性显示相关内容。一般显示内容为：水泥品种、当前装车车辆车牌号、设定包数、实际包数，计包方式采用递增方进行。LED屏幕安装在站台装车处方便提货人员观看发货情况。</w:t>
      </w:r>
    </w:p>
    <w:p>
      <w:pPr>
        <w:spacing w:after="0" w:line="360" w:lineRule="auto"/>
        <w:ind w:left="284" w:leftChars="129"/>
        <w:rPr>
          <w:rFonts w:asciiTheme="minorEastAsia" w:hAnsiTheme="minorEastAsia" w:eastAsiaTheme="minorEastAsia"/>
          <w:sz w:val="21"/>
          <w:szCs w:val="21"/>
        </w:rPr>
      </w:pPr>
      <w:r>
        <w:rPr>
          <w:rFonts w:hint="eastAsia" w:asciiTheme="minorEastAsia" w:hAnsiTheme="minorEastAsia" w:eastAsiaTheme="minorEastAsia"/>
          <w:sz w:val="21"/>
          <w:szCs w:val="21"/>
        </w:rPr>
        <w:t>10） 一台包机分两个装车道口，每个插包机安装计数器1台，与插包机及包装输送带联锁控制，系统软件没有点击开始喷印插包机及包装输送带无法开启。当计数器到达设定包数后，自动控制包机及包装输送带停止。</w:t>
      </w:r>
    </w:p>
    <w:p>
      <w:pPr>
        <w:spacing w:after="0" w:line="360" w:lineRule="auto"/>
        <w:rPr>
          <w:rFonts w:asciiTheme="minorEastAsia" w:hAnsiTheme="minorEastAsia" w:eastAsiaTheme="minorEastAsia"/>
          <w:sz w:val="21"/>
          <w:szCs w:val="21"/>
        </w:rPr>
      </w:pPr>
    </w:p>
    <w:p>
      <w:pPr>
        <w:spacing w:after="0" w:line="360" w:lineRule="auto"/>
        <w:rPr>
          <w:rStyle w:val="12"/>
        </w:rPr>
      </w:pPr>
      <w:r>
        <w:rPr>
          <w:rStyle w:val="12"/>
          <w:rFonts w:hint="eastAsia"/>
        </w:rPr>
        <w:t>七、喷印数据对接界面（冀东V1.0.1）</w:t>
      </w:r>
      <w:r>
        <w:rPr>
          <w:rStyle w:val="12"/>
          <w:rFonts w:hint="eastAsia"/>
        </w:rPr>
        <w:drawing>
          <wp:inline distT="0" distB="0" distL="0" distR="0">
            <wp:extent cx="6210300" cy="2933700"/>
            <wp:effectExtent l="19050" t="0" r="0" b="0"/>
            <wp:docPr id="25" name="图片 19" descr="C:\Users\ADMINI~1\AppData\Local\Temp\WeChat Files\de88d2d7416811beb5fdfafe50fa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C:\Users\ADMINI~1\AppData\Local\Temp\WeChat Files\de88d2d7416811beb5fdfafe50fad7b.jpg"/>
                    <pic:cNvPicPr>
                      <a:picLocks noChangeAspect="1" noChangeArrowheads="1"/>
                    </pic:cNvPicPr>
                  </pic:nvPicPr>
                  <pic:blipFill>
                    <a:blip r:embed="rId8" cstate="print"/>
                    <a:srcRect l="4635" t="6226" r="1394" b="11021"/>
                    <a:stretch>
                      <a:fillRect/>
                    </a:stretch>
                  </pic:blipFill>
                  <pic:spPr>
                    <a:xfrm>
                      <a:off x="0" y="0"/>
                      <a:ext cx="6210300" cy="2933700"/>
                    </a:xfrm>
                    <a:prstGeom prst="rect">
                      <a:avLst/>
                    </a:prstGeom>
                    <a:noFill/>
                    <a:ln w="9525">
                      <a:noFill/>
                      <a:miter lim="800000"/>
                      <a:headEnd/>
                      <a:tailEnd/>
                    </a:ln>
                  </pic:spPr>
                </pic:pic>
              </a:graphicData>
            </a:graphic>
          </wp:inline>
        </w:drawing>
      </w:r>
    </w:p>
    <w:p>
      <w:pPr>
        <w:spacing w:after="0" w:line="360" w:lineRule="auto"/>
        <w:jc w:val="both"/>
        <w:rPr>
          <w:rStyle w:val="12"/>
        </w:rPr>
      </w:pPr>
      <w:r>
        <w:rPr>
          <w:rStyle w:val="12"/>
          <w:rFonts w:hint="eastAsia"/>
        </w:rPr>
        <w:t>八、Condor-ULG-9501喷码机现场应用效果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962" w:type="dxa"/>
            <w:shd w:val="clear" w:color="auto" w:fill="FBD4B4" w:themeFill="accent6" w:themeFillTint="66"/>
            <w:vAlign w:val="center"/>
          </w:tcPr>
          <w:p>
            <w:pPr>
              <w:spacing w:after="0"/>
              <w:jc w:val="center"/>
              <w:rPr>
                <w:rStyle w:val="12"/>
              </w:rPr>
            </w:pPr>
            <w:r>
              <w:rPr>
                <w:rStyle w:val="12"/>
                <w:rFonts w:hint="eastAsia"/>
              </w:rPr>
              <w:t>双行汉字打印效果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Borders>
              <w:bottom w:val="single" w:color="auto" w:sz="4" w:space="0"/>
            </w:tcBorders>
          </w:tcPr>
          <w:p>
            <w:pPr>
              <w:spacing w:after="0"/>
              <w:ind w:left="-141" w:leftChars="-64"/>
              <w:jc w:val="both"/>
              <w:rPr>
                <w:rStyle w:val="12"/>
              </w:rPr>
            </w:pPr>
            <w:r>
              <w:rPr>
                <w:rFonts w:ascii="楷体_GB2312" w:eastAsia="宋体" w:cs="Times New Roman"/>
                <w:b/>
                <w:kern w:val="44"/>
                <w:sz w:val="24"/>
                <w:szCs w:val="24"/>
              </w:rPr>
              <w:drawing>
                <wp:inline distT="0" distB="0" distL="0" distR="0">
                  <wp:extent cx="6343650" cy="2019300"/>
                  <wp:effectExtent l="19050" t="0" r="0" b="0"/>
                  <wp:docPr id="1" name="图片 1" descr="C:\Users\Administrator\Desktop\微信截图_20220305172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截图_20220305172552.png"/>
                          <pic:cNvPicPr>
                            <a:picLocks noChangeAspect="1" noChangeArrowheads="1"/>
                          </pic:cNvPicPr>
                        </pic:nvPicPr>
                        <pic:blipFill>
                          <a:blip r:embed="rId9" cstate="print"/>
                          <a:srcRect l="6792" t="19266" r="10549" b="11927"/>
                          <a:stretch>
                            <a:fillRect/>
                          </a:stretch>
                        </pic:blipFill>
                        <pic:spPr>
                          <a:xfrm>
                            <a:off x="0" y="0"/>
                            <a:ext cx="6343650" cy="2019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left w:val="nil"/>
              <w:right w:val="nil"/>
            </w:tcBorders>
          </w:tcPr>
          <w:p>
            <w:pPr>
              <w:spacing w:after="0" w:line="360" w:lineRule="auto"/>
              <w:jc w:val="both"/>
              <w:rPr>
                <w:rStyle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962" w:type="dxa"/>
            <w:shd w:val="clear" w:color="auto" w:fill="FBD4B4" w:themeFill="accent6" w:themeFillTint="66"/>
            <w:vAlign w:val="center"/>
          </w:tcPr>
          <w:p>
            <w:pPr>
              <w:tabs>
                <w:tab w:val="left" w:pos="8940"/>
              </w:tabs>
              <w:spacing w:after="0"/>
              <w:jc w:val="center"/>
              <w:rPr>
                <w:rStyle w:val="12"/>
              </w:rPr>
            </w:pPr>
            <w:r>
              <w:rPr>
                <w:rStyle w:val="12"/>
                <w:rFonts w:hint="eastAsia"/>
              </w:rPr>
              <w:t>双行打印效果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trPr>
        <w:tc>
          <w:tcPr>
            <w:tcW w:w="9962" w:type="dxa"/>
            <w:tcBorders>
              <w:bottom w:val="single" w:color="auto" w:sz="4" w:space="0"/>
            </w:tcBorders>
          </w:tcPr>
          <w:p>
            <w:pPr>
              <w:spacing w:after="0"/>
              <w:ind w:left="-141" w:leftChars="-64"/>
              <w:jc w:val="distribute"/>
              <w:rPr>
                <w:rStyle w:val="12"/>
              </w:rPr>
            </w:pPr>
            <w:r>
              <w:rPr>
                <w:rStyle w:val="12"/>
                <w:rFonts w:hint="eastAsia"/>
              </w:rPr>
              <w:drawing>
                <wp:inline distT="0" distB="0" distL="0" distR="0">
                  <wp:extent cx="6343650" cy="1943100"/>
                  <wp:effectExtent l="1905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10" cstate="print"/>
                          <a:srcRect/>
                          <a:stretch>
                            <a:fillRect/>
                          </a:stretch>
                        </pic:blipFill>
                        <pic:spPr>
                          <a:xfrm>
                            <a:off x="0" y="0"/>
                            <a:ext cx="6333297" cy="1939929"/>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left w:val="nil"/>
              <w:right w:val="nil"/>
            </w:tcBorders>
          </w:tcPr>
          <w:p>
            <w:pPr>
              <w:spacing w:after="0" w:line="360" w:lineRule="auto"/>
              <w:jc w:val="both"/>
              <w:rPr>
                <w:rStyle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9962" w:type="dxa"/>
            <w:shd w:val="clear" w:color="auto" w:fill="FBD4B4" w:themeFill="accent6" w:themeFillTint="66"/>
            <w:vAlign w:val="center"/>
          </w:tcPr>
          <w:p>
            <w:pPr>
              <w:spacing w:after="0"/>
              <w:jc w:val="center"/>
              <w:rPr>
                <w:rStyle w:val="12"/>
              </w:rPr>
            </w:pPr>
            <w:r>
              <w:rPr>
                <w:rStyle w:val="12"/>
                <w:rFonts w:hint="eastAsia"/>
              </w:rPr>
              <w:t>双行二维码打印效果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0" w:hRule="atLeast"/>
        </w:trPr>
        <w:tc>
          <w:tcPr>
            <w:tcW w:w="9962" w:type="dxa"/>
          </w:tcPr>
          <w:p>
            <w:pPr>
              <w:spacing w:after="0"/>
              <w:ind w:left="-141" w:leftChars="-64"/>
              <w:jc w:val="both"/>
              <w:rPr>
                <w:rStyle w:val="12"/>
              </w:rPr>
            </w:pPr>
            <w:bookmarkStart w:id="0" w:name="_GoBack"/>
            <w:r>
              <w:drawing>
                <wp:inline distT="0" distB="0" distL="114300" distR="114300">
                  <wp:extent cx="6336665" cy="2526665"/>
                  <wp:effectExtent l="0" t="0" r="63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336665" cy="2526665"/>
                          </a:xfrm>
                          <a:prstGeom prst="rect">
                            <a:avLst/>
                          </a:prstGeom>
                          <a:noFill/>
                          <a:ln>
                            <a:noFill/>
                          </a:ln>
                        </pic:spPr>
                      </pic:pic>
                    </a:graphicData>
                  </a:graphic>
                </wp:inline>
              </w:drawing>
            </w:r>
            <w:bookmarkEnd w:id="0"/>
          </w:p>
        </w:tc>
      </w:tr>
    </w:tbl>
    <w:p>
      <w:pPr>
        <w:spacing w:after="0" w:line="360" w:lineRule="auto"/>
        <w:rPr>
          <w:rFonts w:hint="eastAsia" w:asciiTheme="minorEastAsia" w:hAnsiTheme="minorEastAsia" w:eastAsiaTheme="minorEastAsia"/>
          <w:b/>
          <w:sz w:val="24"/>
          <w:szCs w:val="24"/>
          <w:lang w:val="en-US" w:eastAsia="zh-CN"/>
        </w:rPr>
      </w:pPr>
    </w:p>
    <w:p>
      <w:pPr>
        <w:spacing w:after="0"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lang w:val="en-US" w:eastAsia="zh-CN"/>
        </w:rPr>
        <w:t>九</w:t>
      </w:r>
      <w:r>
        <w:rPr>
          <w:rFonts w:hint="eastAsia" w:asciiTheme="minorEastAsia" w:hAnsiTheme="minorEastAsia" w:eastAsiaTheme="minorEastAsia"/>
          <w:b/>
          <w:sz w:val="24"/>
          <w:szCs w:val="24"/>
        </w:rPr>
        <w:t>、喷码发货系统要配置</w:t>
      </w:r>
    </w:p>
    <w:p>
      <w:pPr>
        <w:spacing w:after="0" w:line="360" w:lineRule="auto"/>
        <w:rPr>
          <w:rFonts w:asciiTheme="minorEastAsia" w:hAnsiTheme="minorEastAsia" w:eastAsiaTheme="minorEastAsia"/>
          <w:sz w:val="21"/>
          <w:szCs w:val="21"/>
        </w:rPr>
      </w:pPr>
      <w:r>
        <w:rPr>
          <w:rFonts w:hint="eastAsia" w:asciiTheme="minorEastAsia" w:hAnsiTheme="minorEastAsia" w:eastAsiaTheme="minorEastAsia"/>
          <w:b/>
          <w:sz w:val="21"/>
          <w:szCs w:val="21"/>
          <w:lang w:val="en-US" w:eastAsia="zh-CN"/>
        </w:rPr>
        <w:t>9</w:t>
      </w:r>
      <w:r>
        <w:rPr>
          <w:rFonts w:hint="eastAsia" w:asciiTheme="minorEastAsia" w:hAnsiTheme="minorEastAsia" w:eastAsiaTheme="minorEastAsia"/>
          <w:b/>
          <w:sz w:val="21"/>
          <w:szCs w:val="21"/>
        </w:rPr>
        <w:t>.1、Condor-ULG-9501喷码机主要配置</w:t>
      </w:r>
      <w:r>
        <w:rPr>
          <w:rFonts w:hint="eastAsia" w:asciiTheme="minorEastAsia" w:hAnsiTheme="minorEastAsia" w:eastAsiaTheme="minorEastAsia"/>
          <w:sz w:val="21"/>
          <w:szCs w:val="21"/>
        </w:rPr>
        <w:t xml:space="preserve">    </w:t>
      </w:r>
    </w:p>
    <w:p>
      <w:pPr>
        <w:spacing w:after="0" w:line="360" w:lineRule="auto"/>
        <w:ind w:left="1558" w:leftChars="257" w:hanging="993" w:hangingChars="473"/>
        <w:rPr>
          <w:rFonts w:asciiTheme="minorEastAsia" w:hAnsiTheme="minorEastAsia" w:eastAsiaTheme="minorEastAsia"/>
          <w:sz w:val="21"/>
          <w:szCs w:val="21"/>
        </w:rPr>
      </w:pPr>
      <w:r>
        <w:rPr>
          <w:rFonts w:hint="eastAsia" w:asciiTheme="minorEastAsia" w:hAnsiTheme="minorEastAsia" w:eastAsiaTheme="minorEastAsia"/>
          <w:sz w:val="21"/>
          <w:szCs w:val="21"/>
        </w:rPr>
        <w:t>1）主机：Intel四核CPU、4G内存、64G固态硬盘、2个Intel千兆网口、支持WIFI连接、支持232通讯、支持485通讯、支持USB3.0通讯、支持USB2.0通讯、支持MSATA扩展、支持HDMI接口、支持Windows 10 64位系统、10.1寸钢化玻璃电容触摸屏。</w:t>
      </w:r>
    </w:p>
    <w:p>
      <w:pPr>
        <w:spacing w:after="0" w:line="360" w:lineRule="auto"/>
        <w:ind w:left="1558" w:leftChars="257" w:hanging="993" w:hangingChars="473"/>
        <w:rPr>
          <w:rFonts w:asciiTheme="minorEastAsia" w:hAnsiTheme="minorEastAsia" w:eastAsiaTheme="minorEastAsia"/>
          <w:sz w:val="21"/>
          <w:szCs w:val="21"/>
        </w:rPr>
      </w:pPr>
      <w:r>
        <w:rPr>
          <w:rFonts w:hint="eastAsia" w:asciiTheme="minorEastAsia" w:hAnsiTheme="minorEastAsia" w:eastAsiaTheme="minorEastAsia"/>
          <w:sz w:val="21"/>
          <w:szCs w:val="21"/>
        </w:rPr>
        <w:t>2）喷头：日光理光进口喷头、全钢材质、双排四组喷嘴、打印高度54.1mm、喷嘴数量1280个、20Khz喷射频率、内置加热温控、墨点7-35PL可调、支持多行任意汉字打印。</w:t>
      </w:r>
    </w:p>
    <w:p>
      <w:pPr>
        <w:spacing w:after="0" w:line="360" w:lineRule="auto"/>
        <w:ind w:left="565" w:leftChars="257"/>
        <w:rPr>
          <w:rFonts w:asciiTheme="minorEastAsia" w:hAnsiTheme="minorEastAsia" w:eastAsiaTheme="minorEastAsia"/>
          <w:sz w:val="21"/>
          <w:szCs w:val="21"/>
        </w:rPr>
      </w:pPr>
      <w:r>
        <w:rPr>
          <w:rFonts w:hint="eastAsia" w:asciiTheme="minorEastAsia" w:hAnsiTheme="minorEastAsia" w:eastAsiaTheme="minorEastAsia"/>
          <w:sz w:val="21"/>
          <w:szCs w:val="21"/>
        </w:rPr>
        <w:t>3）固化： 水冷固化系统、进口灯珠、自定义固化时间、固化功率20-200W。</w:t>
      </w:r>
    </w:p>
    <w:p>
      <w:pPr>
        <w:spacing w:after="0" w:line="360" w:lineRule="auto"/>
        <w:ind w:left="565" w:leftChars="257"/>
        <w:rPr>
          <w:rFonts w:asciiTheme="minorEastAsia" w:hAnsiTheme="minorEastAsia" w:eastAsiaTheme="minorEastAsia"/>
          <w:sz w:val="21"/>
          <w:szCs w:val="21"/>
        </w:rPr>
      </w:pPr>
      <w:r>
        <w:rPr>
          <w:rFonts w:hint="eastAsia" w:asciiTheme="minorEastAsia" w:hAnsiTheme="minorEastAsia" w:eastAsiaTheme="minorEastAsia"/>
          <w:sz w:val="21"/>
          <w:szCs w:val="21"/>
        </w:rPr>
        <w:t>4）支架： 定制水泥厂专用气缸弹力支架、喷印高度可自动调节、喷印方向可调、支持喷头保护。</w:t>
      </w:r>
    </w:p>
    <w:p>
      <w:pPr>
        <w:spacing w:after="0" w:line="360" w:lineRule="auto"/>
        <w:ind w:left="565" w:leftChars="257"/>
        <w:rPr>
          <w:rFonts w:asciiTheme="minorEastAsia" w:hAnsiTheme="minorEastAsia" w:eastAsiaTheme="minorEastAsia"/>
          <w:sz w:val="21"/>
          <w:szCs w:val="21"/>
        </w:rPr>
      </w:pPr>
    </w:p>
    <w:p>
      <w:pPr>
        <w:spacing w:after="0"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lang w:val="en-US" w:eastAsia="zh-CN"/>
        </w:rPr>
        <w:t>9</w:t>
      </w:r>
      <w:r>
        <w:rPr>
          <w:rFonts w:hint="eastAsia" w:asciiTheme="minorEastAsia" w:hAnsiTheme="minorEastAsia" w:eastAsiaTheme="minorEastAsia"/>
          <w:b/>
          <w:sz w:val="21"/>
          <w:szCs w:val="21"/>
        </w:rPr>
        <w:t>.2、</w:t>
      </w:r>
      <w:r>
        <w:rPr>
          <w:rFonts w:hint="eastAsia" w:cs="Times New Roman" w:asciiTheme="minorEastAsia" w:hAnsiTheme="minorEastAsia" w:eastAsiaTheme="minorEastAsia"/>
          <w:b/>
          <w:kern w:val="2"/>
          <w:sz w:val="21"/>
          <w:szCs w:val="21"/>
        </w:rPr>
        <w:t>Condor-F900B</w:t>
      </w:r>
      <w:r>
        <w:rPr>
          <w:rFonts w:hint="eastAsia" w:asciiTheme="minorEastAsia" w:hAnsiTheme="minorEastAsia" w:eastAsiaTheme="minorEastAsia"/>
          <w:b/>
          <w:sz w:val="21"/>
          <w:szCs w:val="21"/>
        </w:rPr>
        <w:t>发货系统主要配置</w:t>
      </w:r>
    </w:p>
    <w:p>
      <w:pPr>
        <w:tabs>
          <w:tab w:val="left" w:pos="7440"/>
        </w:tabs>
        <w:spacing w:after="0" w:line="360" w:lineRule="auto"/>
        <w:ind w:left="1560" w:leftChars="257" w:hanging="995"/>
        <w:rPr>
          <w:rFonts w:asciiTheme="minorEastAsia" w:hAnsiTheme="minorEastAsia" w:eastAsiaTheme="minorEastAsia"/>
          <w:sz w:val="21"/>
          <w:szCs w:val="21"/>
        </w:rPr>
      </w:pPr>
      <w:r>
        <w:rPr>
          <w:rFonts w:hint="eastAsia" w:asciiTheme="minorEastAsia" w:hAnsiTheme="minorEastAsia" w:eastAsiaTheme="minorEastAsia"/>
          <w:sz w:val="21"/>
          <w:szCs w:val="21"/>
        </w:rPr>
        <w:t>1）主机：Intel I5四核CPU、16G内存、250G固态硬盘、支持硬盘拓展、支持双千兆网口、支持串口输出、支持高清显示、22寸液晶显示、支持6个USB接口、支持音频输出、Windows 10 64位系统、支持VGA拓展。</w:t>
      </w:r>
    </w:p>
    <w:p>
      <w:pPr>
        <w:tabs>
          <w:tab w:val="left" w:pos="7440"/>
        </w:tabs>
        <w:spacing w:after="0" w:line="360" w:lineRule="auto"/>
        <w:ind w:left="1556" w:leftChars="257" w:hanging="991" w:hangingChars="472"/>
        <w:rPr>
          <w:rFonts w:asciiTheme="minorEastAsia" w:hAnsiTheme="minorEastAsia" w:eastAsiaTheme="minorEastAsia"/>
          <w:sz w:val="21"/>
          <w:szCs w:val="21"/>
        </w:rPr>
      </w:pPr>
      <w:r>
        <w:rPr>
          <w:rFonts w:hint="eastAsia" w:asciiTheme="minorEastAsia" w:hAnsiTheme="minorEastAsia" w:eastAsiaTheme="minorEastAsia"/>
          <w:sz w:val="21"/>
          <w:szCs w:val="21"/>
        </w:rPr>
        <w:t>2）计数器：主界面支持9位数字显示、支持458通讯、支持3辅屏输出、支持连包识别、支持到包提前预警、支持到数连锁停机、支持累加计数、支持递减计数、支持包装累计总数查下、支持LED远程数据显示。</w:t>
      </w:r>
    </w:p>
    <w:p>
      <w:pPr>
        <w:spacing w:after="0" w:line="360" w:lineRule="auto"/>
        <w:ind w:left="565" w:leftChars="257"/>
        <w:rPr>
          <w:rFonts w:asciiTheme="minorEastAsia" w:hAnsiTheme="minorEastAsia" w:eastAsiaTheme="minorEastAsia"/>
          <w:sz w:val="21"/>
          <w:szCs w:val="21"/>
        </w:rPr>
      </w:pPr>
      <w:r>
        <w:rPr>
          <w:rFonts w:hint="eastAsia" w:asciiTheme="minorEastAsia" w:hAnsiTheme="minorEastAsia" w:eastAsiaTheme="minorEastAsia"/>
          <w:sz w:val="21"/>
          <w:szCs w:val="21"/>
        </w:rPr>
        <w:t>3) 刷卡器：支持网络远程传输、响应时间低于0.1ms、与现场现有刷卡器可兼容通用。</w:t>
      </w:r>
    </w:p>
    <w:p>
      <w:pPr>
        <w:spacing w:after="0" w:line="360" w:lineRule="auto"/>
        <w:ind w:left="565" w:leftChars="257"/>
        <w:rPr>
          <w:rFonts w:asciiTheme="minorEastAsia" w:hAnsiTheme="minorEastAsia" w:eastAsiaTheme="minorEastAsia"/>
          <w:sz w:val="21"/>
          <w:szCs w:val="21"/>
        </w:rPr>
      </w:pPr>
      <w:r>
        <w:rPr>
          <w:rFonts w:hint="eastAsia" w:asciiTheme="minorEastAsia" w:hAnsiTheme="minorEastAsia" w:eastAsiaTheme="minorEastAsia"/>
          <w:sz w:val="21"/>
          <w:szCs w:val="21"/>
        </w:rPr>
        <w:t>4）其他：其他配件主要有三芯屏幕线、超五类屏蔽网络线、光纤、光猫、串口服务器、及辅材。</w:t>
      </w: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Fonts w:asciiTheme="minorEastAsia" w:hAnsiTheme="minorEastAsia" w:eastAsiaTheme="minorEastAsia"/>
          <w:sz w:val="21"/>
          <w:szCs w:val="21"/>
        </w:rPr>
      </w:pPr>
    </w:p>
    <w:p>
      <w:pPr>
        <w:spacing w:after="0" w:line="360" w:lineRule="auto"/>
        <w:rPr>
          <w:rStyle w:val="12"/>
        </w:rPr>
      </w:pPr>
      <w:r>
        <w:rPr>
          <w:rStyle w:val="12"/>
          <w:rFonts w:hint="eastAsia"/>
        </w:rPr>
        <w:t>Condor-ULG-9501喷码机基本参数</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操作系统：</w:t>
      </w:r>
      <w:r>
        <w:rPr>
          <w:rFonts w:hint="eastAsia" w:cs="Arial Unicode MS" w:asciiTheme="minorEastAsia" w:hAnsiTheme="minorEastAsia" w:eastAsiaTheme="minorEastAsia"/>
          <w:sz w:val="21"/>
          <w:szCs w:val="21"/>
        </w:rPr>
        <w:t xml:space="preserve"> Windows 10操作系统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 xml:space="preserve">控 制 器： </w:t>
      </w:r>
      <w:r>
        <w:rPr>
          <w:rFonts w:hint="eastAsia" w:cs="Arial Unicode MS" w:asciiTheme="minorEastAsia" w:hAnsiTheme="minorEastAsia" w:eastAsiaTheme="minorEastAsia"/>
          <w:sz w:val="21"/>
          <w:szCs w:val="21"/>
        </w:rPr>
        <w:t>10.1寸工业级钢化玻璃触摸屏</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喷头类型：</w:t>
      </w:r>
      <w:r>
        <w:rPr>
          <w:rFonts w:hint="eastAsia" w:cs="Arial Unicode MS" w:asciiTheme="minorEastAsia" w:hAnsiTheme="minorEastAsia" w:eastAsiaTheme="minorEastAsia"/>
          <w:sz w:val="21"/>
          <w:szCs w:val="21"/>
        </w:rPr>
        <w:t>理光工业压电式喷头</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设备加密：</w:t>
      </w:r>
      <w:r>
        <w:rPr>
          <w:rFonts w:hint="eastAsia" w:cs="Arial Unicode MS" w:asciiTheme="minorEastAsia" w:hAnsiTheme="minorEastAsia" w:eastAsiaTheme="minorEastAsia"/>
          <w:sz w:val="21"/>
          <w:szCs w:val="21"/>
        </w:rPr>
        <w:t xml:space="preserve"> 设备及墨水无加密</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喷印速度：</w:t>
      </w:r>
      <w:r>
        <w:rPr>
          <w:rFonts w:hint="eastAsia" w:cs="Arial Unicode MS" w:asciiTheme="minorEastAsia" w:hAnsiTheme="minorEastAsia" w:eastAsiaTheme="minorEastAsia"/>
          <w:sz w:val="21"/>
          <w:szCs w:val="21"/>
        </w:rPr>
        <w:t xml:space="preserve"> 最高150 米/分钟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分 辨 率：</w:t>
      </w:r>
      <w:r>
        <w:rPr>
          <w:rFonts w:hint="eastAsia" w:cs="Arial Unicode MS" w:asciiTheme="minorEastAsia" w:hAnsiTheme="minorEastAsia" w:eastAsiaTheme="minorEastAsia"/>
          <w:sz w:val="21"/>
          <w:szCs w:val="21"/>
        </w:rPr>
        <w:t>300DPI-1800DPI</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喷印高度：</w:t>
      </w:r>
      <w:r>
        <w:rPr>
          <w:rFonts w:hint="eastAsia" w:cs="Arial Unicode MS" w:asciiTheme="minorEastAsia" w:hAnsiTheme="minorEastAsia" w:eastAsiaTheme="minorEastAsia"/>
          <w:sz w:val="21"/>
          <w:szCs w:val="21"/>
        </w:rPr>
        <w:t xml:space="preserve"> ≤54mm</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供墨系统：</w:t>
      </w:r>
      <w:r>
        <w:rPr>
          <w:rFonts w:hint="eastAsia" w:cs="Arial Unicode MS" w:asciiTheme="minorEastAsia" w:hAnsiTheme="minorEastAsia" w:eastAsiaTheme="minorEastAsia"/>
          <w:sz w:val="21"/>
          <w:szCs w:val="21"/>
        </w:rPr>
        <w:t>独立供墨系统</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墨水浓度：</w:t>
      </w:r>
      <w:r>
        <w:rPr>
          <w:rFonts w:hint="eastAsia" w:cs="Arial Unicode MS" w:asciiTheme="minorEastAsia" w:hAnsiTheme="minorEastAsia" w:eastAsiaTheme="minorEastAsia"/>
          <w:sz w:val="21"/>
          <w:szCs w:val="21"/>
        </w:rPr>
        <w:t>10级浓度可调节（浓度可无极调节）</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耗材类型：</w:t>
      </w:r>
      <w:r>
        <w:rPr>
          <w:rFonts w:hint="eastAsia" w:cs="Arial Unicode MS" w:asciiTheme="minorEastAsia" w:hAnsiTheme="minorEastAsia" w:eastAsiaTheme="minorEastAsia"/>
          <w:sz w:val="21"/>
          <w:szCs w:val="21"/>
        </w:rPr>
        <w:t>环保型UV墨水</w:t>
      </w:r>
      <w:r>
        <w:rPr>
          <w:rFonts w:hint="eastAsia" w:cs="Arial Unicode MS" w:asciiTheme="minorEastAsia" w:hAnsiTheme="minorEastAsia" w:eastAsiaTheme="minorEastAsia"/>
          <w:sz w:val="21"/>
          <w:szCs w:val="21"/>
        </w:rPr>
        <w:tab/>
      </w:r>
    </w:p>
    <w:p>
      <w:pPr>
        <w:pStyle w:val="13"/>
        <w:spacing w:after="0" w:line="360" w:lineRule="auto"/>
        <w:rPr>
          <w:rFonts w:asciiTheme="minorEastAsia" w:hAnsiTheme="minorEastAsia" w:eastAsiaTheme="minorEastAsia"/>
        </w:rPr>
      </w:pPr>
      <w:r>
        <w:rPr>
          <w:rFonts w:hint="eastAsia" w:asciiTheme="minorEastAsia" w:hAnsiTheme="minorEastAsia" w:eastAsiaTheme="minorEastAsia"/>
          <w:b/>
        </w:rPr>
        <w:t>固化方式：</w:t>
      </w:r>
      <w:r>
        <w:rPr>
          <w:rFonts w:hint="eastAsia" w:asciiTheme="minorEastAsia" w:hAnsiTheme="minorEastAsia" w:eastAsiaTheme="minorEastAsia"/>
        </w:rPr>
        <w:t>水冷固化</w:t>
      </w:r>
    </w:p>
    <w:p>
      <w:pPr>
        <w:pStyle w:val="13"/>
        <w:spacing w:after="0" w:line="360" w:lineRule="auto"/>
        <w:rPr>
          <w:rFonts w:cs="Arial Unicode MS" w:asciiTheme="minorEastAsia" w:hAnsiTheme="minorEastAsia" w:eastAsiaTheme="minorEastAsia"/>
          <w:kern w:val="2"/>
        </w:rPr>
      </w:pPr>
      <w:r>
        <w:rPr>
          <w:rFonts w:hint="eastAsia" w:cs="Arial Unicode MS" w:asciiTheme="minorEastAsia" w:hAnsiTheme="minorEastAsia" w:eastAsiaTheme="minorEastAsia"/>
          <w:b/>
          <w:kern w:val="2"/>
        </w:rPr>
        <w:t>适用材质</w:t>
      </w:r>
      <w:r>
        <w:rPr>
          <w:rFonts w:cs="Arial Unicode MS" w:asciiTheme="minorEastAsia" w:hAnsiTheme="minorEastAsia" w:eastAsiaTheme="minorEastAsia"/>
          <w:b/>
          <w:kern w:val="2"/>
        </w:rPr>
        <w:t>：</w:t>
      </w:r>
      <w:r>
        <w:rPr>
          <w:rFonts w:cs="Arial Unicode MS" w:asciiTheme="minorEastAsia" w:hAnsiTheme="minorEastAsia" w:eastAsiaTheme="minorEastAsia"/>
          <w:kern w:val="2"/>
        </w:rPr>
        <w:t>薄膜袋、编织袋、纸袋、纸箱</w:t>
      </w:r>
      <w:r>
        <w:rPr>
          <w:rFonts w:hint="eastAsia" w:cs="Arial Unicode MS" w:asciiTheme="minorEastAsia" w:hAnsiTheme="minorEastAsia" w:eastAsiaTheme="minorEastAsia"/>
          <w:kern w:val="2"/>
        </w:rPr>
        <w:t>、薄膜、箱体等表面平整材质</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语    言：</w:t>
      </w:r>
      <w:r>
        <w:rPr>
          <w:rFonts w:hint="eastAsia" w:cs="Arial Unicode MS" w:asciiTheme="minorEastAsia" w:hAnsiTheme="minorEastAsia" w:eastAsiaTheme="minorEastAsia"/>
          <w:sz w:val="21"/>
          <w:szCs w:val="21"/>
        </w:rPr>
        <w:t xml:space="preserve"> 系统自带英文及中文，可升级多国语言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字    体：</w:t>
      </w:r>
      <w:r>
        <w:rPr>
          <w:rFonts w:hint="eastAsia" w:cs="Arial Unicode MS" w:asciiTheme="minorEastAsia" w:hAnsiTheme="minorEastAsia" w:eastAsiaTheme="minorEastAsia"/>
          <w:sz w:val="21"/>
          <w:szCs w:val="21"/>
        </w:rPr>
        <w:t xml:space="preserve"> 系统支持全部Windows平台字体，可直接下载或外部导入新字体</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输 入 法：</w:t>
      </w:r>
      <w:r>
        <w:rPr>
          <w:rFonts w:hint="eastAsia" w:cs="Arial Unicode MS" w:asciiTheme="minorEastAsia" w:hAnsiTheme="minorEastAsia" w:eastAsiaTheme="minorEastAsia"/>
          <w:sz w:val="21"/>
          <w:szCs w:val="21"/>
        </w:rPr>
        <w:t xml:space="preserve"> 可安装搜狗等主流输入法，支持多语言输入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通信接口：</w:t>
      </w:r>
      <w:r>
        <w:rPr>
          <w:rFonts w:hint="eastAsia" w:cs="Arial Unicode MS" w:asciiTheme="minorEastAsia" w:hAnsiTheme="minorEastAsia" w:eastAsiaTheme="minorEastAsia"/>
          <w:sz w:val="21"/>
          <w:szCs w:val="21"/>
        </w:rPr>
        <w:t xml:space="preserve"> 支持RS485、RS232、WAN、LAN、USB等接口，满足系统集成对接的需求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外接设备：</w:t>
      </w:r>
      <w:r>
        <w:rPr>
          <w:rFonts w:hint="eastAsia" w:cs="Arial Unicode MS" w:asciiTheme="minorEastAsia" w:hAnsiTheme="minorEastAsia" w:eastAsiaTheme="minorEastAsia"/>
          <w:sz w:val="21"/>
          <w:szCs w:val="21"/>
        </w:rPr>
        <w:t xml:space="preserve"> 提供光电开关、连锁继电器、同步器、报警灯</w:t>
      </w:r>
    </w:p>
    <w:p>
      <w:pPr>
        <w:spacing w:after="0" w:line="360" w:lineRule="auto"/>
        <w:rPr>
          <w:rFonts w:cs="Arial Unicode MS" w:asciiTheme="minorEastAsia" w:hAnsiTheme="minorEastAsia" w:eastAsiaTheme="minorEastAsia"/>
          <w:b/>
          <w:sz w:val="21"/>
          <w:szCs w:val="21"/>
        </w:rPr>
      </w:pPr>
      <w:r>
        <w:rPr>
          <w:rFonts w:hint="eastAsia" w:cs="Arial Unicode MS" w:asciiTheme="minorEastAsia" w:hAnsiTheme="minorEastAsia" w:eastAsiaTheme="minorEastAsia"/>
          <w:b/>
          <w:sz w:val="21"/>
          <w:szCs w:val="21"/>
        </w:rPr>
        <w:t>系统拓展：</w:t>
      </w:r>
      <w:r>
        <w:rPr>
          <w:rFonts w:hint="eastAsia" w:cs="Arial Unicode MS" w:asciiTheme="minorEastAsia" w:hAnsiTheme="minorEastAsia" w:eastAsiaTheme="minorEastAsia"/>
          <w:sz w:val="21"/>
          <w:szCs w:val="21"/>
        </w:rPr>
        <w:t xml:space="preserve"> 喷码机支持对二维码进行扫码识别拓展</w:t>
      </w:r>
    </w:p>
    <w:p>
      <w:pPr>
        <w:spacing w:after="0" w:line="360" w:lineRule="auto"/>
        <w:ind w:left="1160" w:hanging="1160" w:hangingChars="550"/>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喷印内容：</w:t>
      </w:r>
      <w:r>
        <w:rPr>
          <w:rFonts w:hint="eastAsia" w:cs="Arial Unicode MS" w:asciiTheme="minorEastAsia" w:hAnsiTheme="minorEastAsia" w:eastAsiaTheme="minorEastAsia"/>
          <w:sz w:val="21"/>
          <w:szCs w:val="21"/>
        </w:rPr>
        <w:t xml:space="preserve"> 实时喷印各种可变数据，包括条码、二维码、日期时间、班组号、计数器、图形、表格、数据库 </w:t>
      </w:r>
    </w:p>
    <w:p>
      <w:pPr>
        <w:spacing w:after="0" w:line="360" w:lineRule="auto"/>
        <w:ind w:left="1054" w:hanging="1054" w:hangingChars="500"/>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一 维 码：</w:t>
      </w:r>
      <w:r>
        <w:rPr>
          <w:rFonts w:hint="eastAsia" w:cs="Arial Unicode MS" w:asciiTheme="minorEastAsia" w:hAnsiTheme="minorEastAsia" w:eastAsiaTheme="minorEastAsia"/>
          <w:sz w:val="21"/>
          <w:szCs w:val="21"/>
        </w:rPr>
        <w:t>C25INTER、CODE39、EANX、EAN128、CODE128、CODE93等</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二 维 码：</w:t>
      </w:r>
      <w:r>
        <w:rPr>
          <w:rFonts w:hint="eastAsia" w:cs="Arial Unicode MS" w:asciiTheme="minorEastAsia" w:hAnsiTheme="minorEastAsia" w:eastAsiaTheme="minorEastAsia"/>
          <w:sz w:val="21"/>
          <w:szCs w:val="21"/>
        </w:rPr>
        <w:t xml:space="preserve">PDF417、QRCODE、DATAMATRIX、GRIDMATRIX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 xml:space="preserve">数 据 库： </w:t>
      </w:r>
      <w:r>
        <w:rPr>
          <w:rFonts w:hint="eastAsia" w:cs="Arial Unicode MS" w:asciiTheme="minorEastAsia" w:hAnsiTheme="minorEastAsia" w:eastAsiaTheme="minorEastAsia"/>
          <w:sz w:val="21"/>
          <w:szCs w:val="21"/>
        </w:rPr>
        <w:t xml:space="preserve">支持TEXT、Excel、Access、SQL server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电    源：</w:t>
      </w:r>
      <w:r>
        <w:rPr>
          <w:rFonts w:hint="eastAsia" w:cs="Arial Unicode MS" w:asciiTheme="minorEastAsia" w:hAnsiTheme="minorEastAsia" w:eastAsiaTheme="minorEastAsia"/>
          <w:sz w:val="21"/>
          <w:szCs w:val="21"/>
        </w:rPr>
        <w:t xml:space="preserve"> 输入110-240V, 输出24V 6A</w:t>
      </w:r>
      <w:r>
        <w:rPr>
          <w:rFonts w:cs="Arial Unicode MS" w:asciiTheme="minorEastAsia" w:hAnsiTheme="minorEastAsia" w:eastAsiaTheme="minorEastAsia"/>
          <w:sz w:val="21"/>
          <w:szCs w:val="21"/>
        </w:rPr>
        <w:t xml:space="preserve"> </w:t>
      </w:r>
    </w:p>
    <w:p>
      <w:pPr>
        <w:spacing w:after="0" w:line="360" w:lineRule="auto"/>
        <w:rPr>
          <w:rFonts w:cs="Arial Unicode MS" w:asciiTheme="minorEastAsia" w:hAnsiTheme="minorEastAsia" w:eastAsiaTheme="minorEastAsia"/>
          <w:sz w:val="21"/>
          <w:szCs w:val="21"/>
        </w:rPr>
      </w:pPr>
      <w:r>
        <w:rPr>
          <w:rFonts w:hint="eastAsia" w:cs="Arial Unicode MS" w:asciiTheme="minorEastAsia" w:hAnsiTheme="minorEastAsia" w:eastAsiaTheme="minorEastAsia"/>
          <w:b/>
          <w:sz w:val="21"/>
          <w:szCs w:val="21"/>
        </w:rPr>
        <w:t>防护等级:</w:t>
      </w:r>
      <w:r>
        <w:rPr>
          <w:rFonts w:hint="eastAsia" w:cs="Arial Unicode MS" w:asciiTheme="minorEastAsia" w:hAnsiTheme="minorEastAsia" w:eastAsiaTheme="minorEastAsia"/>
          <w:sz w:val="21"/>
          <w:szCs w:val="21"/>
        </w:rPr>
        <w:t>IP65</w:t>
      </w:r>
    </w:p>
    <w:p>
      <w:pPr>
        <w:pStyle w:val="13"/>
        <w:spacing w:after="0" w:line="360" w:lineRule="auto"/>
        <w:rPr>
          <w:rFonts w:cs="Arial Unicode MS" w:asciiTheme="minorEastAsia" w:hAnsiTheme="minorEastAsia" w:eastAsiaTheme="minorEastAsia"/>
          <w:bCs/>
        </w:rPr>
      </w:pPr>
      <w:r>
        <w:rPr>
          <w:rFonts w:hint="eastAsia" w:cs="Arial Unicode MS" w:asciiTheme="minorEastAsia" w:hAnsiTheme="minorEastAsia" w:eastAsiaTheme="minorEastAsia"/>
          <w:b/>
          <w:bCs/>
        </w:rPr>
        <w:t>工作环境：</w:t>
      </w:r>
      <w:r>
        <w:rPr>
          <w:rFonts w:hint="eastAsia" w:cs="Arial Unicode MS" w:asciiTheme="minorEastAsia" w:hAnsiTheme="minorEastAsia" w:eastAsiaTheme="minorEastAsia"/>
          <w:bCs/>
        </w:rPr>
        <w:t>环境温度：-15-45℃ ；环境湿度：20-65%Rh</w:t>
      </w:r>
    </w:p>
    <w:p>
      <w:pPr>
        <w:pStyle w:val="13"/>
        <w:spacing w:after="0" w:line="360" w:lineRule="auto"/>
        <w:rPr>
          <w:rFonts w:cs="Arial Unicode MS" w:asciiTheme="minorEastAsia" w:hAnsiTheme="minorEastAsia" w:eastAsiaTheme="minorEastAsia"/>
          <w:bCs/>
        </w:rPr>
      </w:pPr>
      <w:r>
        <w:rPr>
          <w:rFonts w:hint="eastAsia" w:cs="Arial Unicode MS" w:asciiTheme="minorEastAsia" w:hAnsiTheme="minorEastAsia" w:eastAsiaTheme="minorEastAsia"/>
          <w:b/>
          <w:bCs/>
        </w:rPr>
        <w:t>喷印表面温度范围：</w:t>
      </w:r>
      <w:r>
        <w:rPr>
          <w:rFonts w:hint="eastAsia" w:cs="Arial Unicode MS" w:asciiTheme="minorEastAsia" w:hAnsiTheme="minorEastAsia" w:eastAsiaTheme="minorEastAsia"/>
          <w:bCs/>
        </w:rPr>
        <w:t>-15-60℃</w:t>
      </w:r>
    </w:p>
    <w:p/>
    <w:p/>
    <w:p/>
    <w:p/>
    <w:p>
      <w:pPr>
        <w:rPr>
          <w:rStyle w:val="12"/>
          <w:rFonts w:hint="eastAsia"/>
        </w:rPr>
      </w:pPr>
    </w:p>
    <w:p>
      <w:pPr>
        <w:rPr>
          <w:rStyle w:val="12"/>
          <w:rFonts w:hint="default"/>
          <w:lang w:val="en-US"/>
        </w:rPr>
      </w:pPr>
      <w:r>
        <w:rPr>
          <w:rStyle w:val="12"/>
          <w:rFonts w:hint="eastAsia"/>
          <w:lang w:val="en-US"/>
        </w:rPr>
        <w:t>喷码规则及系统对接</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1"/>
        <w:gridCol w:w="4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4285" w:type="dxa"/>
            <w:gridSpan w:val="2"/>
            <w:shd w:val="clear" w:color="auto" w:fill="FBD4B4" w:themeFill="accent6" w:themeFillTint="66"/>
            <w:vAlign w:val="center"/>
          </w:tcPr>
          <w:p>
            <w:pPr>
              <w:spacing w:after="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喷码机编码规则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55" w:type="dxa"/>
            <w:shd w:val="clear" w:color="auto" w:fill="FBD4B4" w:themeFill="accent6" w:themeFillTint="66"/>
            <w:vAlign w:val="center"/>
          </w:tcPr>
          <w:p>
            <w:pPr>
              <w:spacing w:after="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质量码喷码规则</w:t>
            </w:r>
          </w:p>
        </w:tc>
        <w:tc>
          <w:tcPr>
            <w:tcW w:w="2130" w:type="dxa"/>
            <w:shd w:val="clear" w:color="auto" w:fill="FBD4B4" w:themeFill="accent6" w:themeFillTint="66"/>
            <w:vAlign w:val="center"/>
          </w:tcPr>
          <w:p>
            <w:pPr>
              <w:spacing w:after="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防串货码喷码规则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trPr>
        <w:tc>
          <w:tcPr>
            <w:tcW w:w="2155" w:type="dxa"/>
            <w:tcBorders>
              <w:bottom w:val="sing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drawing>
                <wp:inline distT="0" distB="0" distL="0" distR="0">
                  <wp:extent cx="2990850" cy="1514475"/>
                  <wp:effectExtent l="19050" t="0" r="0" b="0"/>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noChangeArrowheads="1"/>
                          </pic:cNvPicPr>
                        </pic:nvPicPr>
                        <pic:blipFill>
                          <a:blip r:embed="rId12" cstate="print"/>
                          <a:srcRect l="28951" t="40663" r="27309"/>
                          <a:stretch>
                            <a:fillRect/>
                          </a:stretch>
                        </pic:blipFill>
                        <pic:spPr>
                          <a:xfrm>
                            <a:off x="0" y="0"/>
                            <a:ext cx="2990850" cy="1514475"/>
                          </a:xfrm>
                          <a:prstGeom prst="rect">
                            <a:avLst/>
                          </a:prstGeom>
                          <a:noFill/>
                          <a:ln w="9525">
                            <a:noFill/>
                            <a:miter lim="800000"/>
                            <a:headEnd/>
                            <a:tailEnd/>
                          </a:ln>
                        </pic:spPr>
                      </pic:pic>
                    </a:graphicData>
                  </a:graphic>
                </wp:inline>
              </w:drawing>
            </w:r>
          </w:p>
        </w:tc>
        <w:tc>
          <w:tcPr>
            <w:tcW w:w="2130" w:type="dxa"/>
            <w:tcBorders>
              <w:bottom w:val="sing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drawing>
                <wp:inline distT="0" distB="0" distL="0" distR="0">
                  <wp:extent cx="2952750" cy="1514475"/>
                  <wp:effectExtent l="19050" t="0" r="0" b="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noChangeArrowheads="1"/>
                          </pic:cNvPicPr>
                        </pic:nvPicPr>
                        <pic:blipFill>
                          <a:blip r:embed="rId13" cstate="print"/>
                          <a:srcRect l="16922" t="28095" r="23377" b="14286"/>
                          <a:stretch>
                            <a:fillRect/>
                          </a:stretch>
                        </pic:blipFill>
                        <pic:spPr>
                          <a:xfrm>
                            <a:off x="0" y="0"/>
                            <a:ext cx="2952750" cy="15144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85" w:type="dxa"/>
            <w:gridSpan w:val="2"/>
            <w:tcBorders>
              <w:left w:val="nil"/>
              <w:right w:val="nil"/>
            </w:tcBorders>
            <w:vAlign w:val="center"/>
          </w:tcPr>
          <w:p>
            <w:pPr>
              <w:spacing w:after="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4285" w:type="dxa"/>
            <w:gridSpan w:val="2"/>
            <w:shd w:val="clear" w:color="auto" w:fill="FBD4B4" w:themeFill="accent6" w:themeFillTint="6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b/>
                <w:sz w:val="21"/>
                <w:szCs w:val="21"/>
              </w:rPr>
              <w:t>盾石信息公司发运系统对接要求方式一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285" w:type="dxa"/>
            <w:gridSpan w:val="2"/>
            <w:vAlign w:val="center"/>
          </w:tcPr>
          <w:p>
            <w:pPr>
              <w:spacing w:after="0"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由喷码公司读卡确认车辆获取喷码信息的，视图名：</w:t>
            </w:r>
            <w:r>
              <w:rPr>
                <w:rFonts w:asciiTheme="minorEastAsia" w:hAnsiTheme="minorEastAsia" w:eastAsiaTheme="minorEastAsia"/>
                <w:sz w:val="21"/>
                <w:szCs w:val="21"/>
              </w:rPr>
              <w:t>itms_card_marking_view</w:t>
            </w:r>
            <w:r>
              <w:rPr>
                <w:rFonts w:hint="eastAsia" w:asciiTheme="minorEastAsia" w:hAnsiTheme="minorEastAsia" w:eastAsiaTheme="minorEastAsia"/>
                <w:sz w:val="21"/>
                <w:szCs w:val="21"/>
              </w:rPr>
              <w:t>该视图中显示所有厂内车辆信息。该接口视图包含袋装装车信息数据对接，品种、数量、状态都是计数装车所用接口内容。承接袋装计数装车的厂商需注意处理即时破损袋补装问题及监装复核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4285" w:type="dxa"/>
            <w:gridSpan w:val="2"/>
            <w:tcBorders>
              <w:bottom w:val="single" w:color="auto" w:sz="4" w:space="0"/>
            </w:tcBorders>
            <w:vAlign w:val="center"/>
          </w:tcPr>
          <w:p>
            <w:pPr>
              <w:spacing w:after="0"/>
              <w:ind w:left="-141" w:leftChars="-64"/>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296025" cy="1371600"/>
                  <wp:effectExtent l="19050" t="0" r="9525"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4" cstate="print"/>
                          <a:stretch>
                            <a:fillRect/>
                          </a:stretch>
                        </pic:blipFill>
                        <pic:spPr>
                          <a:xfrm>
                            <a:off x="0" y="0"/>
                            <a:ext cx="6305903" cy="137375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85" w:type="dxa"/>
            <w:gridSpan w:val="2"/>
            <w:tcBorders>
              <w:left w:val="nil"/>
              <w:right w:val="nil"/>
            </w:tcBorders>
            <w:shd w:val="clear" w:color="auto" w:fill="auto"/>
            <w:vAlign w:val="center"/>
          </w:tcPr>
          <w:p>
            <w:pPr>
              <w:spacing w:after="0"/>
              <w:ind w:firstLine="560"/>
              <w:jc w:val="center"/>
              <w:rPr>
                <w:rFonts w:asciiTheme="minorEastAsia" w:hAnsiTheme="minorEastAsia"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285" w:type="dxa"/>
            <w:gridSpan w:val="2"/>
            <w:shd w:val="clear" w:color="auto" w:fill="FBD4B4" w:themeFill="accent6" w:themeFillTint="66"/>
            <w:vAlign w:val="center"/>
          </w:tcPr>
          <w:p>
            <w:pPr>
              <w:spacing w:after="0"/>
              <w:ind w:firstLine="560"/>
              <w:jc w:val="center"/>
              <w:rPr>
                <w:rFonts w:asciiTheme="minorEastAsia" w:hAnsiTheme="minorEastAsia" w:eastAsiaTheme="minorEastAsia"/>
                <w:sz w:val="21"/>
                <w:szCs w:val="21"/>
              </w:rPr>
            </w:pPr>
            <w:r>
              <w:rPr>
                <w:rFonts w:hint="eastAsia" w:asciiTheme="minorEastAsia" w:hAnsiTheme="minorEastAsia" w:eastAsiaTheme="minorEastAsia"/>
                <w:b/>
                <w:sz w:val="21"/>
                <w:szCs w:val="21"/>
              </w:rPr>
              <w:t>盾石信息公司发运系统对接要求方式二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trPr>
        <w:tc>
          <w:tcPr>
            <w:tcW w:w="4285" w:type="dxa"/>
            <w:gridSpan w:val="2"/>
            <w:vAlign w:val="center"/>
          </w:tcPr>
          <w:p>
            <w:pPr>
              <w:spacing w:after="0"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由工厂物流系统读卡或手工确认车辆信息后生成对应车道喷码信息的。该视图中显示所有已刷卡或通过手工确认的车道装车车辆信息。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4285" w:type="dxa"/>
            <w:gridSpan w:val="2"/>
            <w:vAlign w:val="center"/>
          </w:tcPr>
          <w:p>
            <w:pPr>
              <w:spacing w:after="0"/>
              <w:ind w:left="-141" w:leftChars="-64"/>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315075" cy="1800225"/>
                  <wp:effectExtent l="19050" t="0" r="9525" b="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5" cstate="print"/>
                          <a:stretch>
                            <a:fillRect/>
                          </a:stretch>
                        </pic:blipFill>
                        <pic:spPr>
                          <a:xfrm>
                            <a:off x="0" y="0"/>
                            <a:ext cx="6325599" cy="1803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285" w:type="dxa"/>
            <w:gridSpan w:val="2"/>
            <w:vAlign w:val="center"/>
          </w:tcPr>
          <w:p>
            <w:pPr>
              <w:spacing w:after="0"/>
              <w:jc w:val="center"/>
              <w:rPr>
                <w:rFonts w:asciiTheme="minorEastAsia" w:hAnsiTheme="minorEastAsia" w:eastAsiaTheme="minorEastAsia"/>
                <w:sz w:val="21"/>
                <w:szCs w:val="21"/>
              </w:rPr>
            </w:pPr>
          </w:p>
        </w:tc>
      </w:tr>
    </w:tbl>
    <w:p>
      <w:pPr>
        <w:spacing w:after="0" w:line="360" w:lineRule="auto"/>
        <w:rPr>
          <w:rStyle w:val="12"/>
          <w:rFonts w:hint="default"/>
          <w:lang w:val="en-US"/>
        </w:rPr>
      </w:pPr>
    </w:p>
    <w:sectPr>
      <w:pgSz w:w="11906" w:h="16838"/>
      <w:pgMar w:top="1440" w:right="1080" w:bottom="1440" w:left="108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B6ED4"/>
    <w:multiLevelType w:val="multilevel"/>
    <w:tmpl w:val="268B6ED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31D50"/>
    <w:rsid w:val="000066E8"/>
    <w:rsid w:val="000109F8"/>
    <w:rsid w:val="00040696"/>
    <w:rsid w:val="000722D4"/>
    <w:rsid w:val="00076DD6"/>
    <w:rsid w:val="000A3E6B"/>
    <w:rsid w:val="000E7E28"/>
    <w:rsid w:val="000F5E3F"/>
    <w:rsid w:val="001473D4"/>
    <w:rsid w:val="00183FF2"/>
    <w:rsid w:val="00192F82"/>
    <w:rsid w:val="001E2269"/>
    <w:rsid w:val="00230CA6"/>
    <w:rsid w:val="00246BEC"/>
    <w:rsid w:val="002833C6"/>
    <w:rsid w:val="00291070"/>
    <w:rsid w:val="002B45A5"/>
    <w:rsid w:val="002C7184"/>
    <w:rsid w:val="002D28F0"/>
    <w:rsid w:val="002E5708"/>
    <w:rsid w:val="00323B43"/>
    <w:rsid w:val="0032415B"/>
    <w:rsid w:val="00343D3E"/>
    <w:rsid w:val="00377801"/>
    <w:rsid w:val="003A208F"/>
    <w:rsid w:val="003B2294"/>
    <w:rsid w:val="003D37D8"/>
    <w:rsid w:val="004149DB"/>
    <w:rsid w:val="00426133"/>
    <w:rsid w:val="004348D8"/>
    <w:rsid w:val="004358AB"/>
    <w:rsid w:val="00460162"/>
    <w:rsid w:val="00462EA3"/>
    <w:rsid w:val="004824A0"/>
    <w:rsid w:val="004E094A"/>
    <w:rsid w:val="004E6211"/>
    <w:rsid w:val="00504548"/>
    <w:rsid w:val="00540D9F"/>
    <w:rsid w:val="0054198E"/>
    <w:rsid w:val="00566AE7"/>
    <w:rsid w:val="00584DD2"/>
    <w:rsid w:val="00591859"/>
    <w:rsid w:val="005A0DD9"/>
    <w:rsid w:val="005A1A04"/>
    <w:rsid w:val="005B5FE4"/>
    <w:rsid w:val="005C4F35"/>
    <w:rsid w:val="005C642D"/>
    <w:rsid w:val="005D2A6D"/>
    <w:rsid w:val="005D76AC"/>
    <w:rsid w:val="00615921"/>
    <w:rsid w:val="0062103B"/>
    <w:rsid w:val="00631F98"/>
    <w:rsid w:val="0065048A"/>
    <w:rsid w:val="00664834"/>
    <w:rsid w:val="0068607D"/>
    <w:rsid w:val="006A1B01"/>
    <w:rsid w:val="006B5BD3"/>
    <w:rsid w:val="006D3623"/>
    <w:rsid w:val="006F4D33"/>
    <w:rsid w:val="00713352"/>
    <w:rsid w:val="00734235"/>
    <w:rsid w:val="007515DD"/>
    <w:rsid w:val="00755AA3"/>
    <w:rsid w:val="00757C8D"/>
    <w:rsid w:val="00796389"/>
    <w:rsid w:val="00797F24"/>
    <w:rsid w:val="007A0E75"/>
    <w:rsid w:val="007D2978"/>
    <w:rsid w:val="00803AAB"/>
    <w:rsid w:val="00806409"/>
    <w:rsid w:val="008B0E8F"/>
    <w:rsid w:val="008B7726"/>
    <w:rsid w:val="008D65EA"/>
    <w:rsid w:val="008F59B8"/>
    <w:rsid w:val="00941944"/>
    <w:rsid w:val="00987D9B"/>
    <w:rsid w:val="009B5D8A"/>
    <w:rsid w:val="009C5960"/>
    <w:rsid w:val="00A61CCB"/>
    <w:rsid w:val="00A81969"/>
    <w:rsid w:val="00AB51DA"/>
    <w:rsid w:val="00AC607C"/>
    <w:rsid w:val="00AD00D0"/>
    <w:rsid w:val="00AD306D"/>
    <w:rsid w:val="00B00269"/>
    <w:rsid w:val="00B047FF"/>
    <w:rsid w:val="00B13CBC"/>
    <w:rsid w:val="00B41324"/>
    <w:rsid w:val="00B65414"/>
    <w:rsid w:val="00B76CAD"/>
    <w:rsid w:val="00BA01C7"/>
    <w:rsid w:val="00BD32B5"/>
    <w:rsid w:val="00BE3FE9"/>
    <w:rsid w:val="00BF7521"/>
    <w:rsid w:val="00C019C3"/>
    <w:rsid w:val="00C27DB0"/>
    <w:rsid w:val="00C27E08"/>
    <w:rsid w:val="00C41AB5"/>
    <w:rsid w:val="00C55A9D"/>
    <w:rsid w:val="00C66202"/>
    <w:rsid w:val="00C6714F"/>
    <w:rsid w:val="00CC3915"/>
    <w:rsid w:val="00CE0132"/>
    <w:rsid w:val="00CF1BCB"/>
    <w:rsid w:val="00D23A6C"/>
    <w:rsid w:val="00D31D50"/>
    <w:rsid w:val="00D45A65"/>
    <w:rsid w:val="00D97447"/>
    <w:rsid w:val="00DF1CA0"/>
    <w:rsid w:val="00E1447E"/>
    <w:rsid w:val="00E2478D"/>
    <w:rsid w:val="00E258DE"/>
    <w:rsid w:val="00E34695"/>
    <w:rsid w:val="00E74E84"/>
    <w:rsid w:val="00E81395"/>
    <w:rsid w:val="00E940A3"/>
    <w:rsid w:val="00EE606E"/>
    <w:rsid w:val="00F11EEC"/>
    <w:rsid w:val="00F1739A"/>
    <w:rsid w:val="00F22E03"/>
    <w:rsid w:val="00F52097"/>
    <w:rsid w:val="00F60EB2"/>
    <w:rsid w:val="00F61611"/>
    <w:rsid w:val="00FB553B"/>
    <w:rsid w:val="00FC54C1"/>
    <w:rsid w:val="00FD176F"/>
    <w:rsid w:val="00FE28C0"/>
    <w:rsid w:val="0DEE59D9"/>
    <w:rsid w:val="11391458"/>
    <w:rsid w:val="131A5541"/>
    <w:rsid w:val="25E126EC"/>
    <w:rsid w:val="283B7308"/>
    <w:rsid w:val="28A14822"/>
    <w:rsid w:val="3409378F"/>
    <w:rsid w:val="3EC022D4"/>
    <w:rsid w:val="40940D1F"/>
    <w:rsid w:val="4D433ABC"/>
    <w:rsid w:val="56FA0F10"/>
    <w:rsid w:val="577F60E1"/>
    <w:rsid w:val="596D3E06"/>
    <w:rsid w:val="79AF4497"/>
    <w:rsid w:val="7A6C2C1A"/>
    <w:rsid w:val="7B441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link w:val="18"/>
    <w:unhideWhenUsed/>
    <w:qFormat/>
    <w:uiPriority w:val="9"/>
    <w:pPr>
      <w:keepNext/>
      <w:keepLines/>
      <w:widowControl w:val="0"/>
      <w:adjustRightInd/>
      <w:snapToGrid/>
      <w:spacing w:before="260" w:after="260" w:line="416" w:lineRule="auto"/>
      <w:ind w:firstLine="200" w:firstLineChars="200"/>
      <w:jc w:val="both"/>
      <w:outlineLvl w:val="1"/>
    </w:pPr>
    <w:rPr>
      <w:rFonts w:asciiTheme="majorHAnsi" w:hAnsiTheme="majorHAnsi" w:eastAsiaTheme="majorEastAsia" w:cstheme="majorBidi"/>
      <w:b/>
      <w:bCs/>
      <w:kern w:val="2"/>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4"/>
    <w:semiHidden/>
    <w:unhideWhenUsed/>
    <w:uiPriority w:val="99"/>
    <w:rPr>
      <w:rFonts w:ascii="宋体" w:hAnsi="Courier New" w:eastAsia="宋体" w:cs="Courier New"/>
      <w:sz w:val="21"/>
      <w:szCs w:val="21"/>
    </w:rPr>
  </w:style>
  <w:style w:type="paragraph" w:styleId="4">
    <w:name w:val="Balloon Text"/>
    <w:basedOn w:val="1"/>
    <w:link w:val="10"/>
    <w:semiHidden/>
    <w:unhideWhenUsed/>
    <w:qFormat/>
    <w:uiPriority w:val="99"/>
    <w:pPr>
      <w:spacing w:after="0"/>
    </w:pPr>
    <w:rPr>
      <w:sz w:val="18"/>
      <w:szCs w:val="18"/>
    </w:rPr>
  </w:style>
  <w:style w:type="paragraph" w:styleId="5">
    <w:name w:val="footer"/>
    <w:basedOn w:val="1"/>
    <w:link w:val="16"/>
    <w:unhideWhenUsed/>
    <w:qFormat/>
    <w:uiPriority w:val="99"/>
    <w:pPr>
      <w:tabs>
        <w:tab w:val="center" w:pos="4153"/>
        <w:tab w:val="right" w:pos="8306"/>
      </w:tabs>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table" w:styleId="8">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批注框文本 Char"/>
    <w:basedOn w:val="9"/>
    <w:link w:val="4"/>
    <w:semiHidden/>
    <w:qFormat/>
    <w:uiPriority w:val="99"/>
    <w:rPr>
      <w:rFonts w:ascii="Tahoma" w:hAnsi="Tahoma"/>
      <w:sz w:val="18"/>
      <w:szCs w:val="18"/>
    </w:rPr>
  </w:style>
  <w:style w:type="paragraph" w:styleId="11">
    <w:name w:val="List Paragraph"/>
    <w:basedOn w:val="1"/>
    <w:qFormat/>
    <w:uiPriority w:val="34"/>
    <w:pPr>
      <w:ind w:firstLine="420" w:firstLineChars="200"/>
    </w:pPr>
  </w:style>
  <w:style w:type="character" w:customStyle="1" w:styleId="12">
    <w:name w:val="样式 标题 1b1 + (符号) 宋体 四号 非加粗 Char"/>
    <w:basedOn w:val="9"/>
    <w:qFormat/>
    <w:uiPriority w:val="0"/>
    <w:rPr>
      <w:rFonts w:ascii="楷体_GB2312" w:eastAsia="宋体" w:cs="Times New Roman"/>
      <w:b/>
      <w:kern w:val="44"/>
      <w:sz w:val="24"/>
      <w:szCs w:val="24"/>
      <w:lang w:val="en-US" w:eastAsia="zh-CN" w:bidi="ar-SA"/>
    </w:rPr>
  </w:style>
  <w:style w:type="paragraph" w:customStyle="1" w:styleId="13">
    <w:name w:val="表格文字"/>
    <w:basedOn w:val="3"/>
    <w:next w:val="1"/>
    <w:qFormat/>
    <w:uiPriority w:val="0"/>
  </w:style>
  <w:style w:type="character" w:customStyle="1" w:styleId="14">
    <w:name w:val="纯文本 Char"/>
    <w:basedOn w:val="9"/>
    <w:link w:val="3"/>
    <w:semiHidden/>
    <w:qFormat/>
    <w:uiPriority w:val="99"/>
    <w:rPr>
      <w:rFonts w:ascii="宋体" w:hAnsi="Courier New" w:eastAsia="宋体" w:cs="Courier New"/>
      <w:sz w:val="21"/>
      <w:szCs w:val="21"/>
    </w:rPr>
  </w:style>
  <w:style w:type="character" w:customStyle="1" w:styleId="15">
    <w:name w:val="页眉 Char"/>
    <w:basedOn w:val="9"/>
    <w:link w:val="6"/>
    <w:qFormat/>
    <w:uiPriority w:val="99"/>
    <w:rPr>
      <w:rFonts w:ascii="Tahoma" w:hAnsi="Tahoma"/>
      <w:sz w:val="18"/>
      <w:szCs w:val="18"/>
    </w:rPr>
  </w:style>
  <w:style w:type="character" w:customStyle="1" w:styleId="16">
    <w:name w:val="页脚 Char"/>
    <w:basedOn w:val="9"/>
    <w:link w:val="5"/>
    <w:qFormat/>
    <w:uiPriority w:val="99"/>
    <w:rPr>
      <w:rFonts w:ascii="Tahoma" w:hAnsi="Tahoma"/>
      <w:sz w:val="18"/>
      <w:szCs w:val="18"/>
    </w:rPr>
  </w:style>
  <w:style w:type="character" w:customStyle="1" w:styleId="17">
    <w:name w:val="webdict"/>
    <w:basedOn w:val="9"/>
    <w:qFormat/>
    <w:uiPriority w:val="0"/>
  </w:style>
  <w:style w:type="character" w:customStyle="1" w:styleId="18">
    <w:name w:val="标题 2 Char"/>
    <w:basedOn w:val="9"/>
    <w:link w:val="2"/>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11</Pages>
  <Words>886</Words>
  <Characters>5056</Characters>
  <Lines>42</Lines>
  <Paragraphs>11</Paragraphs>
  <TotalTime>1</TotalTime>
  <ScaleCrop>false</ScaleCrop>
  <LinksUpToDate>false</LinksUpToDate>
  <CharactersWithSpaces>5931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2022-02-24T09:00:00Z</dcterms:created>
  <dc:creator>Administrator</dc:creator>
  <cp:lastModifiedBy>Li</cp:lastModifiedBy>
  <dcterms:modified xsi:type="dcterms:W3CDTF">2022-03-24T08:41:40Z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