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883" w:firstLineChars="200"/>
        <w:jc w:val="center"/>
        <w:textAlignment w:val="auto"/>
        <w:rPr>
          <w:rFonts w:hint="eastAsia" w:eastAsia="仿宋"/>
          <w:b/>
          <w:color w:val="000000"/>
          <w:sz w:val="44"/>
          <w:lang w:val="en-US" w:eastAsia="zh-CN"/>
        </w:rPr>
      </w:pPr>
      <w:r>
        <w:rPr>
          <w:rFonts w:hint="eastAsia" w:eastAsia="仿宋"/>
          <w:b/>
          <w:color w:val="000000"/>
          <w:sz w:val="44"/>
          <w:lang w:val="en-US" w:eastAsia="zh-CN"/>
        </w:rPr>
        <w:t>技术文本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ascii="仿宋" w:hAnsi="仿宋" w:eastAsia="仿宋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color w:val="auto"/>
          <w:sz w:val="28"/>
          <w:szCs w:val="28"/>
          <w:lang w:val="en-US" w:eastAsia="zh-CN"/>
        </w:rPr>
        <w:t>一、工程概况：</w:t>
      </w:r>
    </w:p>
    <w:p>
      <w:pPr>
        <w:pStyle w:val="8"/>
        <w:spacing w:line="440" w:lineRule="exact"/>
        <w:ind w:firstLine="482"/>
        <w:rPr>
          <w:rFonts w:hint="eastAsia" w:ascii="仿宋" w:hAnsi="仿宋" w:eastAsia="仿宋" w:cs="仿宋"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1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项目名称：</w:t>
      </w:r>
      <w:r>
        <w:rPr>
          <w:rFonts w:hint="eastAsia" w:ascii="仿宋" w:hAnsi="仿宋" w:eastAsia="仿宋" w:cs="仿宋"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>大棚及彩钢建筑设施环保密封治理项目</w:t>
      </w:r>
    </w:p>
    <w:p>
      <w:pPr>
        <w:pStyle w:val="8"/>
        <w:spacing w:line="440" w:lineRule="exact"/>
        <w:ind w:firstLine="482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2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.施工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地点：邢台金隅冀东水泥有限公司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厂区内</w:t>
      </w:r>
    </w:p>
    <w:p>
      <w:pPr>
        <w:pStyle w:val="8"/>
        <w:spacing w:line="440" w:lineRule="exact"/>
        <w:ind w:firstLine="482"/>
        <w:rPr>
          <w:rFonts w:hint="eastAsia" w:eastAsia="仿宋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3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承包方式：本承包合同采用固定总价合同，包工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包料、保工期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562" w:firstLineChars="20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4.标的物、数量、价格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：</w:t>
      </w:r>
    </w:p>
    <w:tbl>
      <w:tblPr>
        <w:tblStyle w:val="6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14"/>
        <w:gridCol w:w="1565"/>
        <w:gridCol w:w="1530"/>
        <w:gridCol w:w="787"/>
        <w:gridCol w:w="1285"/>
        <w:gridCol w:w="2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</w:trPr>
        <w:tc>
          <w:tcPr>
            <w:tcW w:w="36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93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918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维修范围及技术要求</w:t>
            </w:r>
          </w:p>
        </w:tc>
        <w:tc>
          <w:tcPr>
            <w:tcW w:w="47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770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总价（元）</w:t>
            </w:r>
          </w:p>
        </w:tc>
        <w:tc>
          <w:tcPr>
            <w:tcW w:w="1530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 w:bidi="ar-S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0" w:hRule="atLeast"/>
        </w:trPr>
        <w:tc>
          <w:tcPr>
            <w:tcW w:w="36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39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大棚及彩钢建筑设施环保密封治理项目</w:t>
            </w:r>
          </w:p>
        </w:tc>
        <w:tc>
          <w:tcPr>
            <w:tcW w:w="918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详见附件</w:t>
            </w:r>
          </w:p>
        </w:tc>
        <w:tc>
          <w:tcPr>
            <w:tcW w:w="472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1项</w:t>
            </w:r>
          </w:p>
        </w:tc>
        <w:tc>
          <w:tcPr>
            <w:tcW w:w="770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530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8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采用固定总价合同，乙方承担维修部位工程量增减风险。乙方负责甲方暂估施工范围工程的维修，乙方现场测量和统计，并承担工程量增减风险。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atLeast"/>
        </w:trPr>
        <w:tc>
          <w:tcPr>
            <w:tcW w:w="3469" w:type="pct"/>
            <w:gridSpan w:val="5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总额（大写，人民币）：</w:t>
            </w:r>
            <w:r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元整，其中，不含税金额为</w:t>
            </w:r>
            <w:r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元，税额为</w:t>
            </w:r>
            <w:r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元。含 9%增值税专用发票。</w:t>
            </w:r>
          </w:p>
        </w:tc>
        <w:tc>
          <w:tcPr>
            <w:tcW w:w="1530" w:type="pc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</w:tbl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0" w:leftChars="0" w:firstLine="459" w:firstLineChars="164"/>
        <w:rPr>
          <w:rFonts w:hint="eastAsia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备注：总价包括①人工费②材料费（板材及耗材）③机械费（含吊车费）④措施费⑤管理费⑥规费⑦合理利润⑧税金等。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ascii="仿宋" w:hAnsi="仿宋" w:eastAsia="仿宋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color w:val="auto"/>
          <w:sz w:val="28"/>
          <w:szCs w:val="28"/>
          <w:lang w:val="en-US" w:eastAsia="zh-CN"/>
        </w:rPr>
        <w:t>二、质量验收标准及技术要求：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（一）、质量、技术要求：按照原构筑物设施设计标准施工，施工质量和技术符合合同及国家质量验收标准，要求整体安装牢固美观、密封严密，并满足甲方的正常使用。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（二）、材料要求：更换的彩钢板规格厚度0.6mm，采光板5mm,搭接及接头处均以建筑密封膏封严，防腐喷刷外观颜色按甲方要求喷涂。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（三）、具体要求如下：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1.圆堆棚环保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整改内容及及时要求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（1）大棚内目视无明显孔洞，对于孔洞进行封堵；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（2）板与板之间不得有明显缝隙，采用增加钻尾丝加固、玻璃胶或泡沫填充剂封堵；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（3）立墙板与顶部圆弧板搭接处缝隙增加密封挡板，再采用泡沫填充剂封堵；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（4）立墙板上积灰清理干净，顶板无灰尘痕迹。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2.辅料棚整改内容及及时要求：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（1）大棚内目视无明显孔洞，对于孔洞进行封堵；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（2）板与板之间不得有明显缝隙，采用增加钻尾丝加固、玻璃胶或泡沫填充剂封堵；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（3）立墙彩钢板和顶部彩钢板清洗，表面无灰尘痕迹。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3.斜拉链和熟料库顶彩钢棚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整改内容及及时要求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预计工程量：：斜拉链上部彩钢损坏面积：94㎡，熟料仓顶小房损坏彩钢面积：108㎡，熟料库西南角、东南角和东北角三处结皮清理粉刷面积280㎡，合计：482㎡。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（1）斜拉链机廊道和熟料库彩钢棚内目视无明显孔洞，对于孔洞进行封堵；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（2）板与板之间不得有明显缝隙，采用增加钻尾丝加固、玻璃胶或泡沫填充剂封堵；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（3）对损坏和变形彩钢板更换，颜色与现有彩钢板颜色一致；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（4）斜拉链机廊道和熟料库顶彩钢棚表面氧化皮、结皮、灰尘痕迹彻底清理干净；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9" w:firstLineChars="157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  <w:t>（5）熟料库彩钢板喷漆均匀无遗漏，无流挂痕迹。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firstLine="482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三、质量保证：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验收合格之日起质保二年，质保期内出现任何的质量问题，乙方免费维修。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firstLine="482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四、工期要求：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 xml:space="preserve">合同签订后甲方提前3日通知乙方，自乙方到厂之日起 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30  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内交工验收。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firstLine="482"/>
        <w:textAlignment w:val="auto"/>
        <w:rPr>
          <w:rFonts w:hint="eastAsia" w:ascii="仿宋" w:hAnsi="仿宋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五、付款方式：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firstLine="482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施工完毕经甲方验收合格，并收到乙方开具全额增值税专用发票后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，甲方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支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付合同总额的9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0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%到乙方指定账户，剩余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%作为质保金，质保期满后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无任何质量问题一次性无息付清。付款方式采用电汇或承兑。</w:t>
      </w:r>
    </w:p>
    <w:p>
      <w:pPr>
        <w:pStyle w:val="8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firstLine="482"/>
        <w:textAlignment w:val="auto"/>
        <w:rPr>
          <w:rFonts w:hint="eastAsia" w:ascii="仿宋" w:hAnsi="仿宋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甲乙双方责任和义务：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420" w:firstLineChars="15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（一）甲方义务：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638" w:firstLineChars="228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1.向乙方提供具备开展作业所需的作业场地，提供免费施工所需水、电乙方免费使用；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638" w:firstLineChars="228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2.甲方负责组织向乙方现场安全和技术进行交底；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638" w:firstLineChars="228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3.派代表负责施工协调联络；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638" w:firstLineChars="228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4.监督乙方施工进展情况和现场安全管理情况，发现安全隐患时，甲方有权让其停止施工，进行整改；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638" w:firstLineChars="228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5.按合同约定支付工程款。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638" w:firstLineChars="228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（二）乙方责任义务：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638" w:firstLineChars="228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1.乙方应严格按约定标准和设计图纸、现行国家施工规范及验收规范进行施工，以保证工程质量、进度；与甲方代表及时进行沟通、协调；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638" w:firstLineChars="228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2.乙方在施工作业中要安排专人负责现场施工的安全检查工作，非因甲方原因造成的人身伤亡事故，其责任与费用由乙方自行承担，甲方不承担任何责任与费用；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638" w:firstLineChars="228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3.服从甲方现场管理，做到现场作业安全、文明作业，保质保量按期完工，人走场地清；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638" w:firstLineChars="228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4.乙方负责施工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维修用工机具及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主、辅材料（板材、密封胶等）；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638" w:firstLineChars="228"/>
        <w:textAlignment w:val="auto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乙方自行负责吊装机械费用及搬运费用；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400" w:lineRule="exact"/>
        <w:ind w:left="0" w:leftChars="0" w:firstLine="638" w:firstLineChars="228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6.合同范围内及保修期内免费保修。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20" w:lineRule="atLeas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" w:hAnsi="仿宋" w:eastAsia="仿宋" w:cs="Courier New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Courier New"/>
          <w:b/>
          <w:bCs/>
          <w:color w:val="auto"/>
          <w:sz w:val="32"/>
          <w:szCs w:val="32"/>
        </w:rPr>
        <w:t>附件：施工范围及</w:t>
      </w:r>
      <w:r>
        <w:rPr>
          <w:rFonts w:hint="eastAsia" w:ascii="仿宋" w:hAnsi="仿宋" w:eastAsia="仿宋" w:cs="Courier New"/>
          <w:b/>
          <w:bCs/>
          <w:color w:val="auto"/>
          <w:sz w:val="32"/>
          <w:szCs w:val="32"/>
          <w:lang w:val="en-US" w:eastAsia="zh-CN"/>
        </w:rPr>
        <w:t>工程</w:t>
      </w:r>
      <w:r>
        <w:rPr>
          <w:rFonts w:hint="eastAsia" w:ascii="仿宋" w:hAnsi="仿宋" w:eastAsia="仿宋" w:cs="Courier New"/>
          <w:b/>
          <w:bCs/>
          <w:color w:val="auto"/>
          <w:sz w:val="32"/>
          <w:szCs w:val="32"/>
        </w:rPr>
        <w:t>内容</w:t>
      </w:r>
    </w:p>
    <w:tbl>
      <w:tblPr>
        <w:tblStyle w:val="6"/>
        <w:tblW w:w="92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5"/>
        <w:gridCol w:w="1363"/>
        <w:gridCol w:w="1669"/>
        <w:gridCol w:w="2609"/>
        <w:gridCol w:w="1015"/>
        <w:gridCol w:w="651"/>
        <w:gridCol w:w="141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位置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技术要求</w:t>
            </w:r>
          </w:p>
        </w:tc>
        <w:tc>
          <w:tcPr>
            <w:tcW w:w="2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现场图片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工程量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总价（元）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atLeast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 w:bidi="ar-SA"/>
              </w:rPr>
              <w:t>圆堆棚环保整改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见技术文本“二”</w:t>
            </w:r>
          </w:p>
        </w:tc>
        <w:tc>
          <w:tcPr>
            <w:tcW w:w="2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1633855" cy="1111885"/>
                  <wp:effectExtent l="0" t="0" r="4445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1次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辅料堆棚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 w:bidi="ar-SA"/>
              </w:rPr>
              <w:t>环保整改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见技术文本“二”</w:t>
            </w:r>
          </w:p>
        </w:tc>
        <w:tc>
          <w:tcPr>
            <w:tcW w:w="2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1635125" cy="992505"/>
                  <wp:effectExtent l="0" t="0" r="3175" b="1714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1次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5" w:hRule="atLeast"/>
        </w:trPr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 w:bidi="ar-SA"/>
              </w:rPr>
              <w:t>斜拉链机廊道和熟料库彩钢棚环保整改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见技术文本“二”</w:t>
            </w:r>
          </w:p>
        </w:tc>
        <w:tc>
          <w:tcPr>
            <w:tcW w:w="2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34490" cy="1913890"/>
                  <wp:effectExtent l="0" t="0" r="3810" b="1016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624965" cy="737870"/>
                  <wp:effectExtent l="0" t="0" r="13335" b="508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412875" cy="1141730"/>
                  <wp:effectExtent l="0" t="0" r="15875" b="1270"/>
                  <wp:docPr id="2" name="图片 4" descr="d25edd33c8d5ada53b2fce6582f13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d25edd33c8d5ada53b2fce6582f13f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1次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</w:tbl>
    <w:p>
      <w:pPr>
        <w:pStyle w:val="8"/>
        <w:spacing w:line="520" w:lineRule="exact"/>
        <w:ind w:firstLine="480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 w:bidi="ar-SA"/>
        </w:rPr>
      </w:pPr>
      <w:r>
        <w:rPr>
          <w:rFonts w:hint="eastAsia" w:ascii="宋体" w:hAnsi="宋体"/>
          <w:b/>
          <w:bCs/>
          <w:color w:val="000000"/>
          <w:sz w:val="24"/>
        </w:rPr>
        <w:t>备注：</w:t>
      </w:r>
      <w:r>
        <w:rPr>
          <w:rFonts w:hint="eastAsia" w:ascii="宋体" w:hAnsi="宋体"/>
          <w:b/>
          <w:bCs/>
          <w:color w:val="000000"/>
          <w:sz w:val="24"/>
          <w:lang w:val="en-US" w:eastAsia="zh-CN"/>
        </w:rPr>
        <w:t>乙方</w:t>
      </w:r>
      <w:r>
        <w:rPr>
          <w:rFonts w:hint="eastAsia" w:ascii="宋体" w:hAnsi="宋体"/>
          <w:b/>
          <w:bCs/>
          <w:color w:val="000000"/>
          <w:sz w:val="24"/>
        </w:rPr>
        <w:t>负责甲方</w:t>
      </w:r>
      <w:r>
        <w:rPr>
          <w:rFonts w:hint="eastAsia" w:ascii="宋体" w:hAnsi="宋体"/>
          <w:b/>
          <w:bCs/>
          <w:color w:val="000000"/>
          <w:sz w:val="24"/>
          <w:lang w:val="en-US" w:eastAsia="zh-CN"/>
        </w:rPr>
        <w:t>暂估施工</w:t>
      </w:r>
      <w:r>
        <w:rPr>
          <w:rFonts w:hint="eastAsia" w:ascii="宋体" w:hAnsi="宋体"/>
          <w:b/>
          <w:bCs/>
          <w:color w:val="000000"/>
          <w:sz w:val="24"/>
        </w:rPr>
        <w:t>范围</w:t>
      </w:r>
      <w:r>
        <w:rPr>
          <w:rFonts w:hint="eastAsia" w:ascii="宋体" w:hAnsi="宋体"/>
          <w:b/>
          <w:bCs/>
          <w:color w:val="000000"/>
          <w:sz w:val="24"/>
          <w:lang w:val="en-US" w:eastAsia="zh-CN"/>
        </w:rPr>
        <w:t>工程</w:t>
      </w:r>
      <w:r>
        <w:rPr>
          <w:rFonts w:hint="eastAsia" w:ascii="宋体" w:hAnsi="宋体"/>
          <w:b/>
          <w:bCs/>
          <w:color w:val="000000"/>
          <w:sz w:val="24"/>
        </w:rPr>
        <w:t>维修，乙方现场测量和统计</w:t>
      </w:r>
      <w:r>
        <w:rPr>
          <w:rFonts w:hint="eastAsia" w:ascii="宋体" w:hAnsi="宋体"/>
          <w:b/>
          <w:bCs/>
          <w:color w:val="000000"/>
          <w:sz w:val="24"/>
          <w:lang w:val="en-US" w:eastAsia="zh-CN"/>
        </w:rPr>
        <w:t>填报</w:t>
      </w:r>
      <w:r>
        <w:rPr>
          <w:rFonts w:hint="eastAsia" w:ascii="宋体" w:hAnsi="宋体"/>
          <w:b/>
          <w:bCs/>
          <w:color w:val="000000"/>
          <w:sz w:val="24"/>
        </w:rPr>
        <w:t>，并</w:t>
      </w:r>
      <w:r>
        <w:rPr>
          <w:rFonts w:hint="eastAsia" w:ascii="宋体" w:hAnsi="宋体"/>
          <w:b/>
          <w:bCs/>
          <w:color w:val="000000"/>
          <w:sz w:val="24"/>
          <w:lang w:val="en-US" w:eastAsia="zh-CN"/>
        </w:rPr>
        <w:t>承担</w:t>
      </w:r>
      <w:r>
        <w:rPr>
          <w:rFonts w:hint="eastAsia" w:ascii="宋体" w:hAnsi="宋体"/>
          <w:b/>
          <w:bCs/>
          <w:color w:val="000000"/>
          <w:sz w:val="24"/>
        </w:rPr>
        <w:t>工程量增减风险</w:t>
      </w:r>
      <w:r>
        <w:rPr>
          <w:rFonts w:hint="eastAsia" w:ascii="宋体" w:hAnsi="宋体"/>
          <w:b/>
          <w:bCs/>
          <w:color w:val="000000"/>
          <w:sz w:val="24"/>
          <w:lang w:eastAsia="zh-CN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7F1AE"/>
    <w:multiLevelType w:val="singleLevel"/>
    <w:tmpl w:val="1A17F1AE"/>
    <w:lvl w:ilvl="0" w:tentative="0">
      <w:start w:val="6"/>
      <w:numFmt w:val="chineseCounting"/>
      <w:suff w:val="nothing"/>
      <w:lvlText w:val="%1、"/>
      <w:lvlJc w:val="left"/>
      <w:rPr>
        <w:rFonts w:hint="eastAsia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1224D3"/>
    <w:rsid w:val="00320A9B"/>
    <w:rsid w:val="00323B43"/>
    <w:rsid w:val="003D37D8"/>
    <w:rsid w:val="00426133"/>
    <w:rsid w:val="004358AB"/>
    <w:rsid w:val="0057725D"/>
    <w:rsid w:val="00665230"/>
    <w:rsid w:val="008B7726"/>
    <w:rsid w:val="00D31D50"/>
    <w:rsid w:val="07AA7292"/>
    <w:rsid w:val="11A1468D"/>
    <w:rsid w:val="6DDA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行距: 1.5 倍行距 首行缩进:  2 字符"/>
    <w:basedOn w:val="1"/>
    <w:qFormat/>
    <w:uiPriority w:val="0"/>
    <w:pPr>
      <w:adjustRightInd w:val="0"/>
      <w:snapToGrid w:val="0"/>
      <w:spacing w:line="460" w:lineRule="exact"/>
    </w:pPr>
    <w:rPr>
      <w:sz w:val="24"/>
    </w:rPr>
  </w:style>
  <w:style w:type="paragraph" w:styleId="3">
    <w:name w:val="Body Text"/>
    <w:basedOn w:val="1"/>
    <w:next w:val="4"/>
    <w:qFormat/>
    <w:uiPriority w:val="0"/>
    <w:pPr>
      <w:spacing w:line="360" w:lineRule="auto"/>
    </w:pPr>
    <w:rPr>
      <w:sz w:val="24"/>
      <w:szCs w:val="24"/>
    </w:rPr>
  </w:style>
  <w:style w:type="paragraph" w:customStyle="1" w:styleId="4">
    <w:name w:val="_Style 2"/>
    <w:basedOn w:val="1"/>
    <w:qFormat/>
    <w:uiPriority w:val="0"/>
    <w:pPr>
      <w:ind w:firstLine="420" w:firstLineChars="200"/>
    </w:pPr>
  </w:style>
  <w:style w:type="paragraph" w:styleId="5">
    <w:name w:val="Body Text First Indent"/>
    <w:basedOn w:val="3"/>
    <w:qFormat/>
    <w:uiPriority w:val="0"/>
    <w:pPr>
      <w:tabs>
        <w:tab w:val="left" w:pos="686"/>
      </w:tabs>
      <w:ind w:firstLine="420" w:firstLineChars="100"/>
    </w:pPr>
    <w:rPr>
      <w:rFonts w:ascii="宋体" w:hAnsi="宋体"/>
      <w:sz w:val="24"/>
      <w:szCs w:val="2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60</Words>
  <Characters>346</Characters>
  <Lines>2</Lines>
  <Paragraphs>1</Paragraphs>
  <TotalTime>1</TotalTime>
  <ScaleCrop>false</ScaleCrop>
  <LinksUpToDate>false</LinksUpToDate>
  <CharactersWithSpaces>405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XingTai</dc:creator>
  <cp:lastModifiedBy>依若林风 Mr Chen</cp:lastModifiedBy>
  <dcterms:modified xsi:type="dcterms:W3CDTF">2022-04-02T07:43:49Z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