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p>
    <w:p>
      <w:pPr>
        <w:pStyle w:val="7"/>
      </w:pPr>
    </w:p>
    <w:p>
      <w:pPr>
        <w:pStyle w:val="7"/>
      </w:pPr>
    </w:p>
    <w:p>
      <w:pPr>
        <w:pStyle w:val="7"/>
      </w:pPr>
    </w:p>
    <w:p>
      <w:pPr>
        <w:spacing w:line="400" w:lineRule="exact"/>
      </w:pPr>
    </w:p>
    <w:p>
      <w:pPr>
        <w:spacing w:line="400" w:lineRule="exact"/>
      </w:pPr>
    </w:p>
    <w:p>
      <w:pPr>
        <w:pStyle w:val="21"/>
        <w:ind w:firstLine="420"/>
      </w:pPr>
    </w:p>
    <w:p>
      <w:pPr>
        <w:jc w:val="center"/>
        <w:rPr>
          <w:rFonts w:ascii="黑体" w:eastAsia="黑体"/>
          <w:sz w:val="36"/>
          <w:szCs w:val="36"/>
        </w:rPr>
      </w:pPr>
      <w:r>
        <w:rPr>
          <w:rFonts w:hint="eastAsia" w:ascii="黑体" w:eastAsia="黑体"/>
          <w:sz w:val="36"/>
          <w:szCs w:val="36"/>
        </w:rPr>
        <w:t>冀东海天水泥闻喜有限责任公司</w:t>
      </w:r>
    </w:p>
    <w:p>
      <w:pPr>
        <w:jc w:val="center"/>
        <w:rPr>
          <w:rFonts w:hint="eastAsia" w:ascii="黑体" w:eastAsia="黑体"/>
          <w:sz w:val="36"/>
          <w:szCs w:val="36"/>
          <w:lang w:eastAsia="zh-CN"/>
        </w:rPr>
      </w:pPr>
      <w:r>
        <w:rPr>
          <w:rFonts w:hint="eastAsia" w:ascii="黑体" w:eastAsia="黑体"/>
          <w:sz w:val="36"/>
          <w:szCs w:val="36"/>
          <w:lang w:eastAsia="zh-CN"/>
        </w:rPr>
        <w:t>矿山卸料坑口沉降治理</w:t>
      </w:r>
    </w:p>
    <w:p>
      <w:pPr>
        <w:pStyle w:val="20"/>
      </w:pPr>
    </w:p>
    <w:p>
      <w:pPr>
        <w:pStyle w:val="20"/>
      </w:pPr>
    </w:p>
    <w:p>
      <w:pPr>
        <w:pStyle w:val="20"/>
      </w:pPr>
    </w:p>
    <w:p>
      <w:pPr>
        <w:jc w:val="center"/>
        <w:rPr>
          <w:rFonts w:ascii="黑体" w:eastAsia="黑体"/>
          <w:sz w:val="84"/>
          <w:szCs w:val="84"/>
        </w:rPr>
      </w:pPr>
      <w:r>
        <w:rPr>
          <w:rFonts w:hint="eastAsia" w:ascii="黑体" w:eastAsia="黑体"/>
          <w:sz w:val="84"/>
          <w:szCs w:val="84"/>
        </w:rPr>
        <w:t>招 标 文 件</w:t>
      </w:r>
    </w:p>
    <w:p>
      <w:pPr>
        <w:spacing w:line="360" w:lineRule="auto"/>
        <w:rPr>
          <w:rFonts w:ascii="黑体" w:eastAsia="黑体"/>
          <w:sz w:val="28"/>
          <w:szCs w:val="28"/>
        </w:rPr>
      </w:pPr>
    </w:p>
    <w:p>
      <w:pPr>
        <w:spacing w:line="360" w:lineRule="auto"/>
        <w:ind w:firstLine="2520" w:firstLineChars="900"/>
        <w:rPr>
          <w:rFonts w:ascii="宋体" w:hAnsi="宋体"/>
          <w:bCs/>
          <w:color w:val="000000"/>
          <w:sz w:val="28"/>
          <w:szCs w:val="28"/>
        </w:rPr>
      </w:pPr>
      <w:r>
        <w:rPr>
          <w:rFonts w:hint="eastAsia" w:ascii="黑体" w:eastAsia="黑体"/>
          <w:sz w:val="28"/>
          <w:szCs w:val="28"/>
        </w:rPr>
        <w:t>招标编号</w:t>
      </w:r>
      <w:r>
        <w:rPr>
          <w:rFonts w:hint="eastAsia" w:ascii="宋体" w:hAnsi="宋体"/>
          <w:bCs/>
          <w:color w:val="000000"/>
          <w:sz w:val="32"/>
        </w:rPr>
        <w:t>：</w:t>
      </w:r>
    </w:p>
    <w:p>
      <w:pPr>
        <w:spacing w:line="400" w:lineRule="exact"/>
      </w:pPr>
    </w:p>
    <w:p>
      <w:pPr>
        <w:spacing w:line="400" w:lineRule="exact"/>
      </w:pPr>
    </w:p>
    <w:p>
      <w:pPr>
        <w:pStyle w:val="20"/>
      </w:pPr>
    </w:p>
    <w:p>
      <w:pPr>
        <w:pStyle w:val="20"/>
      </w:pPr>
    </w:p>
    <w:p>
      <w:pPr>
        <w:pStyle w:val="20"/>
        <w:ind w:firstLine="0"/>
      </w:pPr>
    </w:p>
    <w:p>
      <w:pPr>
        <w:pStyle w:val="20"/>
        <w:ind w:firstLine="0"/>
      </w:pPr>
    </w:p>
    <w:p>
      <w:pPr>
        <w:pStyle w:val="20"/>
      </w:pPr>
    </w:p>
    <w:p>
      <w:pPr>
        <w:jc w:val="center"/>
        <w:rPr>
          <w:rFonts w:ascii="黑体" w:eastAsia="黑体"/>
          <w:sz w:val="28"/>
          <w:szCs w:val="28"/>
        </w:rPr>
      </w:pPr>
      <w:r>
        <w:rPr>
          <w:rFonts w:hint="eastAsia" w:ascii="黑体" w:eastAsia="黑体"/>
          <w:sz w:val="28"/>
          <w:szCs w:val="28"/>
        </w:rPr>
        <w:t xml:space="preserve">    招   标   人：</w:t>
      </w:r>
      <w:r>
        <w:rPr>
          <w:rFonts w:hint="eastAsia" w:ascii="黑体" w:eastAsia="黑体"/>
          <w:sz w:val="28"/>
          <w:szCs w:val="28"/>
          <w:u w:val="single"/>
        </w:rPr>
        <w:t>冀东海天水泥闻喜有限责任公司</w:t>
      </w:r>
    </w:p>
    <w:p>
      <w:pPr>
        <w:jc w:val="center"/>
        <w:rPr>
          <w:rFonts w:ascii="黑体" w:eastAsia="黑体"/>
          <w:sz w:val="28"/>
          <w:szCs w:val="28"/>
        </w:rPr>
      </w:pPr>
      <w:r>
        <w:rPr>
          <w:rFonts w:hint="eastAsia" w:ascii="黑体" w:eastAsia="黑体"/>
          <w:sz w:val="28"/>
          <w:szCs w:val="28"/>
        </w:rPr>
        <w:t>二○二</w:t>
      </w:r>
      <w:r>
        <w:rPr>
          <w:rFonts w:hint="eastAsia" w:ascii="黑体" w:eastAsia="黑体"/>
          <w:sz w:val="28"/>
          <w:szCs w:val="28"/>
          <w:lang w:val="en-US" w:eastAsia="zh-CN"/>
        </w:rPr>
        <w:t>二</w:t>
      </w:r>
      <w:r>
        <w:rPr>
          <w:rFonts w:hint="eastAsia" w:ascii="黑体" w:eastAsia="黑体"/>
          <w:sz w:val="28"/>
          <w:szCs w:val="28"/>
        </w:rPr>
        <w:t>年</w:t>
      </w:r>
      <w:r>
        <w:rPr>
          <w:rFonts w:hint="eastAsia" w:ascii="黑体" w:eastAsia="黑体"/>
          <w:sz w:val="28"/>
          <w:szCs w:val="28"/>
          <w:lang w:val="en-US" w:eastAsia="zh-CN"/>
        </w:rPr>
        <w:t>三</w:t>
      </w:r>
      <w:r>
        <w:rPr>
          <w:rFonts w:hint="eastAsia" w:ascii="黑体" w:eastAsia="黑体"/>
          <w:sz w:val="28"/>
          <w:szCs w:val="28"/>
        </w:rPr>
        <w:t>月</w:t>
      </w:r>
    </w:p>
    <w:p>
      <w:pPr>
        <w:spacing w:line="400" w:lineRule="exact"/>
        <w:sectPr>
          <w:footerReference r:id="rId3" w:type="default"/>
          <w:pgSz w:w="11906" w:h="16838"/>
          <w:pgMar w:top="1440" w:right="1800" w:bottom="1440" w:left="1800" w:header="851" w:footer="992" w:gutter="0"/>
          <w:pgNumType w:start="1"/>
          <w:cols w:space="720" w:num="1"/>
          <w:docGrid w:type="lines" w:linePitch="312" w:charSpace="0"/>
        </w:sectPr>
      </w:pPr>
      <w:bookmarkStart w:id="0" w:name="_Toc144974478"/>
      <w:bookmarkStart w:id="1" w:name="_Toc152042286"/>
    </w:p>
    <w:p>
      <w:pPr>
        <w:spacing w:line="400" w:lineRule="exact"/>
        <w:jc w:val="center"/>
        <w:rPr>
          <w:rFonts w:ascii="黑体" w:hAnsi="黑体" w:eastAsia="黑体"/>
          <w:b/>
          <w:bCs/>
          <w:sz w:val="32"/>
        </w:rPr>
      </w:pPr>
      <w:r>
        <w:rPr>
          <w:rFonts w:hint="eastAsia" w:ascii="黑体" w:hAnsi="黑体" w:eastAsia="黑体"/>
          <w:b/>
          <w:bCs/>
          <w:sz w:val="32"/>
        </w:rPr>
        <w:t>目     录</w:t>
      </w:r>
      <w:bookmarkEnd w:id="0"/>
      <w:bookmarkEnd w:id="1"/>
    </w:p>
    <w:p>
      <w:pPr>
        <w:pStyle w:val="16"/>
      </w:pPr>
    </w:p>
    <w:p>
      <w:pPr>
        <w:pStyle w:val="16"/>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"_Toc179632526" </w:instrText>
      </w:r>
      <w:r>
        <w:fldChar w:fldCharType="separate"/>
      </w:r>
      <w:r>
        <w:rPr>
          <w:rStyle w:val="26"/>
          <w:rFonts w:hint="eastAsia" w:ascii="黑体" w:hAnsi="黑体" w:eastAsia="黑体"/>
        </w:rPr>
        <w:t>第一卷</w:t>
      </w:r>
      <w:r>
        <w:tab/>
      </w:r>
      <w:r>
        <w:fldChar w:fldCharType="begin"/>
      </w:r>
      <w:r>
        <w:instrText xml:space="preserve"> PAGEREF _Toc179632526 \h </w:instrText>
      </w:r>
      <w:r>
        <w:fldChar w:fldCharType="separate"/>
      </w:r>
      <w:r>
        <w:t>3</w:t>
      </w:r>
      <w:r>
        <w:fldChar w:fldCharType="end"/>
      </w:r>
      <w:r>
        <w:fldChar w:fldCharType="end"/>
      </w:r>
    </w:p>
    <w:p>
      <w:pPr>
        <w:pStyle w:val="16"/>
        <w:tabs>
          <w:tab w:val="right" w:leader="dot" w:pos="8296"/>
        </w:tabs>
      </w:pPr>
      <w:r>
        <w:fldChar w:fldCharType="begin"/>
      </w:r>
      <w:r>
        <w:instrText xml:space="preserve"> HYPERLINK \l "_Toc179632527" </w:instrText>
      </w:r>
      <w:r>
        <w:fldChar w:fldCharType="separate"/>
      </w:r>
      <w:r>
        <w:rPr>
          <w:rStyle w:val="26"/>
          <w:rFonts w:hint="eastAsia" w:ascii="黑体" w:hAnsi="黑体" w:eastAsia="黑体"/>
        </w:rPr>
        <w:t>第一章</w:t>
      </w:r>
      <w:r>
        <w:rPr>
          <w:rStyle w:val="26"/>
          <w:rFonts w:ascii="黑体" w:hAnsi="黑体" w:eastAsia="黑体"/>
        </w:rPr>
        <w:t xml:space="preserve"> </w:t>
      </w:r>
      <w:r>
        <w:rPr>
          <w:rStyle w:val="26"/>
          <w:rFonts w:hint="eastAsia" w:ascii="黑体" w:hAnsi="黑体" w:eastAsia="黑体"/>
        </w:rPr>
        <w:t>招标公告</w:t>
      </w:r>
      <w:r>
        <w:tab/>
      </w:r>
      <w:r>
        <w:fldChar w:fldCharType="begin"/>
      </w:r>
      <w:r>
        <w:instrText xml:space="preserve"> PAGEREF _Toc179632527 \h </w:instrText>
      </w:r>
      <w:r>
        <w:fldChar w:fldCharType="separate"/>
      </w:r>
      <w:r>
        <w:t>4</w:t>
      </w:r>
      <w:r>
        <w:fldChar w:fldCharType="end"/>
      </w:r>
      <w:r>
        <w:fldChar w:fldCharType="end"/>
      </w:r>
    </w:p>
    <w:p>
      <w:pPr>
        <w:pStyle w:val="16"/>
        <w:tabs>
          <w:tab w:val="right" w:leader="dot" w:pos="8296"/>
        </w:tabs>
      </w:pPr>
      <w:r>
        <w:fldChar w:fldCharType="begin"/>
      </w:r>
      <w:r>
        <w:instrText xml:space="preserve"> HYPERLINK \l "_Toc179632544" </w:instrText>
      </w:r>
      <w:r>
        <w:fldChar w:fldCharType="separate"/>
      </w:r>
      <w:r>
        <w:rPr>
          <w:rStyle w:val="26"/>
          <w:rFonts w:hint="eastAsia" w:ascii="黑体" w:hAnsi="黑体" w:eastAsia="黑体"/>
        </w:rPr>
        <w:t>第二章</w:t>
      </w:r>
      <w:r>
        <w:rPr>
          <w:rStyle w:val="26"/>
          <w:rFonts w:ascii="黑体" w:hAnsi="黑体" w:eastAsia="黑体"/>
        </w:rPr>
        <w:t xml:space="preserve"> </w:t>
      </w:r>
      <w:r>
        <w:rPr>
          <w:rStyle w:val="26"/>
          <w:rFonts w:hint="eastAsia" w:ascii="黑体" w:hAnsi="黑体" w:eastAsia="黑体"/>
        </w:rPr>
        <w:t>投标人须知</w:t>
      </w:r>
      <w:r>
        <w:tab/>
      </w:r>
      <w:r>
        <w:fldChar w:fldCharType="begin"/>
      </w:r>
      <w:r>
        <w:instrText xml:space="preserve"> PAGEREF _Toc179632544 \h </w:instrText>
      </w:r>
      <w:r>
        <w:fldChar w:fldCharType="separate"/>
      </w:r>
      <w:r>
        <w:t>5</w:t>
      </w:r>
      <w:r>
        <w:fldChar w:fldCharType="end"/>
      </w:r>
      <w:r>
        <w:fldChar w:fldCharType="end"/>
      </w:r>
    </w:p>
    <w:p>
      <w:pPr>
        <w:pStyle w:val="16"/>
        <w:tabs>
          <w:tab w:val="right" w:leader="dot" w:pos="8296"/>
        </w:tabs>
      </w:pPr>
      <w:r>
        <w:fldChar w:fldCharType="begin"/>
      </w:r>
      <w:r>
        <w:instrText xml:space="preserve"> HYPERLINK \l "_Toc179632605" </w:instrText>
      </w:r>
      <w:r>
        <w:fldChar w:fldCharType="separate"/>
      </w:r>
      <w:r>
        <w:rPr>
          <w:rStyle w:val="26"/>
          <w:rFonts w:hint="eastAsia" w:ascii="黑体" w:hAnsi="黑体" w:eastAsia="黑体"/>
        </w:rPr>
        <w:t>第三章</w:t>
      </w:r>
      <w:r>
        <w:rPr>
          <w:rStyle w:val="26"/>
          <w:rFonts w:ascii="黑体" w:hAnsi="黑体" w:eastAsia="黑体"/>
        </w:rPr>
        <w:t xml:space="preserve"> </w:t>
      </w:r>
      <w:r>
        <w:rPr>
          <w:rStyle w:val="26"/>
          <w:rFonts w:hint="eastAsia" w:ascii="黑体" w:hAnsi="黑体" w:eastAsia="黑体"/>
        </w:rPr>
        <w:t>评标办法</w:t>
      </w:r>
      <w:r>
        <w:tab/>
      </w:r>
      <w:r>
        <w:rPr>
          <w:rFonts w:hint="eastAsia"/>
        </w:rPr>
        <w:t>1</w:t>
      </w:r>
      <w:r>
        <w:rPr>
          <w:rFonts w:hint="eastAsia"/>
        </w:rPr>
        <w:fldChar w:fldCharType="end"/>
      </w:r>
      <w:r>
        <w:rPr>
          <w:rFonts w:hint="eastAsia"/>
        </w:rPr>
        <w:t>8</w:t>
      </w:r>
    </w:p>
    <w:p>
      <w:pPr>
        <w:pStyle w:val="16"/>
        <w:tabs>
          <w:tab w:val="right" w:leader="dot" w:pos="8296"/>
        </w:tabs>
      </w:pPr>
      <w:r>
        <w:fldChar w:fldCharType="begin"/>
      </w:r>
      <w:r>
        <w:instrText xml:space="preserve"> HYPERLINK \l "_Toc179632627" </w:instrText>
      </w:r>
      <w:r>
        <w:fldChar w:fldCharType="separate"/>
      </w:r>
      <w:r>
        <w:rPr>
          <w:rStyle w:val="26"/>
          <w:rFonts w:hint="eastAsia" w:ascii="黑体" w:hAnsi="黑体" w:eastAsia="黑体"/>
        </w:rPr>
        <w:t>第四章</w:t>
      </w:r>
      <w:r>
        <w:rPr>
          <w:rStyle w:val="26"/>
          <w:rFonts w:ascii="黑体" w:hAnsi="黑体" w:eastAsia="黑体"/>
        </w:rPr>
        <w:t xml:space="preserve"> </w:t>
      </w:r>
      <w:r>
        <w:rPr>
          <w:rStyle w:val="26"/>
          <w:rFonts w:hint="eastAsia" w:ascii="黑体" w:hAnsi="黑体" w:eastAsia="黑体"/>
        </w:rPr>
        <w:t>合同条款及格式</w:t>
      </w:r>
      <w:r>
        <w:tab/>
      </w:r>
      <w:r>
        <w:fldChar w:fldCharType="begin"/>
      </w:r>
      <w:r>
        <w:instrText xml:space="preserve"> PAGEREF _Toc179632627 \h </w:instrText>
      </w:r>
      <w:r>
        <w:fldChar w:fldCharType="separate"/>
      </w:r>
      <w:r>
        <w:t>21</w:t>
      </w:r>
      <w:r>
        <w:fldChar w:fldCharType="end"/>
      </w:r>
      <w:r>
        <w:fldChar w:fldCharType="end"/>
      </w:r>
    </w:p>
    <w:p>
      <w:pPr>
        <w:pStyle w:val="16"/>
        <w:tabs>
          <w:tab w:val="right" w:leader="dot" w:pos="8296"/>
        </w:tabs>
      </w:pPr>
      <w:r>
        <w:fldChar w:fldCharType="begin"/>
      </w:r>
      <w:r>
        <w:instrText xml:space="preserve"> HYPERLINK \l "_Toc179632789" </w:instrText>
      </w:r>
      <w:r>
        <w:fldChar w:fldCharType="separate"/>
      </w:r>
      <w:r>
        <w:rPr>
          <w:rFonts w:hint="eastAsia"/>
          <w:b/>
          <w:bCs/>
        </w:rPr>
        <w:t>第五章</w:t>
      </w:r>
      <w:r>
        <w:rPr>
          <w:b/>
          <w:bCs/>
        </w:rPr>
        <w:t xml:space="preserve">  </w:t>
      </w:r>
      <w:r>
        <w:rPr>
          <w:rFonts w:hint="eastAsia"/>
          <w:b/>
          <w:bCs/>
        </w:rPr>
        <w:t>技术要求及工程量清单</w:t>
      </w:r>
      <w:r>
        <w:tab/>
      </w:r>
      <w:r>
        <w:fldChar w:fldCharType="begin"/>
      </w:r>
      <w:r>
        <w:instrText xml:space="preserve"> PAGEREF _Toc179632789 \h </w:instrText>
      </w:r>
      <w:r>
        <w:fldChar w:fldCharType="separate"/>
      </w:r>
      <w:r>
        <w:t>25</w:t>
      </w:r>
      <w:r>
        <w:fldChar w:fldCharType="end"/>
      </w:r>
      <w:r>
        <w:fldChar w:fldCharType="end"/>
      </w:r>
    </w:p>
    <w:p>
      <w:pPr>
        <w:pStyle w:val="16"/>
        <w:tabs>
          <w:tab w:val="right" w:leader="dot" w:pos="8296"/>
        </w:tabs>
      </w:pPr>
      <w:r>
        <w:fldChar w:fldCharType="begin"/>
      </w:r>
      <w:r>
        <w:instrText xml:space="preserve"> HYPERLINK \l "_Toc179632799" </w:instrText>
      </w:r>
      <w:r>
        <w:fldChar w:fldCharType="separate"/>
      </w:r>
      <w:r>
        <w:rPr>
          <w:rStyle w:val="26"/>
          <w:rFonts w:hint="eastAsia" w:ascii="黑体" w:hAnsi="黑体" w:eastAsia="黑体"/>
        </w:rPr>
        <w:t>第二卷</w:t>
      </w:r>
      <w:r>
        <w:tab/>
      </w:r>
      <w:r>
        <w:fldChar w:fldCharType="begin"/>
      </w:r>
      <w:r>
        <w:instrText xml:space="preserve"> PAGEREF _Toc179632799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"_Toc179632800" </w:instrText>
      </w:r>
      <w:r>
        <w:fldChar w:fldCharType="separate"/>
      </w:r>
      <w:r>
        <w:rPr>
          <w:rStyle w:val="26"/>
          <w:rFonts w:hint="eastAsia" w:ascii="黑体" w:hAnsi="黑体" w:eastAsia="黑体"/>
        </w:rPr>
        <w:t>第六章</w:t>
      </w:r>
      <w:r>
        <w:rPr>
          <w:rStyle w:val="26"/>
          <w:rFonts w:ascii="黑体" w:hAnsi="黑体" w:eastAsia="黑体"/>
        </w:rPr>
        <w:t xml:space="preserve">  </w:t>
      </w:r>
      <w:r>
        <w:rPr>
          <w:rStyle w:val="26"/>
          <w:rFonts w:hint="eastAsia" w:ascii="黑体" w:hAnsi="黑体" w:eastAsia="黑体"/>
        </w:rPr>
        <w:t>图</w:t>
      </w:r>
      <w:r>
        <w:rPr>
          <w:rStyle w:val="26"/>
          <w:rFonts w:ascii="黑体" w:hAnsi="黑体" w:eastAsia="黑体"/>
        </w:rPr>
        <w:t xml:space="preserve">  </w:t>
      </w:r>
      <w:r>
        <w:rPr>
          <w:rStyle w:val="26"/>
          <w:rFonts w:hint="eastAsia" w:ascii="黑体" w:hAnsi="黑体" w:eastAsia="黑体"/>
        </w:rPr>
        <w:t>纸</w:t>
      </w:r>
      <w:r>
        <w:tab/>
      </w:r>
      <w:r>
        <w:fldChar w:fldCharType="begin"/>
      </w:r>
      <w:r>
        <w:instrText xml:space="preserve"> PAGEREF _Toc179632800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"_Toc179632803" </w:instrText>
      </w:r>
      <w:r>
        <w:fldChar w:fldCharType="separate"/>
      </w:r>
      <w:r>
        <w:rPr>
          <w:rStyle w:val="26"/>
          <w:rFonts w:hint="eastAsia" w:ascii="黑体" w:hAnsi="黑体" w:eastAsia="黑体"/>
        </w:rPr>
        <w:t>第三卷</w:t>
      </w:r>
      <w:r>
        <w:tab/>
      </w:r>
      <w:r>
        <w:fldChar w:fldCharType="begin"/>
      </w:r>
      <w:r>
        <w:instrText xml:space="preserve"> PAGEREF _Toc179632803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"_Toc179632804" </w:instrText>
      </w:r>
      <w:r>
        <w:fldChar w:fldCharType="separate"/>
      </w:r>
      <w:r>
        <w:rPr>
          <w:rStyle w:val="26"/>
          <w:rFonts w:hint="eastAsia" w:ascii="黑体" w:hAnsi="黑体" w:eastAsia="黑体"/>
        </w:rPr>
        <w:t>第七章</w:t>
      </w:r>
      <w:r>
        <w:rPr>
          <w:rStyle w:val="26"/>
          <w:rFonts w:ascii="黑体" w:hAnsi="黑体" w:eastAsia="黑体"/>
        </w:rPr>
        <w:t xml:space="preserve">  </w:t>
      </w:r>
      <w:r>
        <w:rPr>
          <w:rStyle w:val="26"/>
          <w:rFonts w:hint="eastAsia" w:ascii="黑体" w:hAnsi="黑体" w:eastAsia="黑体"/>
        </w:rPr>
        <w:t>技术标准和要求</w:t>
      </w:r>
      <w:r>
        <w:tab/>
      </w:r>
      <w:r>
        <w:fldChar w:fldCharType="begin"/>
      </w:r>
      <w:r>
        <w:instrText xml:space="preserve"> PAGEREF _Toc179632804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"_Toc179632805" </w:instrText>
      </w:r>
      <w:r>
        <w:fldChar w:fldCharType="separate"/>
      </w:r>
      <w:r>
        <w:rPr>
          <w:rStyle w:val="26"/>
          <w:rFonts w:hint="eastAsia" w:ascii="黑体" w:hAnsi="黑体" w:eastAsia="黑体"/>
        </w:rPr>
        <w:t>第四卷</w:t>
      </w:r>
      <w:r>
        <w:tab/>
      </w:r>
      <w:r>
        <w:fldChar w:fldCharType="begin"/>
      </w:r>
      <w:r>
        <w:instrText xml:space="preserve"> PAGEREF _Toc179632805 \h </w:instrText>
      </w:r>
      <w:r>
        <w:fldChar w:fldCharType="separate"/>
      </w:r>
      <w:r>
        <w:t>27</w:t>
      </w:r>
      <w:r>
        <w:fldChar w:fldCharType="end"/>
      </w:r>
      <w:r>
        <w:fldChar w:fldCharType="end"/>
      </w:r>
    </w:p>
    <w:p>
      <w:pPr>
        <w:pStyle w:val="16"/>
        <w:tabs>
          <w:tab w:val="right" w:leader="dot" w:pos="8296"/>
        </w:tabs>
      </w:pPr>
      <w:r>
        <w:fldChar w:fldCharType="begin"/>
      </w:r>
      <w:r>
        <w:instrText xml:space="preserve"> HYPERLINK \l "_Toc179632806" </w:instrText>
      </w:r>
      <w:r>
        <w:fldChar w:fldCharType="separate"/>
      </w:r>
      <w:r>
        <w:rPr>
          <w:rStyle w:val="26"/>
          <w:rFonts w:hint="eastAsia" w:ascii="黑体" w:hAnsi="黑体" w:eastAsia="黑体"/>
        </w:rPr>
        <w:t>第八章</w:t>
      </w:r>
      <w:r>
        <w:rPr>
          <w:rStyle w:val="26"/>
          <w:rFonts w:ascii="黑体" w:hAnsi="黑体" w:eastAsia="黑体"/>
        </w:rPr>
        <w:t xml:space="preserve">  </w:t>
      </w:r>
      <w:r>
        <w:rPr>
          <w:rStyle w:val="26"/>
          <w:rFonts w:hint="eastAsia" w:ascii="黑体" w:hAnsi="黑体" w:eastAsia="黑体"/>
        </w:rPr>
        <w:t>投标文件格式</w:t>
      </w:r>
      <w:r>
        <w:tab/>
      </w:r>
      <w:r>
        <w:fldChar w:fldCharType="begin"/>
      </w:r>
      <w:r>
        <w:instrText xml:space="preserve"> PAGEREF _Toc179632806 \h </w:instrText>
      </w:r>
      <w:r>
        <w:fldChar w:fldCharType="separate"/>
      </w:r>
      <w:r>
        <w:t>28</w:t>
      </w:r>
      <w:r>
        <w:fldChar w:fldCharType="end"/>
      </w:r>
      <w:r>
        <w:fldChar w:fldCharType="end"/>
      </w:r>
    </w:p>
    <w:p>
      <w:pPr>
        <w:pStyle w:val="18"/>
        <w:tabs>
          <w:tab w:val="right" w:leader="dot" w:pos="8296"/>
        </w:tabs>
        <w:rPr>
          <w:szCs w:val="21"/>
          <w:highlight w:val="yellow"/>
        </w:rPr>
      </w:pPr>
      <w:r>
        <w:fldChar w:fldCharType="end"/>
      </w:r>
      <w:bookmarkStart w:id="2" w:name="_Toc152045511"/>
      <w:bookmarkStart w:id="3" w:name="_Toc144974479"/>
      <w:bookmarkStart w:id="4" w:name="_Toc152042287"/>
    </w:p>
    <w:p>
      <w:pPr>
        <w:topLinePunct/>
        <w:spacing w:line="400" w:lineRule="exact"/>
        <w:ind w:firstLine="420" w:firstLineChars="200"/>
        <w:rPr>
          <w:szCs w:val="21"/>
        </w:rPr>
      </w:pPr>
    </w:p>
    <w:p>
      <w:pPr>
        <w:topLinePunct/>
        <w:spacing w:line="400" w:lineRule="exact"/>
        <w:rPr>
          <w:szCs w:val="21"/>
        </w:rPr>
      </w:pPr>
    </w:p>
    <w:p>
      <w:pPr>
        <w:pStyle w:val="2"/>
        <w:spacing w:before="120" w:after="120" w:line="400" w:lineRule="exact"/>
        <w:jc w:val="center"/>
        <w:rPr>
          <w:rFonts w:ascii="黑体" w:hAnsi="黑体" w:eastAsia="黑体"/>
          <w:b w:val="0"/>
          <w:bCs w:val="0"/>
          <w:sz w:val="52"/>
          <w:szCs w:val="52"/>
        </w:rPr>
      </w:pPr>
      <w:bookmarkStart w:id="5" w:name="_Toc179632526"/>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36"/>
          <w:szCs w:val="36"/>
        </w:rPr>
      </w:pPr>
      <w:r>
        <w:rPr>
          <w:rFonts w:hint="eastAsia" w:ascii="黑体" w:hAnsi="黑体" w:eastAsia="黑体"/>
          <w:b w:val="0"/>
          <w:bCs w:val="0"/>
          <w:sz w:val="36"/>
          <w:szCs w:val="36"/>
        </w:rPr>
        <w:t>第一卷</w:t>
      </w:r>
      <w:bookmarkEnd w:id="5"/>
      <w:bookmarkStart w:id="6" w:name="_Toc179632527"/>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Pr>
        <w:pStyle w:val="2"/>
        <w:spacing w:before="120" w:after="120" w:line="400" w:lineRule="exact"/>
        <w:jc w:val="center"/>
        <w:rPr>
          <w:rFonts w:ascii="黑体" w:hAnsi="黑体" w:eastAsia="黑体"/>
          <w:b w:val="0"/>
          <w:bCs w:val="0"/>
          <w:sz w:val="52"/>
          <w:szCs w:val="52"/>
        </w:rPr>
      </w:pPr>
    </w:p>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第一章 招标公告</w:t>
      </w:r>
      <w:bookmarkEnd w:id="2"/>
      <w:bookmarkEnd w:id="3"/>
      <w:bookmarkEnd w:id="4"/>
      <w:bookmarkEnd w:id="6"/>
    </w:p>
    <w:p>
      <w:pPr>
        <w:spacing w:line="440" w:lineRule="exact"/>
        <w:jc w:val="center"/>
        <w:rPr>
          <w:rFonts w:eastAsia="黑体"/>
          <w:sz w:val="28"/>
          <w:szCs w:val="28"/>
        </w:rPr>
      </w:pPr>
      <w:r>
        <w:rPr>
          <w:rFonts w:hint="eastAsia" w:eastAsia="黑体"/>
          <w:sz w:val="28"/>
          <w:szCs w:val="28"/>
        </w:rPr>
        <w:t>冀东海天水泥闻喜有限责任公司</w:t>
      </w:r>
      <w:r>
        <w:rPr>
          <w:rFonts w:hint="eastAsia" w:eastAsia="黑体"/>
          <w:sz w:val="28"/>
          <w:szCs w:val="28"/>
          <w:lang w:eastAsia="zh-CN"/>
        </w:rPr>
        <w:t>矿山卸料坑口沉降治理</w:t>
      </w:r>
      <w:r>
        <w:rPr>
          <w:rFonts w:hint="eastAsia" w:eastAsia="黑体"/>
          <w:sz w:val="28"/>
          <w:szCs w:val="28"/>
        </w:rPr>
        <w:t>招标公告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8"/>
      </w:pPr>
      <w:bookmarkStart w:id="7" w:name="_Toc152045512"/>
      <w:bookmarkStart w:id="8" w:name="_Toc144974480"/>
      <w:bookmarkStart w:id="9" w:name="_Toc179632528"/>
      <w:bookmarkStart w:id="10" w:name="_Toc152042288"/>
      <w:r>
        <w:t>1. 招标条件</w:t>
      </w:r>
      <w:bookmarkEnd w:id="7"/>
      <w:bookmarkEnd w:id="8"/>
      <w:bookmarkEnd w:id="9"/>
      <w:bookmarkEnd w:id="10"/>
    </w:p>
    <w:p>
      <w:pPr>
        <w:autoSpaceDE w:val="0"/>
        <w:autoSpaceDN w:val="0"/>
        <w:adjustRightInd w:val="0"/>
        <w:spacing w:line="420" w:lineRule="exact"/>
        <w:ind w:firstLine="210" w:firstLineChars="100"/>
        <w:jc w:val="left"/>
        <w:rPr>
          <w:rFonts w:ascii="宋体" w:hAnsi="宋体" w:eastAsia="宋体" w:cs="仿宋_GB2312"/>
          <w:kern w:val="0"/>
          <w:szCs w:val="21"/>
        </w:rPr>
      </w:pPr>
      <w:r>
        <w:rPr>
          <w:szCs w:val="21"/>
        </w:rPr>
        <w:t>　　</w:t>
      </w:r>
      <w:r>
        <w:rPr>
          <w:rFonts w:hint="eastAsia" w:ascii="宋体" w:hAnsi="宋体" w:cs="仿宋_GB2312"/>
          <w:kern w:val="0"/>
          <w:sz w:val="22"/>
          <w:szCs w:val="22"/>
        </w:rPr>
        <w:t>冀东海天水泥闻喜有限责任公司就</w:t>
      </w:r>
      <w:r>
        <w:rPr>
          <w:rFonts w:hint="eastAsia" w:ascii="宋体" w:hAnsi="宋体" w:cs="仿宋_GB2312"/>
          <w:kern w:val="0"/>
          <w:sz w:val="22"/>
          <w:szCs w:val="22"/>
          <w:lang w:eastAsia="zh-CN"/>
        </w:rPr>
        <w:t>矿山卸料坑口沉降治理</w:t>
      </w:r>
      <w:r>
        <w:rPr>
          <w:rFonts w:hint="eastAsia" w:ascii="宋体" w:hAnsi="宋体" w:cs="仿宋_GB2312"/>
          <w:kern w:val="0"/>
          <w:sz w:val="22"/>
          <w:szCs w:val="22"/>
        </w:rPr>
        <w:t>，通过招标方式</w:t>
      </w:r>
      <w:r>
        <w:rPr>
          <w:rFonts w:hint="eastAsia" w:ascii="宋体" w:hAnsi="宋体" w:cs="仿宋_GB2312"/>
          <w:kern w:val="0"/>
          <w:sz w:val="22"/>
          <w:szCs w:val="22"/>
          <w:lang w:val="en-US" w:eastAsia="zh-CN"/>
        </w:rPr>
        <w:t>选择</w:t>
      </w:r>
      <w:r>
        <w:rPr>
          <w:rFonts w:hint="eastAsia" w:ascii="宋体" w:hAnsi="宋体" w:cs="仿宋_GB2312"/>
          <w:kern w:val="0"/>
          <w:sz w:val="22"/>
          <w:szCs w:val="22"/>
        </w:rPr>
        <w:t>符合条件的承包商。</w:t>
      </w:r>
    </w:p>
    <w:p>
      <w:pPr>
        <w:pStyle w:val="28"/>
      </w:pPr>
      <w:bookmarkStart w:id="11" w:name="_Toc152045513"/>
      <w:bookmarkStart w:id="12" w:name="_Toc179632529"/>
      <w:bookmarkStart w:id="13" w:name="_Toc144974481"/>
      <w:bookmarkStart w:id="14" w:name="_Toc152042289"/>
      <w:r>
        <w:t>2. 项目概况</w:t>
      </w:r>
      <w:bookmarkEnd w:id="11"/>
      <w:bookmarkEnd w:id="12"/>
      <w:bookmarkEnd w:id="13"/>
      <w:bookmarkEnd w:id="14"/>
    </w:p>
    <w:p>
      <w:pPr>
        <w:autoSpaceDE w:val="0"/>
        <w:autoSpaceDN w:val="0"/>
        <w:adjustRightInd w:val="0"/>
        <w:spacing w:line="420" w:lineRule="exact"/>
        <w:jc w:val="left"/>
        <w:rPr>
          <w:rFonts w:ascii="宋体" w:hAnsi="宋体" w:cs="仿宋_GB2312"/>
          <w:kern w:val="0"/>
          <w:sz w:val="22"/>
          <w:szCs w:val="22"/>
        </w:rPr>
      </w:pPr>
      <w:r>
        <w:rPr>
          <w:rFonts w:hint="eastAsia" w:ascii="宋体" w:hAnsi="宋体" w:cs="仿宋_GB2312"/>
          <w:kern w:val="0"/>
          <w:sz w:val="22"/>
          <w:szCs w:val="22"/>
        </w:rPr>
        <w:t>2.1</w:t>
      </w:r>
      <w:r>
        <w:rPr>
          <w:rFonts w:hint="eastAsia" w:ascii="宋体" w:hAnsi="宋体" w:cs="仿宋_GB2312"/>
          <w:b/>
          <w:bCs/>
          <w:kern w:val="0"/>
          <w:sz w:val="22"/>
          <w:szCs w:val="22"/>
        </w:rPr>
        <w:t>建设地点</w:t>
      </w:r>
      <w:r>
        <w:rPr>
          <w:rFonts w:hint="eastAsia" w:ascii="宋体" w:hAnsi="宋体" w:cs="仿宋_GB2312"/>
          <w:kern w:val="0"/>
          <w:sz w:val="22"/>
          <w:szCs w:val="22"/>
        </w:rPr>
        <w:t>：冀东海天水泥闻喜有限责任公司厂区内；</w:t>
      </w:r>
    </w:p>
    <w:p>
      <w:pPr>
        <w:autoSpaceDE w:val="0"/>
        <w:autoSpaceDN w:val="0"/>
        <w:adjustRightInd w:val="0"/>
        <w:spacing w:line="420" w:lineRule="exact"/>
        <w:jc w:val="left"/>
        <w:rPr>
          <w:rFonts w:ascii="宋体" w:hAnsi="宋体" w:cs="仿宋_GB2312"/>
          <w:b/>
          <w:bCs/>
          <w:kern w:val="0"/>
          <w:sz w:val="22"/>
          <w:szCs w:val="22"/>
        </w:rPr>
      </w:pPr>
      <w:r>
        <w:rPr>
          <w:rFonts w:hint="eastAsia" w:ascii="宋体" w:hAnsi="宋体" w:cs="仿宋_GB2312"/>
          <w:kern w:val="0"/>
          <w:sz w:val="22"/>
          <w:szCs w:val="22"/>
        </w:rPr>
        <w:t>2.2</w:t>
      </w:r>
      <w:r>
        <w:rPr>
          <w:rFonts w:hint="eastAsia" w:ascii="宋体" w:hAnsi="宋体" w:cs="仿宋_GB2312"/>
          <w:b/>
          <w:bCs/>
          <w:kern w:val="0"/>
          <w:sz w:val="22"/>
          <w:szCs w:val="22"/>
        </w:rPr>
        <w:t>招标范围</w:t>
      </w:r>
      <w:r>
        <w:rPr>
          <w:rFonts w:hint="eastAsia" w:ascii="宋体" w:hAnsi="宋体" w:cs="仿宋_GB2312"/>
          <w:kern w:val="0"/>
          <w:sz w:val="22"/>
          <w:szCs w:val="22"/>
        </w:rPr>
        <w:t>：工程量清单包含的全部内容。</w:t>
      </w:r>
    </w:p>
    <w:p>
      <w:pPr>
        <w:autoSpaceDE w:val="0"/>
        <w:autoSpaceDN w:val="0"/>
        <w:adjustRightInd w:val="0"/>
        <w:spacing w:line="420" w:lineRule="exact"/>
        <w:rPr>
          <w:rFonts w:ascii="宋体" w:hAnsi="宋体" w:cs="仿宋_GB2312"/>
          <w:kern w:val="0"/>
          <w:sz w:val="22"/>
          <w:szCs w:val="22"/>
        </w:rPr>
      </w:pPr>
      <w:r>
        <w:rPr>
          <w:rFonts w:hint="eastAsia" w:ascii="宋体" w:hAnsi="宋体" w:cs="仿宋_GB2312"/>
          <w:kern w:val="0"/>
          <w:sz w:val="22"/>
          <w:szCs w:val="22"/>
        </w:rPr>
        <w:t>2.3</w:t>
      </w:r>
      <w:r>
        <w:rPr>
          <w:rFonts w:hint="eastAsia" w:ascii="宋体" w:hAnsi="宋体" w:cs="仿宋_GB2312"/>
          <w:b/>
          <w:bCs/>
          <w:kern w:val="0"/>
          <w:sz w:val="22"/>
          <w:szCs w:val="22"/>
        </w:rPr>
        <w:t>标段划分及计划工期</w:t>
      </w:r>
      <w:r>
        <w:rPr>
          <w:rFonts w:hint="eastAsia" w:ascii="宋体" w:hAnsi="宋体" w:cs="仿宋_GB2312"/>
          <w:kern w:val="0"/>
          <w:sz w:val="22"/>
          <w:szCs w:val="22"/>
        </w:rPr>
        <w:t>：1个标段，工期</w:t>
      </w:r>
      <w:r>
        <w:rPr>
          <w:rFonts w:hint="eastAsia" w:ascii="宋体" w:hAnsi="宋体" w:cs="仿宋_GB2312"/>
          <w:kern w:val="0"/>
          <w:sz w:val="22"/>
          <w:szCs w:val="22"/>
          <w:lang w:val="en-US" w:eastAsia="zh-CN"/>
        </w:rPr>
        <w:t>30</w:t>
      </w:r>
      <w:r>
        <w:rPr>
          <w:rFonts w:hint="eastAsia" w:ascii="宋体" w:hAnsi="宋体" w:cs="仿宋_GB2312"/>
          <w:kern w:val="0"/>
          <w:sz w:val="22"/>
          <w:szCs w:val="22"/>
        </w:rPr>
        <w:t>天。</w:t>
      </w:r>
    </w:p>
    <w:p>
      <w:pPr>
        <w:autoSpaceDE w:val="0"/>
        <w:autoSpaceDN w:val="0"/>
        <w:adjustRightInd w:val="0"/>
        <w:spacing w:line="420" w:lineRule="exact"/>
        <w:rPr>
          <w:rFonts w:ascii="宋体" w:hAnsi="宋体" w:cs="仿宋_GB2312"/>
          <w:color w:val="000000" w:themeColor="text1"/>
          <w:kern w:val="0"/>
          <w:sz w:val="22"/>
          <w:szCs w:val="22"/>
          <w:highlight w:val="yellow"/>
        </w:rPr>
      </w:pPr>
      <w:r>
        <w:rPr>
          <w:rFonts w:hint="eastAsia" w:ascii="宋体" w:hAnsi="宋体" w:cs="仿宋_GB2312"/>
          <w:color w:val="000000" w:themeColor="text1"/>
          <w:kern w:val="0"/>
          <w:sz w:val="22"/>
          <w:szCs w:val="22"/>
          <w:highlight w:val="yellow"/>
        </w:rPr>
        <w:t>2.4</w:t>
      </w:r>
      <w:r>
        <w:rPr>
          <w:rFonts w:hint="eastAsia" w:ascii="宋体" w:hAnsi="宋体" w:cs="仿宋_GB2312"/>
          <w:b/>
          <w:bCs/>
          <w:color w:val="000000" w:themeColor="text1"/>
          <w:kern w:val="0"/>
          <w:sz w:val="22"/>
          <w:szCs w:val="22"/>
          <w:highlight w:val="yellow"/>
        </w:rPr>
        <w:t>最高限价</w:t>
      </w:r>
      <w:r>
        <w:rPr>
          <w:rFonts w:hint="eastAsia" w:ascii="宋体" w:hAnsi="宋体" w:cs="仿宋_GB2312"/>
          <w:color w:val="000000" w:themeColor="text1"/>
          <w:kern w:val="0"/>
          <w:sz w:val="22"/>
          <w:szCs w:val="22"/>
          <w:highlight w:val="yellow"/>
        </w:rPr>
        <w:t>：</w:t>
      </w:r>
      <w:r>
        <w:rPr>
          <w:rFonts w:hint="eastAsia" w:ascii="宋体" w:hAnsi="宋体" w:cs="仿宋_GB2312"/>
          <w:color w:val="000000" w:themeColor="text1"/>
          <w:kern w:val="0"/>
          <w:sz w:val="22"/>
          <w:szCs w:val="22"/>
          <w:highlight w:val="yellow"/>
          <w:lang w:val="en-US" w:eastAsia="zh-CN"/>
        </w:rPr>
        <w:t>18</w:t>
      </w:r>
      <w:r>
        <w:rPr>
          <w:rFonts w:hint="eastAsia" w:ascii="宋体" w:hAnsi="宋体" w:cs="仿宋_GB2312"/>
          <w:color w:val="000000" w:themeColor="text1"/>
          <w:kern w:val="0"/>
          <w:sz w:val="22"/>
          <w:szCs w:val="22"/>
          <w:highlight w:val="yellow"/>
        </w:rPr>
        <w:t>万元。</w:t>
      </w:r>
      <w:bookmarkStart w:id="15" w:name="_Toc144974482"/>
      <w:bookmarkStart w:id="16" w:name="_Toc152042290"/>
      <w:bookmarkStart w:id="17" w:name="_Toc152045514"/>
      <w:bookmarkStart w:id="18" w:name="_Toc179632530"/>
    </w:p>
    <w:bookmarkEnd w:id="15"/>
    <w:bookmarkEnd w:id="16"/>
    <w:bookmarkEnd w:id="17"/>
    <w:bookmarkEnd w:id="18"/>
    <w:p>
      <w:pPr>
        <w:autoSpaceDE w:val="0"/>
        <w:autoSpaceDN w:val="0"/>
        <w:adjustRightInd w:val="0"/>
        <w:spacing w:line="420" w:lineRule="exact"/>
      </w:pPr>
      <w:bookmarkStart w:id="19" w:name="_Toc152045515"/>
      <w:bookmarkStart w:id="20" w:name="_Toc152042291"/>
      <w:bookmarkStart w:id="21" w:name="_Toc144974483"/>
      <w:bookmarkStart w:id="22" w:name="_Toc179632531"/>
      <w:r>
        <w:t>3. 投标人资格要求</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 xml:space="preserve">3.1 </w:t>
      </w:r>
      <w:r>
        <w:rPr>
          <w:rFonts w:ascii="Arial" w:hAnsi="宋体" w:cs="Arial"/>
          <w:kern w:val="0"/>
          <w:sz w:val="22"/>
          <w:szCs w:val="22"/>
        </w:rPr>
        <w:t>投标人应具有中华人民共和国独立法人资格</w:t>
      </w:r>
      <w:r>
        <w:rPr>
          <w:rFonts w:hint="eastAsia" w:ascii="Arial" w:hAnsi="宋体" w:cs="Arial"/>
          <w:kern w:val="0"/>
          <w:sz w:val="22"/>
          <w:szCs w:val="22"/>
          <w:lang w:eastAsia="zh-CN"/>
        </w:rPr>
        <w:t>；</w:t>
      </w:r>
    </w:p>
    <w:p>
      <w:pPr>
        <w:autoSpaceDE w:val="0"/>
        <w:autoSpaceDN w:val="0"/>
        <w:adjustRightInd w:val="0"/>
        <w:spacing w:line="420" w:lineRule="exact"/>
        <w:jc w:val="left"/>
        <w:rPr>
          <w:rFonts w:hint="eastAsia" w:ascii="宋体" w:hAnsi="宋体" w:cs="仿宋_GB2312" w:eastAsiaTheme="minorEastAsia"/>
          <w:kern w:val="0"/>
          <w:sz w:val="22"/>
          <w:szCs w:val="22"/>
          <w:lang w:eastAsia="zh-CN"/>
        </w:rPr>
      </w:pPr>
      <w:r>
        <w:rPr>
          <w:rFonts w:hint="eastAsia" w:ascii="宋体" w:hAnsi="宋体" w:cs="仿宋_GB2312"/>
          <w:kern w:val="0"/>
          <w:sz w:val="22"/>
          <w:szCs w:val="22"/>
        </w:rPr>
        <w:t>3.2 投标人须具备行业行政主管部门核发的地基与基础工程专业承包</w:t>
      </w:r>
      <w:r>
        <w:rPr>
          <w:rFonts w:hint="eastAsia" w:ascii="宋体" w:hAnsi="宋体" w:cs="仿宋_GB2312"/>
          <w:kern w:val="0"/>
          <w:sz w:val="22"/>
          <w:szCs w:val="22"/>
          <w:lang w:val="en-US" w:eastAsia="zh-CN"/>
        </w:rPr>
        <w:t>三</w:t>
      </w:r>
      <w:r>
        <w:rPr>
          <w:rFonts w:hint="eastAsia" w:ascii="宋体" w:hAnsi="宋体" w:cs="仿宋_GB2312"/>
          <w:kern w:val="0"/>
          <w:sz w:val="22"/>
          <w:szCs w:val="22"/>
        </w:rPr>
        <w:t>级</w:t>
      </w:r>
      <w:r>
        <w:rPr>
          <w:rFonts w:hint="eastAsia" w:ascii="宋体" w:hAnsi="宋体" w:cs="仿宋_GB2312"/>
          <w:kern w:val="0"/>
          <w:sz w:val="22"/>
          <w:szCs w:val="22"/>
          <w:lang w:val="en-US" w:eastAsia="zh-CN"/>
        </w:rPr>
        <w:t>或</w:t>
      </w:r>
      <w:r>
        <w:rPr>
          <w:rFonts w:hint="eastAsia" w:ascii="宋体" w:hAnsi="宋体" w:eastAsia="宋体" w:cs="宋体"/>
        </w:rPr>
        <w:t>建筑工程施工总承包三级及以上资质</w:t>
      </w:r>
      <w:r>
        <w:rPr>
          <w:rFonts w:hint="eastAsia" w:ascii="宋体" w:hAnsi="宋体" w:cs="仿宋_GB2312"/>
          <w:kern w:val="0"/>
          <w:sz w:val="22"/>
          <w:szCs w:val="22"/>
          <w:lang w:eastAsia="zh-CN"/>
        </w:rPr>
        <w:t>；</w:t>
      </w:r>
    </w:p>
    <w:p>
      <w:pPr>
        <w:autoSpaceDE w:val="0"/>
        <w:autoSpaceDN w:val="0"/>
        <w:adjustRightInd w:val="0"/>
        <w:spacing w:line="420" w:lineRule="exact"/>
        <w:jc w:val="left"/>
        <w:rPr>
          <w:rFonts w:ascii="Arial" w:hAnsi="宋体" w:cs="Arial"/>
          <w:kern w:val="0"/>
          <w:sz w:val="22"/>
          <w:szCs w:val="22"/>
        </w:rPr>
      </w:pPr>
      <w:r>
        <w:rPr>
          <w:rFonts w:hint="eastAsia" w:ascii="宋体" w:hAnsi="宋体" w:cs="仿宋_GB2312"/>
          <w:kern w:val="0"/>
          <w:sz w:val="22"/>
          <w:szCs w:val="22"/>
        </w:rPr>
        <w:t xml:space="preserve">3.3 </w:t>
      </w:r>
      <w:r>
        <w:rPr>
          <w:rFonts w:hint="eastAsia" w:ascii="Arial" w:hAnsi="宋体" w:cs="Arial"/>
          <w:kern w:val="0"/>
          <w:sz w:val="22"/>
          <w:szCs w:val="22"/>
        </w:rPr>
        <w:t>具有有效的安全生产许可证；</w:t>
      </w:r>
    </w:p>
    <w:p>
      <w:pPr>
        <w:autoSpaceDE w:val="0"/>
        <w:autoSpaceDN w:val="0"/>
        <w:adjustRightInd w:val="0"/>
        <w:spacing w:line="420" w:lineRule="exact"/>
        <w:jc w:val="left"/>
        <w:rPr>
          <w:rFonts w:hint="eastAsia" w:ascii="宋体" w:hAnsi="宋体" w:eastAsia="宋体" w:cs="仿宋_GB2312"/>
          <w:kern w:val="0"/>
          <w:sz w:val="22"/>
          <w:szCs w:val="22"/>
          <w:lang w:eastAsia="zh-CN"/>
        </w:rPr>
      </w:pPr>
      <w:r>
        <w:rPr>
          <w:rFonts w:hint="eastAsia" w:ascii="宋体" w:hAnsi="宋体" w:cs="仿宋_GB2312"/>
          <w:kern w:val="0"/>
          <w:sz w:val="22"/>
          <w:szCs w:val="22"/>
        </w:rPr>
        <w:t xml:space="preserve">3.4 </w:t>
      </w:r>
      <w:r>
        <w:rPr>
          <w:rFonts w:hint="eastAsia" w:ascii="Times New Roman" w:eastAsia="Times New Roman"/>
        </w:rPr>
        <w:t>拟派项目经理须具备</w:t>
      </w:r>
      <w:r>
        <w:rPr>
          <w:rFonts w:hint="eastAsia" w:ascii="Times New Roman" w:eastAsia="宋体"/>
        </w:rPr>
        <w:t>相关专业二</w:t>
      </w:r>
      <w:r>
        <w:rPr>
          <w:rFonts w:hint="eastAsia" w:ascii="Times New Roman" w:eastAsia="Times New Roman"/>
        </w:rPr>
        <w:t>级</w:t>
      </w:r>
      <w:r>
        <w:rPr>
          <w:rFonts w:hint="eastAsia" w:ascii="Times New Roman" w:eastAsia="宋体"/>
        </w:rPr>
        <w:t>及以上</w:t>
      </w:r>
      <w:r>
        <w:rPr>
          <w:rFonts w:hint="eastAsia" w:ascii="Times New Roman" w:eastAsia="Times New Roman"/>
        </w:rPr>
        <w:t>注册建造师资质，且具备有效的安全生产考核合格证书（B证）</w:t>
      </w:r>
      <w:r>
        <w:rPr>
          <w:rFonts w:hint="eastAsia" w:ascii="Times New Roman" w:eastAsia="宋体"/>
          <w:lang w:eastAsia="zh-CN"/>
        </w:rPr>
        <w:t>；</w:t>
      </w:r>
    </w:p>
    <w:p>
      <w:pPr>
        <w:pStyle w:val="28"/>
        <w:rPr>
          <w:rFonts w:hint="eastAsia" w:ascii="宋体" w:hAnsi="宋体" w:cs="仿宋_GB2312"/>
          <w:kern w:val="0"/>
          <w:sz w:val="22"/>
          <w:szCs w:val="22"/>
          <w:lang w:eastAsia="zh-CN"/>
        </w:rPr>
      </w:pPr>
      <w:r>
        <w:rPr>
          <w:rFonts w:hint="eastAsia" w:ascii="宋体" w:hAnsi="宋体" w:cs="仿宋_GB2312"/>
          <w:kern w:val="0"/>
          <w:sz w:val="22"/>
          <w:szCs w:val="22"/>
        </w:rPr>
        <w:t>3.5 本项目不接受联合体投标</w:t>
      </w:r>
      <w:r>
        <w:rPr>
          <w:rFonts w:hint="eastAsia" w:ascii="宋体" w:hAnsi="宋体" w:cs="仿宋_GB2312"/>
          <w:kern w:val="0"/>
          <w:sz w:val="22"/>
          <w:szCs w:val="22"/>
          <w:lang w:eastAsia="zh-CN"/>
        </w:rPr>
        <w:t>；</w:t>
      </w:r>
    </w:p>
    <w:p>
      <w:pPr>
        <w:pStyle w:val="28"/>
      </w:pPr>
      <w:r>
        <w:t>4. 招标文件的获取</w:t>
      </w:r>
      <w:bookmarkEnd w:id="19"/>
      <w:bookmarkEnd w:id="20"/>
      <w:bookmarkEnd w:id="21"/>
      <w:bookmarkEnd w:id="22"/>
    </w:p>
    <w:p>
      <w:pPr>
        <w:tabs>
          <w:tab w:val="left" w:pos="360"/>
        </w:tabs>
        <w:spacing w:line="400" w:lineRule="exact"/>
        <w:rPr>
          <w:rFonts w:hint="default" w:eastAsiaTheme="minorEastAsia"/>
          <w:szCs w:val="21"/>
          <w:lang w:val="en-US" w:eastAsia="zh-CN"/>
        </w:rPr>
      </w:pPr>
      <w:r>
        <w:rPr>
          <w:szCs w:val="21"/>
        </w:rPr>
        <w:t>4.1</w:t>
      </w:r>
      <w:r>
        <w:rPr>
          <w:rFonts w:hint="eastAsia"/>
          <w:szCs w:val="21"/>
        </w:rPr>
        <w:t xml:space="preserve"> </w:t>
      </w:r>
      <w:r>
        <w:rPr>
          <w:rFonts w:hint="eastAsia"/>
          <w:szCs w:val="21"/>
          <w:lang w:val="en-US" w:eastAsia="zh-CN"/>
        </w:rPr>
        <w:t>详见金隅冀东阳光采购平台</w:t>
      </w:r>
    </w:p>
    <w:p>
      <w:pPr>
        <w:pStyle w:val="28"/>
      </w:pPr>
      <w:bookmarkStart w:id="23" w:name="_Toc152045516"/>
      <w:bookmarkStart w:id="24" w:name="_Toc144974484"/>
      <w:bookmarkStart w:id="25" w:name="_Toc152042292"/>
      <w:bookmarkStart w:id="26" w:name="_Toc179632532"/>
      <w:r>
        <w:t>5. 投标文件的递交</w:t>
      </w:r>
      <w:bookmarkEnd w:id="23"/>
      <w:bookmarkEnd w:id="24"/>
      <w:bookmarkEnd w:id="25"/>
      <w:bookmarkEnd w:id="26"/>
    </w:p>
    <w:p>
      <w:pPr>
        <w:tabs>
          <w:tab w:val="left" w:pos="360"/>
        </w:tabs>
        <w:spacing w:line="400" w:lineRule="exact"/>
        <w:rPr>
          <w:rFonts w:hint="default" w:eastAsiaTheme="minorEastAsia"/>
          <w:szCs w:val="21"/>
          <w:lang w:val="en-US" w:eastAsia="zh-CN"/>
        </w:rPr>
      </w:pPr>
      <w:r>
        <w:rPr>
          <w:szCs w:val="21"/>
        </w:rPr>
        <w:t>5.1</w:t>
      </w:r>
      <w:r>
        <w:rPr>
          <w:rFonts w:hint="eastAsia"/>
          <w:szCs w:val="21"/>
        </w:rPr>
        <w:t xml:space="preserve"> </w:t>
      </w:r>
      <w:r>
        <w:rPr>
          <w:rFonts w:hint="eastAsia"/>
          <w:szCs w:val="21"/>
          <w:lang w:val="en-US" w:eastAsia="zh-CN"/>
        </w:rPr>
        <w:t>详见金隅冀东阳光采购平台</w:t>
      </w:r>
    </w:p>
    <w:p>
      <w:pPr>
        <w:spacing w:line="400" w:lineRule="exact"/>
        <w:rPr>
          <w:szCs w:val="21"/>
          <w:u w:val="single"/>
        </w:rPr>
      </w:pPr>
    </w:p>
    <w:p>
      <w:pPr>
        <w:rPr>
          <w:rFonts w:ascii="黑体" w:hAnsi="黑体" w:eastAsia="黑体"/>
          <w:sz w:val="32"/>
        </w:rPr>
      </w:pPr>
      <w:bookmarkStart w:id="27" w:name="_Toc152042303"/>
      <w:bookmarkStart w:id="28" w:name="_Toc144974495"/>
      <w:bookmarkStart w:id="29" w:name="_Toc179632544"/>
      <w:bookmarkStart w:id="30" w:name="_Toc152045527"/>
    </w:p>
    <w:p>
      <w:pPr>
        <w:pStyle w:val="20"/>
        <w:rPr>
          <w:rFonts w:ascii="黑体" w:hAnsi="黑体" w:eastAsia="黑体"/>
          <w:sz w:val="32"/>
        </w:rPr>
      </w:pPr>
    </w:p>
    <w:p>
      <w:pPr>
        <w:pStyle w:val="20"/>
        <w:rPr>
          <w:rFonts w:ascii="黑体" w:hAnsi="黑体" w:eastAsia="黑体"/>
          <w:sz w:val="32"/>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第二章 投标人须知</w:t>
      </w:r>
      <w:bookmarkEnd w:id="27"/>
      <w:bookmarkEnd w:id="28"/>
      <w:bookmarkEnd w:id="29"/>
      <w:bookmarkEnd w:id="30"/>
    </w:p>
    <w:p>
      <w:pPr>
        <w:spacing w:line="400" w:lineRule="exact"/>
      </w:pPr>
    </w:p>
    <w:p>
      <w:pPr>
        <w:pStyle w:val="28"/>
      </w:pPr>
      <w:bookmarkStart w:id="31" w:name="_Toc144974496"/>
      <w:bookmarkStart w:id="32" w:name="_Toc152042304"/>
      <w:bookmarkStart w:id="33" w:name="_Toc179632545"/>
      <w:bookmarkStart w:id="34" w:name="_Toc152045528"/>
      <w:r>
        <w:rPr>
          <w:rFonts w:hint="eastAsia"/>
        </w:rPr>
        <w:t>投标人须知前附表</w:t>
      </w:r>
      <w:bookmarkEnd w:id="31"/>
      <w:bookmarkEnd w:id="32"/>
      <w:bookmarkEnd w:id="33"/>
      <w:bookmarkEnd w:id="34"/>
    </w:p>
    <w:tbl>
      <w:tblPr>
        <w:tblStyle w:val="22"/>
        <w:tblW w:w="9280" w:type="dxa"/>
        <w:tblInd w:w="0" w:type="dxa"/>
        <w:tblLayout w:type="fixed"/>
        <w:tblCellMar>
          <w:top w:w="0" w:type="dxa"/>
          <w:left w:w="108" w:type="dxa"/>
          <w:bottom w:w="0" w:type="dxa"/>
          <w:right w:w="108" w:type="dxa"/>
        </w:tblCellMar>
      </w:tblPr>
      <w:tblGrid>
        <w:gridCol w:w="675"/>
        <w:gridCol w:w="2685"/>
        <w:gridCol w:w="5920"/>
      </w:tblGrid>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b/>
                <w:szCs w:val="21"/>
              </w:rPr>
            </w:pPr>
            <w:r>
              <w:rPr>
                <w:rFonts w:hint="eastAsia"/>
              </w:rPr>
              <w:t>条款号</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  款  名  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  列  内  容</w:t>
            </w:r>
          </w:p>
        </w:tc>
      </w:tr>
      <w:tr>
        <w:tblPrEx>
          <w:tblCellMar>
            <w:top w:w="0" w:type="dxa"/>
            <w:left w:w="108" w:type="dxa"/>
            <w:bottom w:w="0" w:type="dxa"/>
            <w:right w:w="108" w:type="dxa"/>
          </w:tblCellMar>
        </w:tblPrEx>
        <w:trPr>
          <w:trHeight w:val="602"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名称：</w:t>
            </w:r>
            <w:r>
              <w:rPr>
                <w:rFonts w:hint="eastAsia"/>
                <w:szCs w:val="21"/>
              </w:rPr>
              <w:t>冀东海天水泥闻喜有限责任公司</w:t>
            </w:r>
          </w:p>
        </w:tc>
      </w:tr>
      <w:tr>
        <w:tblPrEx>
          <w:tblCellMar>
            <w:top w:w="0" w:type="dxa"/>
            <w:left w:w="108" w:type="dxa"/>
            <w:bottom w:w="0" w:type="dxa"/>
            <w:right w:w="108" w:type="dxa"/>
          </w:tblCellMar>
        </w:tblPrEx>
        <w:trPr>
          <w:trHeight w:val="2303"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招标人信息</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名称：冀东海天水泥闻喜有限责任公司</w:t>
            </w:r>
          </w:p>
          <w:p>
            <w:pPr>
              <w:adjustRightInd w:val="0"/>
              <w:spacing w:line="440" w:lineRule="exact"/>
              <w:textAlignment w:val="baseline"/>
              <w:rPr>
                <w:szCs w:val="21"/>
              </w:rPr>
            </w:pPr>
            <w:r>
              <w:rPr>
                <w:rFonts w:hint="eastAsia"/>
                <w:szCs w:val="21"/>
              </w:rPr>
              <w:t>地址：山西省运城市闻喜县东镇西阳村村西</w:t>
            </w:r>
          </w:p>
          <w:p>
            <w:pPr>
              <w:adjustRightInd w:val="0"/>
              <w:spacing w:line="440" w:lineRule="exact"/>
              <w:textAlignment w:val="baseline"/>
              <w:rPr>
                <w:szCs w:val="21"/>
              </w:rPr>
            </w:pPr>
            <w:r>
              <w:rPr>
                <w:rFonts w:hint="eastAsia"/>
                <w:szCs w:val="21"/>
              </w:rPr>
              <w:t>技术部分：张艳</w:t>
            </w:r>
            <w:r>
              <w:rPr>
                <w:szCs w:val="21"/>
              </w:rPr>
              <w:t>18636306880</w:t>
            </w:r>
          </w:p>
          <w:p>
            <w:pPr>
              <w:adjustRightInd w:val="0"/>
              <w:spacing w:line="440" w:lineRule="exact"/>
              <w:textAlignment w:val="baseline"/>
              <w:rPr>
                <w:szCs w:val="21"/>
              </w:rPr>
            </w:pPr>
            <w:r>
              <w:rPr>
                <w:rFonts w:hint="eastAsia"/>
                <w:szCs w:val="21"/>
              </w:rPr>
              <w:t>商务部分：乔琳宏1</w:t>
            </w:r>
            <w:r>
              <w:rPr>
                <w:szCs w:val="21"/>
              </w:rPr>
              <w:t>3466922302</w:t>
            </w:r>
          </w:p>
          <w:p>
            <w:pPr>
              <w:adjustRightInd w:val="0"/>
              <w:spacing w:line="440" w:lineRule="exact"/>
              <w:textAlignment w:val="baseline"/>
              <w:rPr>
                <w:szCs w:val="21"/>
              </w:rPr>
            </w:pPr>
            <w:r>
              <w:rPr>
                <w:rFonts w:hint="eastAsia"/>
                <w:szCs w:val="21"/>
              </w:rPr>
              <w:t>电子邮件：</w:t>
            </w:r>
            <w:r>
              <w:rPr>
                <w:szCs w:val="21"/>
              </w:rPr>
              <w:t>418554644</w:t>
            </w:r>
            <w:r>
              <w:rPr>
                <w:rFonts w:hint="eastAsia"/>
                <w:szCs w:val="21"/>
              </w:rPr>
              <w:t>@qq.com</w:t>
            </w:r>
          </w:p>
        </w:tc>
      </w:tr>
      <w:tr>
        <w:tblPrEx>
          <w:tblCellMar>
            <w:top w:w="0" w:type="dxa"/>
            <w:left w:w="108" w:type="dxa"/>
            <w:bottom w:w="0" w:type="dxa"/>
            <w:right w:w="108" w:type="dxa"/>
          </w:tblCellMar>
        </w:tblPrEx>
        <w:trPr>
          <w:trHeight w:val="44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项目名称</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eastAsiaTheme="minorEastAsia"/>
                <w:szCs w:val="21"/>
                <w:lang w:eastAsia="zh-CN"/>
              </w:rPr>
            </w:pPr>
            <w:r>
              <w:rPr>
                <w:rFonts w:hint="eastAsia"/>
                <w:szCs w:val="21"/>
                <w:lang w:eastAsia="zh-CN"/>
              </w:rPr>
              <w:t>矿山卸料坑口沉降治理</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1.1.4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建设地点</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山西运城闻喜县冀东海天水泥闻喜有限责任公司厂区</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资金来源</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企业自筹</w:t>
            </w:r>
          </w:p>
        </w:tc>
      </w:tr>
      <w:tr>
        <w:tblPrEx>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出资比例</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100%</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1.2.3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资金</w:t>
            </w:r>
            <w:r>
              <w:rPr>
                <w:szCs w:val="21"/>
              </w:rPr>
              <w:t>落实情况</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已落实</w:t>
            </w:r>
          </w:p>
        </w:tc>
      </w:tr>
      <w:tr>
        <w:tblPrEx>
          <w:tblCellMar>
            <w:top w:w="0" w:type="dxa"/>
            <w:left w:w="108" w:type="dxa"/>
            <w:bottom w:w="0" w:type="dxa"/>
            <w:right w:w="108" w:type="dxa"/>
          </w:tblCellMar>
        </w:tblPrEx>
        <w:trPr>
          <w:trHeight w:val="229"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招标范围</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rPr>
              <w:t>工程量清单包含的全部内容详见工程量清单</w:t>
            </w:r>
          </w:p>
        </w:tc>
      </w:tr>
      <w:tr>
        <w:tblPrEx>
          <w:tblCellMar>
            <w:top w:w="0" w:type="dxa"/>
            <w:left w:w="108" w:type="dxa"/>
            <w:bottom w:w="0" w:type="dxa"/>
            <w:right w:w="108" w:type="dxa"/>
          </w:tblCellMar>
        </w:tblPrEx>
        <w:trPr>
          <w:trHeight w:val="367"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计划工期</w:t>
            </w:r>
          </w:p>
        </w:tc>
        <w:tc>
          <w:tcPr>
            <w:tcW w:w="5920"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szCs w:val="21"/>
              </w:rPr>
            </w:pPr>
            <w:r>
              <w:rPr>
                <w:rFonts w:hint="eastAsia"/>
                <w:szCs w:val="21"/>
                <w:lang w:val="en-US" w:eastAsia="zh-CN"/>
              </w:rPr>
              <w:t>20</w:t>
            </w:r>
            <w:r>
              <w:rPr>
                <w:rFonts w:hint="eastAsia"/>
                <w:szCs w:val="21"/>
              </w:rPr>
              <w:t>天</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质量标准：合格</w:t>
            </w:r>
          </w:p>
        </w:tc>
      </w:tr>
      <w:tr>
        <w:tblPrEx>
          <w:tblCellMar>
            <w:top w:w="0" w:type="dxa"/>
            <w:left w:w="108" w:type="dxa"/>
            <w:bottom w:w="0" w:type="dxa"/>
            <w:right w:w="108" w:type="dxa"/>
          </w:tblCellMar>
        </w:tblPrEx>
        <w:trPr>
          <w:trHeight w:val="147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投标人资质条件、能力和信誉</w:t>
            </w:r>
          </w:p>
        </w:tc>
        <w:tc>
          <w:tcPr>
            <w:tcW w:w="5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Times New Roman" w:eastAsia="Times New Roman"/>
              </w:rPr>
            </w:pPr>
            <w:r>
              <w:rPr>
                <w:rFonts w:hint="eastAsia" w:ascii="宋体" w:hAnsi="宋体" w:cs="仿宋_GB2312"/>
                <w:kern w:val="0"/>
                <w:sz w:val="22"/>
                <w:szCs w:val="22"/>
              </w:rPr>
              <w:t>3</w:t>
            </w:r>
            <w:r>
              <w:rPr>
                <w:rFonts w:hint="eastAsia" w:ascii="Times New Roman" w:eastAsia="Times New Roman"/>
              </w:rPr>
              <w:t xml:space="preserve">.1 </w:t>
            </w:r>
            <w:r>
              <w:rPr>
                <w:rFonts w:hint="eastAsia" w:ascii="宋体" w:hAnsi="宋体" w:eastAsia="宋体" w:cs="宋体"/>
              </w:rPr>
              <w:t>投标人应具有中华人民共和国独立法人资格。</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3.2 </w:t>
            </w:r>
            <w:r>
              <w:rPr>
                <w:rFonts w:hint="eastAsia" w:ascii="宋体" w:hAnsi="宋体" w:eastAsia="宋体" w:cs="宋体"/>
              </w:rPr>
              <w:t>投标人须具备行业行政主管部门核发的</w:t>
            </w:r>
            <w:r>
              <w:rPr>
                <w:rFonts w:hint="eastAsia" w:ascii="Times New Roman" w:eastAsia="Times New Roman"/>
              </w:rPr>
              <w:t xml:space="preserve"> </w:t>
            </w:r>
          </w:p>
          <w:p>
            <w:pPr>
              <w:autoSpaceDE w:val="0"/>
              <w:autoSpaceDN w:val="0"/>
              <w:adjustRightInd w:val="0"/>
              <w:spacing w:line="420" w:lineRule="exact"/>
              <w:jc w:val="left"/>
              <w:rPr>
                <w:rFonts w:ascii="Times New Roman" w:eastAsia="Times New Roman"/>
              </w:rPr>
            </w:pPr>
            <w:r>
              <w:rPr>
                <w:rFonts w:hint="eastAsia" w:ascii="Times New Roman" w:eastAsia="Times New Roman"/>
              </w:rPr>
              <w:t>1</w:t>
            </w:r>
            <w:r>
              <w:rPr>
                <w:rFonts w:hint="eastAsia" w:ascii="宋体" w:hAnsi="宋体" w:eastAsia="宋体" w:cs="宋体"/>
              </w:rPr>
              <w:t>）</w:t>
            </w:r>
            <w:r>
              <w:rPr>
                <w:rFonts w:hint="eastAsia" w:ascii="宋体" w:hAnsi="宋体" w:cs="仿宋_GB2312"/>
                <w:kern w:val="0"/>
                <w:sz w:val="22"/>
                <w:szCs w:val="22"/>
              </w:rPr>
              <w:t>地基与基础工程专业承包叁级</w:t>
            </w:r>
            <w:r>
              <w:rPr>
                <w:rFonts w:hint="eastAsia" w:ascii="宋体" w:hAnsi="宋体" w:cs="仿宋_GB2312"/>
                <w:kern w:val="0"/>
                <w:sz w:val="22"/>
                <w:szCs w:val="22"/>
                <w:lang w:val="en-US" w:eastAsia="zh-CN"/>
              </w:rPr>
              <w:t>或</w:t>
            </w:r>
            <w:r>
              <w:rPr>
                <w:rFonts w:hint="eastAsia" w:ascii="宋体" w:hAnsi="宋体" w:eastAsia="宋体" w:cs="宋体"/>
              </w:rPr>
              <w:t>建筑工程施工总承包三级及以上资质</w:t>
            </w:r>
            <w:r>
              <w:rPr>
                <w:rFonts w:hint="eastAsia" w:ascii="Times New Roman" w:eastAsia="Times New Roman"/>
              </w:rPr>
              <w:t xml:space="preserve"> </w:t>
            </w:r>
            <w:r>
              <w:rPr>
                <w:rFonts w:hint="eastAsia" w:ascii="宋体" w:hAnsi="宋体" w:eastAsia="宋体" w:cs="宋体"/>
              </w:rPr>
              <w:t>；</w:t>
            </w:r>
          </w:p>
          <w:p>
            <w:pPr>
              <w:autoSpaceDE w:val="0"/>
              <w:autoSpaceDN w:val="0"/>
              <w:adjustRightInd w:val="0"/>
              <w:spacing w:line="420" w:lineRule="exact"/>
              <w:jc w:val="left"/>
              <w:rPr>
                <w:rFonts w:ascii="Times New Roman" w:eastAsia="Times New Roman"/>
              </w:rPr>
            </w:pPr>
            <w:r>
              <w:rPr>
                <w:rFonts w:hint="eastAsia" w:ascii="Times New Roman" w:eastAsia="Times New Roman"/>
              </w:rPr>
              <w:t xml:space="preserve">3.3 </w:t>
            </w:r>
            <w:r>
              <w:rPr>
                <w:rFonts w:hint="eastAsia" w:ascii="宋体" w:hAnsi="宋体" w:eastAsia="宋体" w:cs="宋体"/>
              </w:rPr>
              <w:t>具有有效的安全生产许可证；</w:t>
            </w:r>
          </w:p>
          <w:p>
            <w:pPr>
              <w:autoSpaceDE w:val="0"/>
              <w:autoSpaceDN w:val="0"/>
              <w:adjustRightInd w:val="0"/>
              <w:spacing w:line="420" w:lineRule="exact"/>
              <w:jc w:val="left"/>
            </w:pPr>
            <w:r>
              <w:rPr>
                <w:rFonts w:hint="eastAsia" w:ascii="宋体" w:hAnsi="宋体" w:cs="仿宋_GB2312"/>
                <w:kern w:val="0"/>
                <w:sz w:val="22"/>
                <w:szCs w:val="22"/>
              </w:rPr>
              <w:t xml:space="preserve">3.4 </w:t>
            </w:r>
            <w:r>
              <w:rPr>
                <w:rFonts w:hint="eastAsia" w:ascii="宋体" w:hAnsi="宋体" w:eastAsia="宋体" w:cs="宋体"/>
              </w:rPr>
              <w:t>拟派项目经理须具备</w:t>
            </w:r>
            <w:r>
              <w:rPr>
                <w:rFonts w:hint="eastAsia" w:ascii="Times New Roman" w:eastAsia="宋体"/>
              </w:rPr>
              <w:t>相关专业二</w:t>
            </w:r>
            <w:r>
              <w:rPr>
                <w:rFonts w:hint="eastAsia" w:ascii="宋体" w:hAnsi="宋体" w:eastAsia="宋体" w:cs="宋体"/>
              </w:rPr>
              <w:t>级</w:t>
            </w:r>
            <w:r>
              <w:rPr>
                <w:rFonts w:hint="eastAsia" w:ascii="Times New Roman" w:eastAsia="宋体"/>
              </w:rPr>
              <w:t>及以上</w:t>
            </w:r>
            <w:r>
              <w:rPr>
                <w:rFonts w:hint="eastAsia" w:ascii="宋体" w:hAnsi="宋体" w:eastAsia="宋体" w:cs="宋体"/>
              </w:rPr>
              <w:t>注册建造师资质，且具备有效的安全生产考核合格证书（</w:t>
            </w:r>
            <w:r>
              <w:rPr>
                <w:rFonts w:hint="eastAsia" w:ascii="Times New Roman" w:eastAsia="Times New Roman"/>
              </w:rPr>
              <w:t>B</w:t>
            </w:r>
            <w:r>
              <w:rPr>
                <w:rFonts w:hint="eastAsia" w:ascii="宋体" w:hAnsi="宋体" w:eastAsia="宋体" w:cs="宋体"/>
              </w:rPr>
              <w:t>证）</w:t>
            </w:r>
            <w:r>
              <w:rPr>
                <w:rFonts w:hint="eastAsia" w:ascii="宋体" w:hAnsi="宋体" w:cs="仿宋_GB2312"/>
                <w:kern w:val="0"/>
                <w:sz w:val="22"/>
                <w:szCs w:val="22"/>
              </w:rPr>
              <w:t>。</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是否接受联合体投标</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不接受</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踏勘</w:t>
            </w:r>
            <w:r>
              <w:rPr>
                <w:rFonts w:hint="eastAsia"/>
                <w:szCs w:val="21"/>
              </w:rPr>
              <w:t>现场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default" w:eastAsiaTheme="minorEastAsia"/>
                <w:szCs w:val="21"/>
                <w:lang w:val="en-US" w:eastAsia="zh-CN"/>
              </w:rPr>
            </w:pPr>
            <w:r>
              <w:rPr>
                <w:rFonts w:hint="eastAsia"/>
                <w:szCs w:val="21"/>
              </w:rPr>
              <w:t>组织</w:t>
            </w:r>
            <w:r>
              <w:rPr>
                <w:rFonts w:hint="eastAsia"/>
                <w:szCs w:val="21"/>
                <w:lang w:eastAsia="zh-CN"/>
              </w:rPr>
              <w:t>，</w:t>
            </w:r>
            <w:r>
              <w:rPr>
                <w:rFonts w:hint="eastAsia"/>
                <w:szCs w:val="21"/>
                <w:lang w:val="en-US" w:eastAsia="zh-CN"/>
              </w:rPr>
              <w:t>未踏勘现场投标无效，现场踏勘联系人</w:t>
            </w:r>
            <w:r>
              <w:rPr>
                <w:rFonts w:hint="eastAsia"/>
                <w:szCs w:val="21"/>
              </w:rPr>
              <w:t>张艳</w:t>
            </w:r>
            <w:r>
              <w:rPr>
                <w:szCs w:val="21"/>
              </w:rPr>
              <w:t>18636306880</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1.4.4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投标预备会</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w:t>
            </w:r>
            <w:r>
              <w:rPr>
                <w:rFonts w:ascii="Times New Roman"/>
                <w:szCs w:val="21"/>
              </w:rPr>
              <w:t>召开</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分包</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1.6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偏离</w:t>
            </w:r>
          </w:p>
        </w:tc>
        <w:tc>
          <w:tcPr>
            <w:tcW w:w="5920" w:type="dxa"/>
            <w:tcBorders>
              <w:top w:val="single" w:color="auto" w:sz="4" w:space="0"/>
              <w:left w:val="single" w:color="auto" w:sz="4" w:space="0"/>
              <w:bottom w:val="single" w:color="auto" w:sz="4" w:space="0"/>
              <w:right w:val="single" w:color="auto" w:sz="4" w:space="0"/>
            </w:tcBorders>
            <w:vAlign w:val="center"/>
          </w:tcPr>
          <w:p>
            <w:pPr>
              <w:rPr>
                <w:rFonts w:ascii="Times New Roman"/>
                <w:szCs w:val="21"/>
              </w:rPr>
            </w:pPr>
            <w:r>
              <w:rPr>
                <w:rFonts w:hint="eastAsia" w:ascii="Times New Roman"/>
                <w:szCs w:val="21"/>
              </w:rPr>
              <w:t>不允许</w:t>
            </w:r>
          </w:p>
        </w:tc>
      </w:tr>
      <w:tr>
        <w:tblPrEx>
          <w:tblCellMar>
            <w:top w:w="0" w:type="dxa"/>
            <w:left w:w="108" w:type="dxa"/>
            <w:bottom w:w="0" w:type="dxa"/>
            <w:right w:w="108" w:type="dxa"/>
          </w:tblCellMar>
        </w:tblPrEx>
        <w:trPr>
          <w:trHeight w:val="32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2.1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构成招标文件的其他材料</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30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构成投标文件的其他材料</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无</w:t>
            </w:r>
          </w:p>
        </w:tc>
      </w:tr>
      <w:tr>
        <w:tblPrEx>
          <w:tblCellMar>
            <w:top w:w="0" w:type="dxa"/>
            <w:left w:w="108" w:type="dxa"/>
            <w:bottom w:w="0" w:type="dxa"/>
            <w:right w:w="108" w:type="dxa"/>
          </w:tblCellMar>
        </w:tblPrEx>
        <w:trPr>
          <w:trHeight w:val="445"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3.2</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投标有效期</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rPr>
              <w:t>自投标人提交投标文件截止之日起计算90天</w:t>
            </w:r>
          </w:p>
        </w:tc>
      </w:tr>
      <w:tr>
        <w:tblPrEx>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3.3</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5920"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left"/>
              <w:rPr>
                <w:szCs w:val="21"/>
              </w:rPr>
            </w:pPr>
            <w:r>
              <w:rPr>
                <w:rFonts w:hint="eastAsia"/>
                <w:szCs w:val="21"/>
              </w:rPr>
              <w:t>投标保证金的金额：</w:t>
            </w:r>
            <w:r>
              <w:rPr>
                <w:rFonts w:hint="eastAsia"/>
                <w:b/>
                <w:bCs/>
                <w:szCs w:val="21"/>
                <w:highlight w:val="yellow"/>
                <w:u w:val="single"/>
                <w:lang w:val="en-US" w:eastAsia="zh-CN"/>
              </w:rPr>
              <w:t xml:space="preserve"> 10000.00</w:t>
            </w:r>
            <w:r>
              <w:rPr>
                <w:rFonts w:hint="eastAsia"/>
                <w:b/>
                <w:bCs/>
                <w:szCs w:val="21"/>
              </w:rPr>
              <w:t>元</w:t>
            </w:r>
            <w:r>
              <w:rPr>
                <w:rFonts w:hint="eastAsia"/>
                <w:szCs w:val="21"/>
              </w:rPr>
              <w:t>；</w:t>
            </w:r>
          </w:p>
          <w:p>
            <w:pPr>
              <w:pStyle w:val="21"/>
              <w:ind w:firstLine="0" w:firstLineChars="0"/>
              <w:rPr>
                <w:szCs w:val="21"/>
              </w:rPr>
            </w:pPr>
            <w:r>
              <w:rPr>
                <w:rFonts w:hint="eastAsia"/>
                <w:szCs w:val="21"/>
              </w:rPr>
              <w:t>投标保证金的形式：银行电汇或网银转账，投标保证金的递交截止时间为：</w:t>
            </w:r>
            <w:r>
              <w:rPr>
                <w:rFonts w:hint="eastAsia"/>
                <w:b/>
                <w:bCs/>
                <w:szCs w:val="21"/>
              </w:rPr>
              <w:t>投标截止时间前</w:t>
            </w:r>
            <w:r>
              <w:rPr>
                <w:rFonts w:hint="eastAsia"/>
                <w:szCs w:val="21"/>
              </w:rPr>
              <w:t>一次性汇入招标人指定账户(到账时间以银行出具的进账单为准)，汇款时需注明用途、投标项目（可简写），以便查对核实。</w:t>
            </w:r>
          </w:p>
          <w:p>
            <w:pPr>
              <w:spacing w:line="440" w:lineRule="exact"/>
              <w:ind w:left="1445" w:leftChars="1" w:hanging="1443" w:hangingChars="599"/>
              <w:rPr>
                <w:rFonts w:ascii="仿宋_GB2312" w:hAnsi="宋体"/>
                <w:b/>
                <w:bCs/>
                <w:sz w:val="24"/>
              </w:rPr>
            </w:pPr>
            <w:r>
              <w:rPr>
                <w:rFonts w:hint="eastAsia" w:ascii="仿宋_GB2312" w:hAnsi="宋体"/>
                <w:b/>
                <w:bCs/>
                <w:sz w:val="24"/>
              </w:rPr>
              <w:t>开户名称：冀东海天水泥闻喜有限责任公司</w:t>
            </w:r>
          </w:p>
          <w:p>
            <w:pPr>
              <w:spacing w:line="440" w:lineRule="exact"/>
              <w:ind w:left="1445" w:leftChars="1" w:hanging="1443" w:hangingChars="599"/>
              <w:rPr>
                <w:rFonts w:ascii="仿宋" w:hAnsi="仿宋" w:eastAsia="仿宋" w:cs="宋体"/>
                <w:sz w:val="24"/>
              </w:rPr>
            </w:pPr>
            <w:r>
              <w:rPr>
                <w:rFonts w:hint="eastAsia" w:ascii="仿宋_GB2312" w:hAnsi="宋体"/>
                <w:b/>
                <w:bCs/>
                <w:sz w:val="24"/>
              </w:rPr>
              <w:t>开 户 行：</w:t>
            </w:r>
            <w:r>
              <w:rPr>
                <w:rFonts w:hint="eastAsia" w:ascii="仿宋" w:hAnsi="仿宋" w:eastAsia="仿宋" w:cs="宋体"/>
                <w:sz w:val="24"/>
              </w:rPr>
              <w:t>工行闻喜支行</w:t>
            </w:r>
          </w:p>
          <w:p>
            <w:pPr>
              <w:pStyle w:val="7"/>
              <w:ind w:firstLine="0"/>
            </w:pPr>
            <w:r>
              <w:rPr>
                <w:rFonts w:hint="eastAsia" w:hAnsi="宋体" w:eastAsiaTheme="minorEastAsia"/>
                <w:b/>
                <w:bCs/>
                <w:kern w:val="2"/>
                <w:sz w:val="24"/>
                <w:szCs w:val="24"/>
              </w:rPr>
              <w:t xml:space="preserve">账 </w:t>
            </w:r>
            <w:r>
              <w:rPr>
                <w:rFonts w:hAnsi="宋体" w:eastAsiaTheme="minorEastAsia"/>
                <w:b/>
                <w:bCs/>
                <w:kern w:val="2"/>
                <w:sz w:val="24"/>
                <w:szCs w:val="24"/>
              </w:rPr>
              <w:t xml:space="preserve">   </w:t>
            </w:r>
            <w:r>
              <w:rPr>
                <w:rFonts w:hint="eastAsia" w:hAnsi="宋体" w:eastAsiaTheme="minorEastAsia"/>
                <w:b/>
                <w:bCs/>
                <w:kern w:val="2"/>
                <w:sz w:val="24"/>
                <w:szCs w:val="24"/>
              </w:rPr>
              <w:t>号：</w:t>
            </w:r>
            <w:r>
              <w:rPr>
                <w:rFonts w:hint="eastAsia" w:hAnsi="宋体" w:eastAsiaTheme="minorEastAsia"/>
                <w:kern w:val="2"/>
                <w:szCs w:val="21"/>
              </w:rPr>
              <w:t>0</w:t>
            </w:r>
            <w:r>
              <w:rPr>
                <w:rFonts w:hAnsi="宋体" w:eastAsiaTheme="minorEastAsia"/>
                <w:kern w:val="2"/>
                <w:szCs w:val="21"/>
              </w:rPr>
              <w:t>511035419022132253</w:t>
            </w:r>
          </w:p>
          <w:p>
            <w:pPr>
              <w:adjustRightInd w:val="0"/>
              <w:spacing w:line="440" w:lineRule="exact"/>
              <w:textAlignment w:val="baseline"/>
              <w:rPr>
                <w:szCs w:val="21"/>
              </w:rPr>
            </w:pPr>
            <w:r>
              <w:rPr>
                <w:rFonts w:hint="eastAsia" w:ascii="仿宋_GB2312" w:hAnsi="宋体"/>
                <w:b/>
                <w:bCs/>
                <w:sz w:val="24"/>
              </w:rPr>
              <w:t>行    号：</w:t>
            </w:r>
            <w:r>
              <w:rPr>
                <w:rFonts w:ascii="仿宋" w:hAnsi="仿宋" w:eastAsia="仿宋" w:cs="宋体"/>
                <w:sz w:val="24"/>
              </w:rPr>
              <w:t>102181903541</w:t>
            </w:r>
          </w:p>
        </w:tc>
      </w:tr>
      <w:tr>
        <w:tblPrEx>
          <w:tblCellMar>
            <w:top w:w="0" w:type="dxa"/>
            <w:left w:w="108" w:type="dxa"/>
            <w:bottom w:w="0" w:type="dxa"/>
            <w:right w:w="108" w:type="dxa"/>
          </w:tblCellMar>
        </w:tblPrEx>
        <w:trPr>
          <w:trHeight w:val="368"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3.4</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近年财务状况</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3.5</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近年完成的类似项目</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201</w:t>
            </w:r>
            <w:r>
              <w:rPr>
                <w:rFonts w:hint="eastAsia"/>
                <w:szCs w:val="21"/>
                <w:lang w:val="en-US" w:eastAsia="zh-CN"/>
              </w:rPr>
              <w:t>9</w:t>
            </w:r>
            <w:r>
              <w:rPr>
                <w:rFonts w:hint="eastAsia"/>
                <w:szCs w:val="21"/>
              </w:rPr>
              <w:t>年3月至今</w:t>
            </w:r>
          </w:p>
        </w:tc>
      </w:tr>
      <w:tr>
        <w:tblPrEx>
          <w:tblCellMar>
            <w:top w:w="0" w:type="dxa"/>
            <w:left w:w="108" w:type="dxa"/>
            <w:bottom w:w="0" w:type="dxa"/>
            <w:right w:w="108" w:type="dxa"/>
          </w:tblCellMar>
        </w:tblPrEx>
        <w:trPr>
          <w:trHeight w:val="1316"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3.6</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近年发生的诉讼及仲裁情况</w:t>
            </w:r>
            <w:r>
              <w:rPr>
                <w:rFonts w:hint="eastAsia"/>
                <w:szCs w:val="21"/>
              </w:rPr>
              <w:t>的年份要求</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近三</w:t>
            </w:r>
            <w:r>
              <w:rPr>
                <w:szCs w:val="21"/>
              </w:rPr>
              <w:t>年</w:t>
            </w:r>
          </w:p>
        </w:tc>
      </w:tr>
      <w:tr>
        <w:tblPrEx>
          <w:tblCellMar>
            <w:top w:w="0" w:type="dxa"/>
            <w:left w:w="108" w:type="dxa"/>
            <w:bottom w:w="0" w:type="dxa"/>
            <w:right w:w="108" w:type="dxa"/>
          </w:tblCellMar>
        </w:tblPrEx>
        <w:trPr>
          <w:trHeight w:val="880" w:hRule="atLeast"/>
        </w:trPr>
        <w:tc>
          <w:tcPr>
            <w:tcW w:w="675" w:type="dxa"/>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r>
              <w:t>3.7</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是否允许</w:t>
            </w:r>
            <w:r>
              <w:rPr>
                <w:rFonts w:hint="eastAsia"/>
                <w:szCs w:val="21"/>
              </w:rPr>
              <w:t>递交备</w:t>
            </w:r>
            <w:r>
              <w:rPr>
                <w:szCs w:val="21"/>
              </w:rPr>
              <w:t>选投标方案</w:t>
            </w:r>
          </w:p>
        </w:tc>
        <w:tc>
          <w:tcPr>
            <w:tcW w:w="59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Times New Roman"/>
                <w:szCs w:val="21"/>
              </w:rPr>
              <w:t>不允许</w:t>
            </w:r>
          </w:p>
        </w:tc>
      </w:tr>
      <w:tr>
        <w:tblPrEx>
          <w:tblCellMar>
            <w:top w:w="0" w:type="dxa"/>
            <w:left w:w="108" w:type="dxa"/>
            <w:bottom w:w="0" w:type="dxa"/>
            <w:right w:w="108" w:type="dxa"/>
          </w:tblCellMar>
        </w:tblPrEx>
        <w:trPr>
          <w:trHeight w:val="1805" w:hRule="atLeast"/>
        </w:trPr>
        <w:tc>
          <w:tcPr>
            <w:tcW w:w="675" w:type="dxa"/>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t>6.1</w:t>
            </w:r>
          </w:p>
        </w:tc>
        <w:tc>
          <w:tcPr>
            <w:tcW w:w="2685"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评标委员会的组建</w:t>
            </w:r>
          </w:p>
        </w:tc>
        <w:tc>
          <w:tcPr>
            <w:tcW w:w="5920" w:type="dxa"/>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szCs w:val="21"/>
              </w:rPr>
              <w:t>评标委员会构成： 5人</w:t>
            </w:r>
          </w:p>
          <w:p>
            <w:pPr>
              <w:adjustRightInd w:val="0"/>
              <w:spacing w:line="440" w:lineRule="exact"/>
              <w:textAlignment w:val="baseline"/>
              <w:rPr>
                <w:szCs w:val="21"/>
                <w:lang w:val="zh-TW" w:eastAsia="zh-TW"/>
              </w:rPr>
            </w:pPr>
            <w:r>
              <w:rPr>
                <w:szCs w:val="21"/>
              </w:rPr>
              <w:t xml:space="preserve">其中招标人代表 </w:t>
            </w:r>
            <w:r>
              <w:rPr>
                <w:rFonts w:hint="eastAsia"/>
                <w:szCs w:val="21"/>
              </w:rPr>
              <w:t>1</w:t>
            </w:r>
            <w:r>
              <w:rPr>
                <w:szCs w:val="21"/>
              </w:rPr>
              <w:t>人，专家4人；</w:t>
            </w:r>
            <w:r>
              <w:rPr>
                <w:rFonts w:hint="eastAsia"/>
                <w:szCs w:val="21"/>
                <w:lang w:val="zh-TW" w:eastAsia="zh-TW"/>
              </w:rPr>
              <w:t>其中技术、经济等方面的专家不少于成员总数的三分之二</w:t>
            </w:r>
            <w:r>
              <w:rPr>
                <w:rFonts w:hint="eastAsia"/>
                <w:szCs w:val="21"/>
                <w:lang w:val="zh-TW"/>
              </w:rPr>
              <w:t>。</w:t>
            </w:r>
          </w:p>
          <w:p>
            <w:pPr>
              <w:adjustRightInd w:val="0"/>
              <w:spacing w:line="440" w:lineRule="exact"/>
              <w:textAlignment w:val="baseline"/>
              <w:rPr>
                <w:szCs w:val="21"/>
              </w:rPr>
            </w:pPr>
            <w:r>
              <w:rPr>
                <w:rFonts w:hint="eastAsia"/>
                <w:szCs w:val="21"/>
                <w:lang w:val="zh-TW" w:eastAsia="zh-TW"/>
              </w:rPr>
              <w:t>评标专家确定方式：</w:t>
            </w:r>
            <w:r>
              <w:rPr>
                <w:szCs w:val="21"/>
              </w:rPr>
              <w:t xml:space="preserve"> </w:t>
            </w:r>
          </w:p>
        </w:tc>
      </w:tr>
      <w:tr>
        <w:tblPrEx>
          <w:tblCellMar>
            <w:top w:w="0" w:type="dxa"/>
            <w:left w:w="108" w:type="dxa"/>
            <w:bottom w:w="0" w:type="dxa"/>
            <w:right w:w="108" w:type="dxa"/>
          </w:tblCellMar>
        </w:tblPrEx>
        <w:trPr>
          <w:trHeight w:val="445" w:hRule="atLeast"/>
        </w:trPr>
        <w:tc>
          <w:tcPr>
            <w:tcW w:w="9280"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b/>
                <w:szCs w:val="21"/>
              </w:rPr>
              <w:t>需要</w:t>
            </w:r>
            <w:r>
              <w:rPr>
                <w:b/>
                <w:szCs w:val="21"/>
              </w:rPr>
              <w:t>补充</w:t>
            </w:r>
            <w:r>
              <w:rPr>
                <w:rFonts w:hint="eastAsia"/>
                <w:b/>
                <w:szCs w:val="21"/>
              </w:rPr>
              <w:t>的其他</w:t>
            </w:r>
            <w:r>
              <w:rPr>
                <w:b/>
                <w:szCs w:val="21"/>
              </w:rPr>
              <w:t>内容</w:t>
            </w:r>
          </w:p>
        </w:tc>
      </w:tr>
      <w:tr>
        <w:tblPrEx>
          <w:tblCellMar>
            <w:top w:w="0" w:type="dxa"/>
            <w:left w:w="108" w:type="dxa"/>
            <w:bottom w:w="0" w:type="dxa"/>
            <w:right w:w="108" w:type="dxa"/>
          </w:tblCellMar>
        </w:tblPrEx>
        <w:trPr>
          <w:trHeight w:val="1316"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7.1</w:t>
            </w:r>
          </w:p>
        </w:tc>
        <w:tc>
          <w:tcPr>
            <w:tcW w:w="2685"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color w:val="000000"/>
              </w:rPr>
              <w:t>中标公示</w:t>
            </w:r>
          </w:p>
        </w:tc>
        <w:tc>
          <w:tcPr>
            <w:tcW w:w="5920"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color w:val="000000"/>
                <w:lang w:val="en-US" w:eastAsia="zh-CN"/>
              </w:rPr>
              <w:t>金隅冀东阳光采购平台公示</w:t>
            </w:r>
            <w:r>
              <w:rPr>
                <w:rFonts w:hint="eastAsia"/>
                <w:color w:val="000000"/>
              </w:rPr>
              <w:t>。</w:t>
            </w:r>
          </w:p>
        </w:tc>
      </w:tr>
    </w:tbl>
    <w:p>
      <w:pPr>
        <w:pStyle w:val="28"/>
      </w:pPr>
      <w:bookmarkStart w:id="35" w:name="_Toc152042305"/>
      <w:bookmarkStart w:id="36" w:name="_Toc152045529"/>
      <w:bookmarkStart w:id="37" w:name="_Toc179632546"/>
      <w:bookmarkStart w:id="38" w:name="_Toc144974497"/>
      <w:r>
        <w:rPr>
          <w:rFonts w:hint="eastAsia"/>
        </w:rPr>
        <w:t>1. 总则</w:t>
      </w:r>
      <w:bookmarkEnd w:id="35"/>
      <w:bookmarkEnd w:id="36"/>
      <w:bookmarkEnd w:id="37"/>
      <w:bookmarkEnd w:id="38"/>
    </w:p>
    <w:p>
      <w:pPr>
        <w:pStyle w:val="29"/>
      </w:pPr>
      <w:bookmarkStart w:id="39" w:name="_Toc179632547"/>
      <w:bookmarkStart w:id="40" w:name="_Toc144974498"/>
      <w:bookmarkStart w:id="41" w:name="_Toc152045530"/>
      <w:bookmarkStart w:id="42" w:name="_Toc152042306"/>
      <w:r>
        <w:rPr>
          <w:rFonts w:hint="eastAsia"/>
        </w:rPr>
        <w:t>1.1 项目概况</w:t>
      </w:r>
      <w:bookmarkEnd w:id="39"/>
      <w:bookmarkEnd w:id="40"/>
      <w:bookmarkEnd w:id="41"/>
      <w:bookmarkEnd w:id="42"/>
    </w:p>
    <w:p>
      <w:pPr>
        <w:spacing w:line="400" w:lineRule="exact"/>
        <w:ind w:firstLine="420" w:firstLineChars="200"/>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pPr>
      <w:r>
        <w:rPr>
          <w:rFonts w:hint="eastAsia"/>
        </w:rPr>
        <w:t>1.1.2 本招标项目招标人：见投标人须知前附表。</w:t>
      </w:r>
    </w:p>
    <w:p>
      <w:pPr>
        <w:spacing w:line="400" w:lineRule="exact"/>
        <w:ind w:firstLine="420" w:firstLineChars="200"/>
      </w:pPr>
      <w:r>
        <w:rPr>
          <w:rFonts w:hint="eastAsia"/>
        </w:rPr>
        <w:t>1.1.3 本招标项目名称：见投标人须知前附表</w:t>
      </w:r>
    </w:p>
    <w:p>
      <w:pPr>
        <w:spacing w:line="400" w:lineRule="exact"/>
        <w:ind w:firstLine="420" w:firstLineChars="200"/>
      </w:pPr>
      <w:r>
        <w:rPr>
          <w:rFonts w:hint="eastAsia"/>
        </w:rPr>
        <w:t>1.1.4本标段建设地点：见投标人须知前附表</w:t>
      </w:r>
    </w:p>
    <w:p>
      <w:pPr>
        <w:pStyle w:val="29"/>
      </w:pPr>
      <w:bookmarkStart w:id="43" w:name="_Toc179632548"/>
      <w:bookmarkStart w:id="44" w:name="_Toc144974499"/>
      <w:bookmarkStart w:id="45" w:name="_Toc152042307"/>
      <w:bookmarkStart w:id="46" w:name="_Toc152045531"/>
      <w:r>
        <w:rPr>
          <w:rFonts w:hint="eastAsia"/>
        </w:rPr>
        <w:t>1.2 资金来源和落实情况</w:t>
      </w:r>
      <w:bookmarkEnd w:id="43"/>
      <w:bookmarkEnd w:id="44"/>
      <w:bookmarkEnd w:id="45"/>
      <w:bookmarkEnd w:id="46"/>
    </w:p>
    <w:p>
      <w:pPr>
        <w:spacing w:line="400" w:lineRule="exact"/>
        <w:ind w:firstLine="420" w:firstLineChars="200"/>
      </w:pPr>
      <w:r>
        <w:rPr>
          <w:rFonts w:hint="eastAsia"/>
        </w:rPr>
        <w:t>1.2.1 本招标项目的资金来源：见投标人须知前附表。</w:t>
      </w:r>
    </w:p>
    <w:p>
      <w:pPr>
        <w:spacing w:line="400" w:lineRule="exact"/>
        <w:ind w:firstLine="420" w:firstLineChars="200"/>
      </w:pPr>
      <w:r>
        <w:rPr>
          <w:rFonts w:hint="eastAsia"/>
        </w:rPr>
        <w:t>1.2.2 本招标项目的出资比例：见投标人须知前附表。</w:t>
      </w:r>
    </w:p>
    <w:p>
      <w:pPr>
        <w:spacing w:line="400" w:lineRule="exact"/>
        <w:ind w:firstLine="420" w:firstLineChars="200"/>
      </w:pPr>
      <w:r>
        <w:rPr>
          <w:rFonts w:hint="eastAsia"/>
        </w:rPr>
        <w:t>1.2.3 本招标项目的资金落实情况：见投标人须知前附表。</w:t>
      </w:r>
    </w:p>
    <w:p>
      <w:pPr>
        <w:pStyle w:val="29"/>
      </w:pPr>
      <w:bookmarkStart w:id="47" w:name="_Toc144974500"/>
      <w:bookmarkStart w:id="48" w:name="_Toc152042308"/>
      <w:bookmarkStart w:id="49" w:name="_Toc179632549"/>
      <w:bookmarkStart w:id="50" w:name="_Toc152045532"/>
      <w:r>
        <w:rPr>
          <w:rFonts w:hint="eastAsia"/>
        </w:rPr>
        <w:t>1.3 招标范围、计划工期和质量要求</w:t>
      </w:r>
      <w:bookmarkEnd w:id="47"/>
      <w:bookmarkEnd w:id="48"/>
      <w:bookmarkEnd w:id="49"/>
      <w:bookmarkEnd w:id="50"/>
    </w:p>
    <w:p>
      <w:pPr>
        <w:spacing w:line="400" w:lineRule="exact"/>
        <w:ind w:firstLine="420" w:firstLineChars="200"/>
      </w:pPr>
      <w:r>
        <w:rPr>
          <w:rFonts w:hint="eastAsia"/>
        </w:rPr>
        <w:t>1.3.1 本次招标范围：见投标人须知前附表。</w:t>
      </w:r>
    </w:p>
    <w:p>
      <w:pPr>
        <w:spacing w:line="400" w:lineRule="exact"/>
        <w:ind w:firstLine="420" w:firstLineChars="200"/>
      </w:pPr>
      <w:r>
        <w:rPr>
          <w:rFonts w:hint="eastAsia"/>
        </w:rPr>
        <w:t>1.3.2 本标段的计划工期：见投标人须知前附表。</w:t>
      </w:r>
    </w:p>
    <w:p>
      <w:pPr>
        <w:spacing w:line="400" w:lineRule="exact"/>
        <w:ind w:firstLine="420" w:firstLineChars="200"/>
      </w:pPr>
      <w:r>
        <w:rPr>
          <w:rFonts w:hint="eastAsia"/>
        </w:rPr>
        <w:t>1.3.3 本标段的质量要求：见投标人须知前附表。</w:t>
      </w:r>
    </w:p>
    <w:p>
      <w:pPr>
        <w:pStyle w:val="29"/>
      </w:pPr>
      <w:bookmarkStart w:id="51" w:name="_Toc144974502"/>
      <w:bookmarkStart w:id="52" w:name="_Toc152042310"/>
      <w:bookmarkStart w:id="53" w:name="_Toc179632551"/>
      <w:bookmarkStart w:id="54" w:name="_Toc152045534"/>
      <w:r>
        <w:rPr>
          <w:rFonts w:hint="eastAsia"/>
        </w:rPr>
        <w:t>1.4 投标人资格要求</w:t>
      </w:r>
      <w:bookmarkEnd w:id="51"/>
      <w:bookmarkEnd w:id="52"/>
      <w:bookmarkEnd w:id="53"/>
      <w:bookmarkEnd w:id="54"/>
    </w:p>
    <w:p>
      <w:pPr>
        <w:spacing w:line="400" w:lineRule="exact"/>
        <w:ind w:firstLine="420" w:firstLineChars="200"/>
      </w:pPr>
      <w:r>
        <w:rPr>
          <w:rFonts w:hint="eastAsia"/>
        </w:rPr>
        <w:t>1.4.1投标人应具备承担本标段施工的资质条件、能力和信誉。</w:t>
      </w:r>
    </w:p>
    <w:p>
      <w:pPr>
        <w:spacing w:line="400" w:lineRule="exact"/>
        <w:ind w:firstLine="718" w:firstLineChars="342"/>
      </w:pPr>
      <w:r>
        <w:rPr>
          <w:rFonts w:hint="eastAsia"/>
        </w:rPr>
        <w:t>（1）资质条件：见投标人须知前附表；</w:t>
      </w:r>
    </w:p>
    <w:p>
      <w:pPr>
        <w:spacing w:line="400" w:lineRule="exact"/>
        <w:ind w:firstLine="718" w:firstLineChars="342"/>
      </w:pPr>
      <w:r>
        <w:rPr>
          <w:rFonts w:hint="eastAsia"/>
        </w:rPr>
        <w:t>（2）财务要求：见投标人须知前附表；</w:t>
      </w:r>
    </w:p>
    <w:p>
      <w:pPr>
        <w:spacing w:line="400" w:lineRule="exact"/>
        <w:ind w:firstLine="718" w:firstLineChars="342"/>
      </w:pPr>
      <w:r>
        <w:rPr>
          <w:rFonts w:hint="eastAsia"/>
        </w:rPr>
        <w:t>（3）业绩要求：见投标人须知前附表；</w:t>
      </w:r>
    </w:p>
    <w:p>
      <w:pPr>
        <w:spacing w:line="400" w:lineRule="exact"/>
        <w:ind w:firstLine="718" w:firstLineChars="342"/>
      </w:pPr>
      <w:r>
        <w:rPr>
          <w:rFonts w:hint="eastAsia"/>
        </w:rPr>
        <w:t>（4）信誉要求：见投标人须知前附表;</w:t>
      </w:r>
    </w:p>
    <w:p>
      <w:pPr>
        <w:spacing w:line="400" w:lineRule="exact"/>
        <w:ind w:firstLine="735" w:firstLineChars="350"/>
      </w:pPr>
      <w:r>
        <w:rPr>
          <w:rFonts w:hint="eastAsia"/>
        </w:rPr>
        <w:t>（5）项目经理资格：见投标人须知前附表；</w:t>
      </w:r>
    </w:p>
    <w:p>
      <w:pPr>
        <w:spacing w:line="400" w:lineRule="exact"/>
        <w:ind w:firstLine="735" w:firstLineChars="350"/>
      </w:pPr>
      <w:r>
        <w:rPr>
          <w:rFonts w:hint="eastAsia"/>
        </w:rPr>
        <w:t>（6）其他要求：见投标人须知前附表。</w:t>
      </w:r>
    </w:p>
    <w:p>
      <w:pPr>
        <w:spacing w:line="400" w:lineRule="exact"/>
        <w:ind w:firstLine="420" w:firstLineChars="200"/>
      </w:pPr>
      <w:r>
        <w:rPr>
          <w:rFonts w:hint="eastAsia"/>
        </w:rPr>
        <w:t xml:space="preserve">1.4.2 投标人须知前附表规定接受联合体投标的，除应符合本章第1.4.1项和投标人须知前附表的要求外，还应遵守以下规定： </w:t>
      </w:r>
    </w:p>
    <w:p>
      <w:pPr>
        <w:spacing w:line="400" w:lineRule="exact"/>
        <w:ind w:firstLine="718" w:firstLineChars="342"/>
      </w:pPr>
      <w:r>
        <w:rPr>
          <w:rFonts w:hint="eastAsia"/>
        </w:rPr>
        <w:t>（1）联合体各方应按招标文件提供的格式签订联合体协议书，明确联合体牵头人和各方权利义务；</w:t>
      </w:r>
    </w:p>
    <w:p>
      <w:pPr>
        <w:spacing w:line="400" w:lineRule="exact"/>
        <w:ind w:firstLine="718" w:firstLineChars="342"/>
      </w:pPr>
      <w:r>
        <w:rPr>
          <w:rFonts w:hint="eastAsia"/>
        </w:rPr>
        <w:t xml:space="preserve">（2）由同一专业的单位组成的联合体，按照资质等级较低的单位确定资质等级； </w:t>
      </w:r>
    </w:p>
    <w:p>
      <w:pPr>
        <w:spacing w:line="400" w:lineRule="exact"/>
        <w:ind w:firstLine="718" w:firstLineChars="342"/>
      </w:pPr>
      <w:r>
        <w:rPr>
          <w:rFonts w:hint="eastAsia"/>
        </w:rPr>
        <w:t>（3）联合体各方不得再以自己名义单独或参加其他联合体在同一标段中投标。</w:t>
      </w:r>
    </w:p>
    <w:p>
      <w:pPr>
        <w:spacing w:line="400" w:lineRule="exact"/>
        <w:ind w:firstLine="420" w:firstLineChars="200"/>
      </w:pPr>
      <w:r>
        <w:rPr>
          <w:rFonts w:hint="eastAsia"/>
        </w:rPr>
        <w:t>1.4.3 投标人不得存在下列情形之一：</w:t>
      </w:r>
    </w:p>
    <w:p>
      <w:pPr>
        <w:spacing w:line="400" w:lineRule="exact"/>
        <w:ind w:firstLine="718" w:firstLineChars="342"/>
      </w:pPr>
      <w:r>
        <w:rPr>
          <w:rFonts w:hint="eastAsia"/>
        </w:rPr>
        <w:t xml:space="preserve">（1）为招标人不具有独立法人资格的附属机构（单位）； </w:t>
      </w:r>
    </w:p>
    <w:p>
      <w:pPr>
        <w:spacing w:line="400" w:lineRule="exact"/>
        <w:ind w:firstLine="718" w:firstLineChars="342"/>
      </w:pPr>
      <w:r>
        <w:rPr>
          <w:rFonts w:hint="eastAsia"/>
        </w:rPr>
        <w:t>（2） 为本标段的监理人；</w:t>
      </w:r>
    </w:p>
    <w:p>
      <w:pPr>
        <w:spacing w:line="400" w:lineRule="exact"/>
        <w:ind w:firstLine="718" w:firstLineChars="342"/>
      </w:pPr>
      <w:r>
        <w:rPr>
          <w:rFonts w:hint="eastAsia"/>
        </w:rPr>
        <w:t>（3）为本标段的代建人；</w:t>
      </w:r>
    </w:p>
    <w:p>
      <w:pPr>
        <w:spacing w:line="400" w:lineRule="exact"/>
        <w:ind w:firstLine="718" w:firstLineChars="342"/>
      </w:pPr>
      <w:r>
        <w:rPr>
          <w:rFonts w:hint="eastAsia"/>
        </w:rPr>
        <w:t>（4） 与本标段的监理人为一个法定代表人的；</w:t>
      </w:r>
    </w:p>
    <w:p>
      <w:pPr>
        <w:spacing w:line="400" w:lineRule="exact"/>
        <w:ind w:firstLine="718" w:firstLineChars="342"/>
      </w:pPr>
      <w:r>
        <w:rPr>
          <w:rFonts w:hint="eastAsia"/>
        </w:rPr>
        <w:t>（</w:t>
      </w:r>
      <w:r>
        <w:t>5</w:t>
      </w:r>
      <w:r>
        <w:rPr>
          <w:rFonts w:hint="eastAsia"/>
        </w:rPr>
        <w:t>）与本标段的监理人或代建人相互控股或参股的；</w:t>
      </w:r>
    </w:p>
    <w:p>
      <w:pPr>
        <w:spacing w:line="400" w:lineRule="exact"/>
        <w:ind w:firstLine="718" w:firstLineChars="342"/>
      </w:pPr>
      <w:r>
        <w:rPr>
          <w:rFonts w:hint="eastAsia"/>
        </w:rPr>
        <w:t>（</w:t>
      </w:r>
      <w:r>
        <w:t>6</w:t>
      </w:r>
      <w:r>
        <w:rPr>
          <w:rFonts w:hint="eastAsia"/>
        </w:rPr>
        <w:t>）与本标段的监理人或代建人相互任职或工作的；</w:t>
      </w:r>
    </w:p>
    <w:p>
      <w:pPr>
        <w:spacing w:line="400" w:lineRule="exact"/>
        <w:ind w:firstLine="718" w:firstLineChars="342"/>
      </w:pPr>
      <w:r>
        <w:rPr>
          <w:rFonts w:hint="eastAsia"/>
        </w:rPr>
        <w:t>（</w:t>
      </w:r>
      <w:r>
        <w:t>7</w:t>
      </w:r>
      <w:r>
        <w:rPr>
          <w:rFonts w:hint="eastAsia"/>
        </w:rPr>
        <w:t xml:space="preserve">）被责令停业的； </w:t>
      </w:r>
    </w:p>
    <w:p>
      <w:pPr>
        <w:spacing w:line="400" w:lineRule="exact"/>
        <w:ind w:firstLine="718" w:firstLineChars="342"/>
      </w:pPr>
      <w:r>
        <w:rPr>
          <w:rFonts w:hint="eastAsia"/>
        </w:rPr>
        <w:t>（</w:t>
      </w:r>
      <w:r>
        <w:t>8</w:t>
      </w:r>
      <w:r>
        <w:rPr>
          <w:rFonts w:hint="eastAsia"/>
        </w:rPr>
        <w:t xml:space="preserve">）被暂停或取消投标资格的； </w:t>
      </w:r>
    </w:p>
    <w:p>
      <w:pPr>
        <w:spacing w:line="400" w:lineRule="exact"/>
        <w:ind w:firstLine="718" w:firstLineChars="342"/>
      </w:pPr>
      <w:r>
        <w:rPr>
          <w:rFonts w:hint="eastAsia"/>
        </w:rPr>
        <w:t>（</w:t>
      </w:r>
      <w:r>
        <w:t>9</w:t>
      </w:r>
      <w:r>
        <w:rPr>
          <w:rFonts w:hint="eastAsia"/>
        </w:rPr>
        <w:t>）财产被接管或冻结的；</w:t>
      </w:r>
    </w:p>
    <w:p>
      <w:pPr>
        <w:spacing w:line="400" w:lineRule="exact"/>
        <w:ind w:firstLine="718" w:firstLineChars="342"/>
      </w:pPr>
      <w:r>
        <w:rPr>
          <w:rFonts w:hint="eastAsia"/>
        </w:rPr>
        <w:t>（1</w:t>
      </w:r>
      <w:r>
        <w:t>0</w:t>
      </w:r>
      <w:r>
        <w:rPr>
          <w:rFonts w:hint="eastAsia"/>
        </w:rPr>
        <w:t>）在最近三年内有骗取中标或严重违约或重大工程质量问题的。</w:t>
      </w:r>
    </w:p>
    <w:p>
      <w:pPr>
        <w:pStyle w:val="29"/>
      </w:pPr>
      <w:bookmarkStart w:id="55" w:name="_Toc179632552"/>
      <w:bookmarkStart w:id="56" w:name="_Toc152045535"/>
      <w:bookmarkStart w:id="57" w:name="_Toc144974503"/>
      <w:bookmarkStart w:id="58" w:name="_Toc152042311"/>
      <w:r>
        <w:rPr>
          <w:rFonts w:hint="eastAsia"/>
        </w:rPr>
        <w:t>1.5 费用承担</w:t>
      </w:r>
      <w:bookmarkEnd w:id="55"/>
      <w:bookmarkEnd w:id="56"/>
      <w:bookmarkEnd w:id="57"/>
      <w:bookmarkEnd w:id="58"/>
    </w:p>
    <w:p>
      <w:pPr>
        <w:spacing w:line="400" w:lineRule="exact"/>
        <w:ind w:firstLine="420" w:firstLineChars="200"/>
      </w:pPr>
      <w:r>
        <w:rPr>
          <w:rFonts w:hint="eastAsia"/>
        </w:rPr>
        <w:t>投标人准备和参加投标活动发生的费用自理。</w:t>
      </w:r>
    </w:p>
    <w:p>
      <w:pPr>
        <w:pStyle w:val="29"/>
      </w:pPr>
      <w:bookmarkStart w:id="59" w:name="_Toc152045536"/>
      <w:bookmarkStart w:id="60" w:name="_Toc152042312"/>
      <w:bookmarkStart w:id="61" w:name="_Toc179632553"/>
      <w:bookmarkStart w:id="62" w:name="_Toc144974504"/>
      <w:r>
        <w:rPr>
          <w:rFonts w:hint="eastAsia"/>
        </w:rPr>
        <w:t>1.6 保密</w:t>
      </w:r>
      <w:bookmarkEnd w:id="59"/>
      <w:bookmarkEnd w:id="60"/>
      <w:bookmarkEnd w:id="61"/>
      <w:bookmarkEnd w:id="62"/>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29"/>
      </w:pPr>
      <w:bookmarkStart w:id="63" w:name="_Toc144974505"/>
      <w:bookmarkStart w:id="64" w:name="_Toc152045537"/>
      <w:bookmarkStart w:id="65" w:name="_Toc152042313"/>
      <w:bookmarkStart w:id="66" w:name="_Toc179632554"/>
      <w:r>
        <w:rPr>
          <w:rFonts w:hint="eastAsia"/>
        </w:rPr>
        <w:t>1.7 语言</w:t>
      </w:r>
      <w:bookmarkEnd w:id="63"/>
      <w:r>
        <w:rPr>
          <w:rFonts w:hint="eastAsia"/>
        </w:rPr>
        <w:t>文字</w:t>
      </w:r>
      <w:bookmarkEnd w:id="64"/>
      <w:bookmarkEnd w:id="65"/>
      <w:bookmarkEnd w:id="66"/>
    </w:p>
    <w:p>
      <w:pPr>
        <w:spacing w:line="400" w:lineRule="exact"/>
        <w:ind w:firstLine="420" w:firstLineChars="200"/>
      </w:pPr>
      <w:r>
        <w:rPr>
          <w:rFonts w:hint="eastAsia"/>
        </w:rPr>
        <w:t>除专用术语外，与招标投标有关的语言均使用中文。必要时专用术语应附有中文注释。</w:t>
      </w:r>
    </w:p>
    <w:p>
      <w:pPr>
        <w:pStyle w:val="29"/>
      </w:pPr>
      <w:bookmarkStart w:id="67" w:name="_Toc179632555"/>
      <w:bookmarkStart w:id="68" w:name="_Toc144974506"/>
      <w:bookmarkStart w:id="69" w:name="_Toc152042314"/>
      <w:bookmarkStart w:id="70" w:name="_Toc152045538"/>
      <w:r>
        <w:rPr>
          <w:rFonts w:hint="eastAsia"/>
        </w:rPr>
        <w:t>1.8 计量单位</w:t>
      </w:r>
      <w:bookmarkEnd w:id="67"/>
      <w:bookmarkEnd w:id="68"/>
      <w:bookmarkEnd w:id="69"/>
      <w:bookmarkEnd w:id="70"/>
    </w:p>
    <w:p>
      <w:pPr>
        <w:spacing w:line="400" w:lineRule="exact"/>
        <w:ind w:firstLine="420" w:firstLineChars="200"/>
      </w:pPr>
      <w:r>
        <w:rPr>
          <w:rFonts w:hint="eastAsia"/>
        </w:rPr>
        <w:t>所有计量均采用中华人民共和国法定计量单位。</w:t>
      </w:r>
    </w:p>
    <w:p>
      <w:pPr>
        <w:pStyle w:val="29"/>
      </w:pPr>
      <w:bookmarkStart w:id="71" w:name="_Toc152042315"/>
      <w:bookmarkStart w:id="72" w:name="_Toc144974507"/>
      <w:bookmarkStart w:id="73" w:name="_Toc179632556"/>
      <w:bookmarkStart w:id="74" w:name="_Toc152045539"/>
      <w:r>
        <w:rPr>
          <w:rFonts w:hint="eastAsia"/>
        </w:rPr>
        <w:t>1.9 踏勘现场</w:t>
      </w:r>
      <w:bookmarkEnd w:id="71"/>
      <w:bookmarkEnd w:id="72"/>
      <w:bookmarkEnd w:id="73"/>
      <w:bookmarkEnd w:id="74"/>
    </w:p>
    <w:p>
      <w:pPr>
        <w:spacing w:line="4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pPr>
      <w:r>
        <w:rPr>
          <w:rFonts w:hint="eastAsia"/>
        </w:rPr>
        <w:t>1.9.2 投标人踏勘现场发生的费用自理。</w:t>
      </w:r>
    </w:p>
    <w:p>
      <w:pPr>
        <w:spacing w:line="400" w:lineRule="exact"/>
        <w:ind w:firstLine="420" w:firstLineChars="200"/>
      </w:pPr>
      <w:r>
        <w:rPr>
          <w:rFonts w:hint="eastAsia"/>
        </w:rPr>
        <w:t>1.9.3 除招标人的原因外，投标人自行负责在踏勘现场中所发生的人员伤亡和财产损失。</w:t>
      </w:r>
    </w:p>
    <w:p>
      <w:pPr>
        <w:spacing w:line="4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29"/>
      </w:pPr>
      <w:bookmarkStart w:id="75" w:name="_Toc179632557"/>
      <w:bookmarkStart w:id="76" w:name="_Toc144974508"/>
      <w:bookmarkStart w:id="77" w:name="_Toc152042316"/>
      <w:bookmarkStart w:id="78" w:name="_Toc152045540"/>
      <w:r>
        <w:rPr>
          <w:rFonts w:hint="eastAsia"/>
        </w:rPr>
        <w:t>1.10 投标预备会</w:t>
      </w:r>
      <w:bookmarkEnd w:id="75"/>
      <w:bookmarkEnd w:id="76"/>
      <w:bookmarkEnd w:id="77"/>
      <w:bookmarkEnd w:id="78"/>
    </w:p>
    <w:p>
      <w:pPr>
        <w:spacing w:line="4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pPr>
      <w:r>
        <w:rPr>
          <w:rFonts w:hint="eastAsia"/>
        </w:rPr>
        <w:t>1.10.2 投标人应在投标人须知前附表规定的时间前，以书面形式将提出的问题送达招标人，以便招标人在会议期间澄清。</w:t>
      </w:r>
    </w:p>
    <w:p>
      <w:pPr>
        <w:spacing w:line="400" w:lineRule="exact"/>
        <w:ind w:firstLine="420" w:firstLineChars="200"/>
      </w:pPr>
      <w:r>
        <w:rPr>
          <w:rFonts w:hint="eastAsia"/>
        </w:rPr>
        <w:t>1.10.3 投标预备会后，招标人在投标人须知前附表规定的时间内，将对投标人所提问题的澄清，以书面方式通知所有购买招标文件的投标人。该澄清内容为招标文件的组成部分。</w:t>
      </w:r>
    </w:p>
    <w:p>
      <w:pPr>
        <w:pStyle w:val="29"/>
      </w:pPr>
      <w:bookmarkStart w:id="79" w:name="_Toc152045541"/>
      <w:bookmarkStart w:id="80" w:name="_Toc152042317"/>
      <w:bookmarkStart w:id="81" w:name="_Toc179632558"/>
      <w:bookmarkStart w:id="82" w:name="_Toc144974509"/>
      <w:r>
        <w:rPr>
          <w:rFonts w:hint="eastAsia"/>
        </w:rPr>
        <w:t>1.11 分包</w:t>
      </w:r>
      <w:bookmarkEnd w:id="79"/>
      <w:bookmarkEnd w:id="80"/>
      <w:bookmarkEnd w:id="81"/>
      <w:bookmarkEnd w:id="82"/>
    </w:p>
    <w:p>
      <w:pPr>
        <w:spacing w:line="400" w:lineRule="exact"/>
        <w:ind w:firstLine="567" w:firstLineChars="270"/>
      </w:pPr>
      <w:r>
        <w:rPr>
          <w:rFonts w:hint="eastAsia"/>
        </w:rPr>
        <w:t>投标人拟在中标后将中标项目的部分非主体、非关键性工作进行分包的，应符合投标人须知前附表规定的分包内容、分包金额和接受分包的第三人资质要求等限制性条件。</w:t>
      </w:r>
    </w:p>
    <w:p>
      <w:pPr>
        <w:pStyle w:val="29"/>
      </w:pPr>
      <w:bookmarkStart w:id="83" w:name="_Toc179632559"/>
      <w:r>
        <w:rPr>
          <w:rFonts w:hint="eastAsia"/>
        </w:rPr>
        <w:t>1.12 偏离</w:t>
      </w:r>
      <w:bookmarkEnd w:id="83"/>
    </w:p>
    <w:p>
      <w:pPr>
        <w:spacing w:line="400" w:lineRule="exact"/>
        <w:ind w:firstLine="359" w:firstLineChars="171"/>
      </w:pPr>
      <w:r>
        <w:rPr>
          <w:rFonts w:hint="eastAsia"/>
        </w:rPr>
        <w:t>投标人须知前附表允许投标文件偏离招标文件某些要求的，偏离应当符合招标文件规定的偏离范围和幅度。</w:t>
      </w:r>
    </w:p>
    <w:p>
      <w:pPr>
        <w:pStyle w:val="28"/>
      </w:pPr>
      <w:bookmarkStart w:id="84" w:name="_Toc144974510"/>
      <w:bookmarkStart w:id="85" w:name="_Toc179632560"/>
      <w:bookmarkStart w:id="86" w:name="_Toc152042318"/>
      <w:bookmarkStart w:id="87" w:name="_Toc152045542"/>
      <w:r>
        <w:rPr>
          <w:rFonts w:hint="eastAsia"/>
        </w:rPr>
        <w:t>2. 招标文件</w:t>
      </w:r>
      <w:bookmarkEnd w:id="84"/>
      <w:bookmarkEnd w:id="85"/>
      <w:bookmarkEnd w:id="86"/>
      <w:bookmarkEnd w:id="87"/>
    </w:p>
    <w:p>
      <w:pPr>
        <w:pStyle w:val="29"/>
      </w:pPr>
      <w:bookmarkStart w:id="88" w:name="_Toc144974511"/>
      <w:bookmarkStart w:id="89" w:name="_Toc179632561"/>
      <w:bookmarkStart w:id="90" w:name="_Toc152042319"/>
      <w:bookmarkStart w:id="91" w:name="_Toc152045543"/>
      <w:r>
        <w:rPr>
          <w:rFonts w:hint="eastAsia"/>
        </w:rPr>
        <w:t>2.1 招标文件的组成</w:t>
      </w:r>
      <w:bookmarkEnd w:id="88"/>
      <w:bookmarkEnd w:id="89"/>
      <w:bookmarkEnd w:id="90"/>
      <w:bookmarkEnd w:id="91"/>
    </w:p>
    <w:p>
      <w:pPr>
        <w:spacing w:line="400" w:lineRule="exact"/>
      </w:pPr>
      <w:r>
        <w:rPr>
          <w:rFonts w:hint="eastAsia"/>
        </w:rPr>
        <w:t>　　本招标文件包括：</w:t>
      </w:r>
    </w:p>
    <w:p>
      <w:pPr>
        <w:spacing w:line="400" w:lineRule="exact"/>
        <w:ind w:firstLine="359" w:firstLineChars="171"/>
      </w:pPr>
      <w:r>
        <w:rPr>
          <w:rFonts w:hint="eastAsia"/>
        </w:rPr>
        <w:t>（1）招标公告；</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 xml:space="preserve">（5）技术要求及工程量清单； </w:t>
      </w:r>
    </w:p>
    <w:p>
      <w:pPr>
        <w:spacing w:line="400" w:lineRule="exact"/>
        <w:ind w:firstLine="359" w:firstLineChars="171"/>
      </w:pPr>
      <w:r>
        <w:rPr>
          <w:rFonts w:hint="eastAsia"/>
        </w:rPr>
        <w:t xml:space="preserve">（6）图纸； </w:t>
      </w:r>
    </w:p>
    <w:p>
      <w:pPr>
        <w:spacing w:line="400" w:lineRule="exact"/>
        <w:ind w:firstLine="359" w:firstLineChars="171"/>
      </w:pPr>
      <w:r>
        <w:rPr>
          <w:rFonts w:hint="eastAsia"/>
        </w:rPr>
        <w:t xml:space="preserve">（7）技术标准和要求；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根据本章第1.10款、第2.2款和第2.3款对招标文件所作的澄清、修改，构成招标文件的组成部分。</w:t>
      </w:r>
    </w:p>
    <w:p>
      <w:pPr>
        <w:pStyle w:val="29"/>
      </w:pPr>
      <w:bookmarkStart w:id="92" w:name="_Toc179632562"/>
      <w:bookmarkStart w:id="93" w:name="_Toc152042320"/>
      <w:bookmarkStart w:id="94" w:name="_Toc144974512"/>
      <w:bookmarkStart w:id="95" w:name="_Toc152045544"/>
      <w:r>
        <w:rPr>
          <w:rFonts w:hint="eastAsia"/>
        </w:rPr>
        <w:t>2.2 招标文件的澄清</w:t>
      </w:r>
      <w:bookmarkEnd w:id="92"/>
      <w:bookmarkEnd w:id="93"/>
      <w:bookmarkEnd w:id="94"/>
      <w:bookmarkEnd w:id="95"/>
    </w:p>
    <w:p>
      <w:pPr>
        <w:spacing w:line="400" w:lineRule="exact"/>
        <w:ind w:firstLine="420" w:firstLineChars="200"/>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pPr>
      <w:r>
        <w:rPr>
          <w:rFonts w:hint="eastAsia"/>
        </w:rPr>
        <w:t>2.2.2 招标文件的澄清将在投标人须知前附表规定的投标截止时间2天前以书面形式发给所有购买招标文件的投标人，但不指明澄清问题的来源。如果澄清发出的时间距投标截止时间不足2天，相应延长投标截止时间。</w:t>
      </w:r>
    </w:p>
    <w:p>
      <w:pPr>
        <w:spacing w:line="400" w:lineRule="exact"/>
        <w:ind w:firstLine="420" w:firstLineChars="200"/>
      </w:pPr>
      <w:r>
        <w:rPr>
          <w:rFonts w:hint="eastAsia"/>
        </w:rPr>
        <w:t>2.2.3 投标人在收到澄清后，应在投标人须知前附表规定的时间内以书面形式通知招标人，确认已收到该澄清。</w:t>
      </w:r>
    </w:p>
    <w:p>
      <w:pPr>
        <w:pStyle w:val="29"/>
      </w:pPr>
      <w:bookmarkStart w:id="96" w:name="_Toc179632563"/>
      <w:bookmarkStart w:id="97" w:name="_Toc152042321"/>
      <w:bookmarkStart w:id="98" w:name="_Toc144974513"/>
      <w:bookmarkStart w:id="99" w:name="_Toc152045545"/>
      <w:r>
        <w:rPr>
          <w:rFonts w:hint="eastAsia"/>
        </w:rPr>
        <w:t>2.3 招标文件的修改</w:t>
      </w:r>
      <w:bookmarkEnd w:id="96"/>
      <w:bookmarkEnd w:id="97"/>
      <w:bookmarkEnd w:id="98"/>
      <w:bookmarkEnd w:id="99"/>
    </w:p>
    <w:p>
      <w:pPr>
        <w:spacing w:line="400" w:lineRule="exact"/>
        <w:ind w:firstLine="420" w:firstLineChars="200"/>
      </w:pPr>
      <w:r>
        <w:rPr>
          <w:rFonts w:hint="eastAsia"/>
        </w:rPr>
        <w:t>2.3.1 在投标截止时间</w:t>
      </w:r>
      <w:r>
        <w:t>2</w:t>
      </w:r>
      <w:r>
        <w:rPr>
          <w:rFonts w:hint="eastAsia"/>
        </w:rPr>
        <w:t>天前，招标人可以书面形式修改招标文件，并通知所有已购买招标文件的投标人。如果修改招标文件的时间距投标截止时间不足</w:t>
      </w:r>
      <w:r>
        <w:t>2</w:t>
      </w:r>
      <w:r>
        <w:rPr>
          <w:rFonts w:hint="eastAsia"/>
        </w:rPr>
        <w:t xml:space="preserve">天，相应延长投标截止时间。 </w:t>
      </w:r>
    </w:p>
    <w:p>
      <w:pPr>
        <w:spacing w:line="400" w:lineRule="exact"/>
        <w:ind w:firstLine="420" w:firstLineChars="200"/>
      </w:pPr>
      <w:r>
        <w:rPr>
          <w:rFonts w:hint="eastAsia"/>
        </w:rPr>
        <w:t>2.3.2 投标人收到修改内容后，应在投标人须知前附表规定的时间内以书面形式通知招标人，确认已收到该修改。</w:t>
      </w:r>
    </w:p>
    <w:p>
      <w:pPr>
        <w:pStyle w:val="28"/>
      </w:pPr>
      <w:bookmarkStart w:id="100" w:name="_Toc144974514"/>
      <w:bookmarkStart w:id="101" w:name="_Toc152042322"/>
      <w:bookmarkStart w:id="102" w:name="_Toc179632564"/>
      <w:bookmarkStart w:id="103" w:name="_Toc152045546"/>
      <w:r>
        <w:rPr>
          <w:rFonts w:hint="eastAsia"/>
        </w:rPr>
        <w:t>3. 投标文件</w:t>
      </w:r>
      <w:bookmarkEnd w:id="100"/>
      <w:bookmarkEnd w:id="101"/>
      <w:bookmarkEnd w:id="102"/>
      <w:bookmarkEnd w:id="103"/>
    </w:p>
    <w:p>
      <w:pPr>
        <w:pStyle w:val="29"/>
      </w:pPr>
      <w:bookmarkStart w:id="104" w:name="_Toc152045547"/>
      <w:bookmarkStart w:id="105" w:name="_Toc152042323"/>
      <w:bookmarkStart w:id="106" w:name="_Toc144974515"/>
      <w:bookmarkStart w:id="107" w:name="_Toc179632565"/>
      <w:r>
        <w:rPr>
          <w:rFonts w:hint="eastAsia"/>
        </w:rPr>
        <w:t>3.1 投标文件的组成</w:t>
      </w:r>
      <w:bookmarkEnd w:id="104"/>
      <w:bookmarkEnd w:id="105"/>
      <w:bookmarkEnd w:id="106"/>
      <w:bookmarkEnd w:id="107"/>
    </w:p>
    <w:p>
      <w:pPr>
        <w:spacing w:line="400" w:lineRule="exact"/>
      </w:pPr>
      <w:r>
        <w:rPr>
          <w:rFonts w:hint="eastAsia"/>
        </w:rPr>
        <w:t>3.1.1投标文件应包括下列内容：</w:t>
      </w:r>
    </w:p>
    <w:p>
      <w:pPr>
        <w:pStyle w:val="21"/>
        <w:ind w:firstLine="422"/>
        <w:rPr>
          <w:b/>
          <w:bCs/>
        </w:rPr>
      </w:pPr>
      <w:r>
        <w:rPr>
          <w:rFonts w:hint="eastAsia"/>
          <w:b/>
          <w:bCs/>
        </w:rPr>
        <w:t>价格标：</w:t>
      </w:r>
    </w:p>
    <w:p>
      <w:pPr>
        <w:numPr>
          <w:ilvl w:val="0"/>
          <w:numId w:val="1"/>
        </w:numPr>
        <w:spacing w:line="400" w:lineRule="exact"/>
        <w:ind w:firstLine="569" w:firstLineChars="271"/>
      </w:pPr>
      <w:r>
        <w:rPr>
          <w:rFonts w:hint="eastAsia"/>
        </w:rPr>
        <w:t>投标函</w:t>
      </w:r>
    </w:p>
    <w:p>
      <w:pPr>
        <w:numPr>
          <w:ilvl w:val="0"/>
          <w:numId w:val="1"/>
        </w:numPr>
        <w:spacing w:line="400" w:lineRule="exact"/>
        <w:ind w:firstLine="569" w:firstLineChars="271"/>
      </w:pPr>
      <w:r>
        <w:rPr>
          <w:rFonts w:hint="eastAsia"/>
        </w:rPr>
        <w:t>预算报价</w:t>
      </w:r>
    </w:p>
    <w:p>
      <w:pPr>
        <w:spacing w:line="400" w:lineRule="exact"/>
        <w:ind w:firstLine="569" w:firstLineChars="271"/>
      </w:pPr>
      <w:r>
        <w:rPr>
          <w:rFonts w:hint="eastAsia"/>
        </w:rPr>
        <w:t>三、其他资料</w:t>
      </w:r>
    </w:p>
    <w:p>
      <w:pPr>
        <w:pStyle w:val="21"/>
        <w:ind w:firstLine="422"/>
        <w:rPr>
          <w:b/>
          <w:bCs/>
        </w:rPr>
      </w:pPr>
      <w:r>
        <w:rPr>
          <w:rFonts w:hint="eastAsia"/>
          <w:b/>
          <w:bCs/>
        </w:rPr>
        <w:t>商 务 技 术 标：</w:t>
      </w:r>
    </w:p>
    <w:p>
      <w:pPr>
        <w:pStyle w:val="21"/>
        <w:ind w:firstLine="630" w:firstLineChars="300"/>
      </w:pPr>
      <w:r>
        <w:rPr>
          <w:rFonts w:hint="eastAsia"/>
        </w:rPr>
        <w:t>一、法定代表人身份证明</w:t>
      </w:r>
    </w:p>
    <w:p>
      <w:pPr>
        <w:pStyle w:val="21"/>
        <w:ind w:firstLine="630" w:firstLineChars="300"/>
      </w:pPr>
      <w:r>
        <w:rPr>
          <w:rFonts w:hint="eastAsia"/>
        </w:rPr>
        <w:t>二、授权委托书</w:t>
      </w:r>
    </w:p>
    <w:p>
      <w:pPr>
        <w:pStyle w:val="21"/>
        <w:ind w:firstLine="630" w:firstLineChars="300"/>
      </w:pPr>
      <w:r>
        <w:rPr>
          <w:rFonts w:hint="eastAsia"/>
        </w:rPr>
        <w:t>三、投标保证金</w:t>
      </w:r>
    </w:p>
    <w:p>
      <w:pPr>
        <w:pStyle w:val="21"/>
        <w:ind w:firstLine="630" w:firstLineChars="300"/>
      </w:pPr>
      <w:r>
        <w:rPr>
          <w:rFonts w:hint="eastAsia"/>
        </w:rPr>
        <w:t>四、施工组织设计</w:t>
      </w:r>
    </w:p>
    <w:p>
      <w:pPr>
        <w:pStyle w:val="21"/>
        <w:ind w:firstLine="630" w:firstLineChars="300"/>
      </w:pPr>
      <w:r>
        <w:rPr>
          <w:rFonts w:hint="eastAsia"/>
        </w:rPr>
        <w:t>五、项目管理机构</w:t>
      </w:r>
    </w:p>
    <w:p>
      <w:pPr>
        <w:pStyle w:val="21"/>
        <w:ind w:firstLine="630" w:firstLineChars="300"/>
      </w:pPr>
      <w:r>
        <w:rPr>
          <w:rFonts w:hint="eastAsia"/>
        </w:rPr>
        <w:t>六、拟分包项目情况表</w:t>
      </w:r>
    </w:p>
    <w:p>
      <w:pPr>
        <w:pStyle w:val="21"/>
        <w:ind w:firstLine="630" w:firstLineChars="300"/>
      </w:pPr>
      <w:r>
        <w:rPr>
          <w:rFonts w:hint="eastAsia"/>
        </w:rPr>
        <w:t>七、资格审查资料</w:t>
      </w:r>
    </w:p>
    <w:p>
      <w:pPr>
        <w:pStyle w:val="21"/>
        <w:ind w:firstLine="630" w:firstLineChars="300"/>
        <w:rPr>
          <w:b/>
          <w:bCs/>
        </w:rPr>
      </w:pPr>
      <w:r>
        <w:rPr>
          <w:rFonts w:hint="eastAsia"/>
        </w:rPr>
        <w:t>八、其他材料</w:t>
      </w:r>
    </w:p>
    <w:p>
      <w:pPr>
        <w:spacing w:line="400" w:lineRule="exact"/>
        <w:ind w:firstLine="359" w:firstLineChars="171"/>
      </w:pPr>
      <w:r>
        <w:rPr>
          <w:rFonts w:hint="eastAsia"/>
        </w:rPr>
        <w:t xml:space="preserve">3.1.2 投标人须知前附表规定不接受联合体投标的，或投标人没有组成联合体的，投标文件不包括本章第3.1.1（3）目所指的联合体协议书。 </w:t>
      </w:r>
    </w:p>
    <w:p>
      <w:pPr>
        <w:pStyle w:val="29"/>
      </w:pPr>
      <w:bookmarkStart w:id="108" w:name="_Toc152045548"/>
      <w:bookmarkStart w:id="109" w:name="_Toc179632566"/>
      <w:bookmarkStart w:id="110" w:name="_Toc144974516"/>
      <w:bookmarkStart w:id="111" w:name="_Toc152042324"/>
      <w:r>
        <w:rPr>
          <w:rFonts w:hint="eastAsia"/>
        </w:rPr>
        <w:t>3.2 投标报价</w:t>
      </w:r>
      <w:bookmarkEnd w:id="108"/>
      <w:bookmarkEnd w:id="109"/>
      <w:bookmarkEnd w:id="110"/>
      <w:bookmarkEnd w:id="111"/>
    </w:p>
    <w:p>
      <w:pPr>
        <w:spacing w:line="400" w:lineRule="exact"/>
        <w:ind w:firstLine="420" w:firstLineChars="200"/>
      </w:pPr>
      <w:r>
        <w:rPr>
          <w:rFonts w:hint="eastAsia"/>
        </w:rPr>
        <w:t>3.2.1 投标人应按第七章“投标文件格式”的要求填写价格清单。</w:t>
      </w:r>
    </w:p>
    <w:p>
      <w:pPr>
        <w:spacing w:line="440" w:lineRule="exact"/>
        <w:ind w:firstLine="420" w:firstLineChars="200"/>
        <w:rPr>
          <w:szCs w:val="21"/>
        </w:rPr>
      </w:pPr>
      <w:r>
        <w:rPr>
          <w:rFonts w:hint="eastAsia"/>
        </w:rPr>
        <w:t xml:space="preserve">3.2.2 </w:t>
      </w:r>
      <w:r>
        <w:rPr>
          <w:rFonts w:hint="eastAsia"/>
          <w:szCs w:val="21"/>
        </w:rPr>
        <w:t>投标人应充分了解施工场地的</w:t>
      </w:r>
      <w:r>
        <w:rPr>
          <w:szCs w:val="21"/>
        </w:rPr>
        <w:t>位置、周边</w:t>
      </w:r>
      <w:r>
        <w:rPr>
          <w:rFonts w:hint="eastAsia"/>
          <w:szCs w:val="21"/>
        </w:rPr>
        <w:t>环境</w:t>
      </w:r>
      <w:r>
        <w:rPr>
          <w:szCs w:val="21"/>
        </w:rPr>
        <w:t>、道路、装卸、保管、安装限制</w:t>
      </w:r>
      <w:r>
        <w:rPr>
          <w:rFonts w:hint="eastAsia"/>
          <w:szCs w:val="21"/>
        </w:rPr>
        <w:t>以</w:t>
      </w:r>
      <w:r>
        <w:rPr>
          <w:szCs w:val="21"/>
        </w:rPr>
        <w:t>及影响</w:t>
      </w:r>
      <w:r>
        <w:rPr>
          <w:rFonts w:hint="eastAsia"/>
          <w:szCs w:val="21"/>
        </w:rPr>
        <w:t>投标报价的其他要素。投标人</w:t>
      </w:r>
      <w:r>
        <w:rPr>
          <w:szCs w:val="21"/>
        </w:rPr>
        <w:t>根据</w:t>
      </w:r>
      <w:r>
        <w:rPr>
          <w:rFonts w:hint="eastAsia"/>
          <w:szCs w:val="21"/>
        </w:rPr>
        <w:t>投标</w:t>
      </w:r>
      <w:r>
        <w:rPr>
          <w:szCs w:val="21"/>
        </w:rPr>
        <w:t>设计</w:t>
      </w:r>
      <w:r>
        <w:rPr>
          <w:rFonts w:hint="eastAsia"/>
          <w:szCs w:val="21"/>
        </w:rPr>
        <w:t>，结合</w:t>
      </w:r>
      <w:r>
        <w:rPr>
          <w:szCs w:val="21"/>
        </w:rPr>
        <w:t>市场情况进行投标报价。</w:t>
      </w:r>
    </w:p>
    <w:p>
      <w:pPr>
        <w:spacing w:line="400" w:lineRule="exact"/>
        <w:ind w:firstLine="420" w:firstLineChars="200"/>
      </w:pPr>
      <w:r>
        <w:rPr>
          <w:rFonts w:hint="eastAsia"/>
        </w:rPr>
        <w:t>3.2.3 投标人在投标截止时间前修改投标函中的投标报价总额，应同时修改投标文件“价格清单”中的相应报价，投标报价总额为各分项金额之和。此修改须符合本章第4.3款的有关要求。</w:t>
      </w:r>
    </w:p>
    <w:p>
      <w:pPr>
        <w:spacing w:line="400" w:lineRule="exact"/>
        <w:ind w:firstLine="420" w:firstLineChars="200"/>
      </w:pPr>
      <w:r>
        <w:rPr>
          <w:rFonts w:hint="eastAsia"/>
        </w:rPr>
        <w:t>3.2.4 招标人设有最高投标限价的，投标人的投标报价不得超过最高投标限价，最高投标限价或其计算方法在投标人须知前附表中载明。</w:t>
      </w:r>
    </w:p>
    <w:p>
      <w:pPr>
        <w:spacing w:line="400" w:lineRule="exact"/>
        <w:ind w:firstLine="420" w:firstLineChars="200"/>
      </w:pPr>
      <w:r>
        <w:rPr>
          <w:bCs/>
        </w:rPr>
        <w:t>3.2.</w:t>
      </w:r>
      <w:r>
        <w:rPr>
          <w:rFonts w:hint="eastAsia"/>
          <w:bCs/>
        </w:rPr>
        <w:t>5</w:t>
      </w:r>
      <w:r>
        <w:rPr>
          <w:bCs/>
        </w:rPr>
        <w:t xml:space="preserve"> </w:t>
      </w:r>
      <w:r>
        <w:rPr>
          <w:rFonts w:hAnsi="宋体"/>
          <w:bCs/>
        </w:rPr>
        <w:t>投标报价的其他要求见投标人须知前附表。</w:t>
      </w:r>
    </w:p>
    <w:p>
      <w:pPr>
        <w:pStyle w:val="29"/>
      </w:pPr>
      <w:bookmarkStart w:id="112" w:name="_Toc152045549"/>
      <w:bookmarkStart w:id="113" w:name="_Toc144974517"/>
      <w:bookmarkStart w:id="114" w:name="_Toc179632567"/>
      <w:bookmarkStart w:id="115" w:name="_Toc152042325"/>
      <w:r>
        <w:rPr>
          <w:rFonts w:hint="eastAsia"/>
        </w:rPr>
        <w:t>3.3 投标有效期</w:t>
      </w:r>
      <w:bookmarkEnd w:id="112"/>
      <w:bookmarkEnd w:id="113"/>
      <w:bookmarkEnd w:id="114"/>
      <w:bookmarkEnd w:id="115"/>
    </w:p>
    <w:p>
      <w:pPr>
        <w:spacing w:line="400" w:lineRule="exact"/>
        <w:ind w:firstLine="420" w:firstLineChars="200"/>
      </w:pPr>
      <w:r>
        <w:rPr>
          <w:rFonts w:hint="eastAsia"/>
        </w:rPr>
        <w:t>3.3.1 在投标人须知前附表规定的投标有效期内，投标人不得要求撤销或修改其投标文件。</w:t>
      </w:r>
    </w:p>
    <w:p>
      <w:pPr>
        <w:spacing w:line="400" w:lineRule="exact"/>
        <w:ind w:firstLine="420" w:firstLineChars="200"/>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9"/>
      </w:pPr>
      <w:bookmarkStart w:id="116" w:name="_Toc152042326"/>
      <w:bookmarkStart w:id="117" w:name="_Toc144974518"/>
      <w:bookmarkStart w:id="118" w:name="_Toc179632568"/>
      <w:bookmarkStart w:id="119" w:name="_Toc152045550"/>
      <w:r>
        <w:rPr>
          <w:rFonts w:hint="eastAsia"/>
        </w:rPr>
        <w:t>3.4 投标保证金</w:t>
      </w:r>
      <w:bookmarkEnd w:id="116"/>
      <w:bookmarkEnd w:id="117"/>
      <w:bookmarkEnd w:id="118"/>
      <w:bookmarkEnd w:id="119"/>
    </w:p>
    <w:p>
      <w:pPr>
        <w:spacing w:line="400" w:lineRule="exact"/>
        <w:ind w:firstLine="420" w:firstLineChars="200"/>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pPr>
      <w:r>
        <w:rPr>
          <w:rFonts w:hint="eastAsia"/>
        </w:rPr>
        <w:t>3.4.2 投标人不按本章第3.4.1项要求提交投标保证金的，其投标文件作废标处理。</w:t>
      </w:r>
    </w:p>
    <w:p>
      <w:pPr>
        <w:spacing w:line="400" w:lineRule="exact"/>
        <w:ind w:firstLine="420" w:firstLineChars="200"/>
      </w:pPr>
      <w:r>
        <w:rPr>
          <w:rFonts w:hint="eastAsia"/>
        </w:rPr>
        <w:t>3.4.3 招标人与中标人签订合同后5个工作日内，向未中标的投标人和中标人退还投标保证金。</w:t>
      </w:r>
    </w:p>
    <w:p>
      <w:pPr>
        <w:spacing w:line="400" w:lineRule="exact"/>
        <w:ind w:firstLine="420" w:firstLineChars="200"/>
      </w:pPr>
      <w:r>
        <w:rPr>
          <w:rFonts w:hint="eastAsia"/>
        </w:rPr>
        <w:t xml:space="preserve">3.4.4 有下列情形之一的，投标保证金将不予退还： </w:t>
      </w:r>
    </w:p>
    <w:p>
      <w:pPr>
        <w:spacing w:line="400" w:lineRule="exact"/>
        <w:ind w:firstLine="210" w:firstLineChars="100"/>
        <w:jc w:val="left"/>
      </w:pPr>
      <w:r>
        <w:rPr>
          <w:rFonts w:hint="eastAsia"/>
        </w:rPr>
        <w:t>（1）投标人在规定的投标有效期内撤销或修改其投标文件；</w:t>
      </w:r>
    </w:p>
    <w:p>
      <w:pPr>
        <w:spacing w:line="400" w:lineRule="exact"/>
        <w:ind w:firstLine="210" w:firstLineChars="100"/>
      </w:pPr>
      <w:r>
        <w:rPr>
          <w:rFonts w:hint="eastAsia"/>
        </w:rPr>
        <w:t>（2）中标人在收到中标通知书后，无正当理由拒签合同协议书或未按招标文件规定提交履约担保。</w:t>
      </w:r>
    </w:p>
    <w:p>
      <w:pPr>
        <w:pStyle w:val="29"/>
      </w:pPr>
      <w:bookmarkStart w:id="120" w:name="_Toc152042328"/>
      <w:bookmarkStart w:id="121" w:name="_Toc152045552"/>
      <w:bookmarkStart w:id="122" w:name="_Toc179632570"/>
      <w:bookmarkStart w:id="123" w:name="_Toc144974520"/>
      <w:r>
        <w:rPr>
          <w:rFonts w:hint="eastAsia"/>
        </w:rPr>
        <w:t>3.5 资格审查资料</w:t>
      </w:r>
      <w:bookmarkEnd w:id="120"/>
      <w:bookmarkEnd w:id="121"/>
      <w:bookmarkEnd w:id="122"/>
      <w:bookmarkEnd w:id="123"/>
    </w:p>
    <w:p>
      <w:pPr>
        <w:spacing w:line="400" w:lineRule="exact"/>
        <w:ind w:firstLine="420" w:firstLineChars="200"/>
      </w:pPr>
      <w:r>
        <w:rPr>
          <w:rFonts w:hint="eastAsia"/>
        </w:rPr>
        <w:t>3.5.1 “投标人基本情况表”应附投标人营业执照副本及其年检合格的证明材料等材料的复印件。</w:t>
      </w:r>
    </w:p>
    <w:p>
      <w:pPr>
        <w:spacing w:line="400" w:lineRule="exact"/>
        <w:ind w:firstLine="420" w:firstLineChars="200"/>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pPr>
      <w:r>
        <w:rPr>
          <w:rFonts w:hint="eastAsia"/>
        </w:rPr>
        <w:t>3.5.4 “正在施工和新承接的项目情况表”应附中标通知书和（或）合同协议书复印件。每张表格只填写一个项目，并标明序号。</w:t>
      </w:r>
    </w:p>
    <w:p>
      <w:pPr>
        <w:spacing w:line="400" w:lineRule="exact"/>
        <w:ind w:firstLine="420" w:firstLineChars="200"/>
      </w:pPr>
      <w:r>
        <w:rPr>
          <w:rFonts w:hint="eastAsia"/>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pPr>
      <w:r>
        <w:rPr>
          <w:rFonts w:hint="eastAsia"/>
        </w:rPr>
        <w:t>3.5.6 投标人须知前附表规定接受联合体投标的，本章第3.5.1项至第3.5.5项规定的表格和资料应包括联合体各方相关情况。</w:t>
      </w:r>
    </w:p>
    <w:p>
      <w:pPr>
        <w:pStyle w:val="29"/>
      </w:pPr>
      <w:bookmarkStart w:id="124" w:name="_Toc179632571"/>
      <w:bookmarkStart w:id="125" w:name="_Toc144974521"/>
      <w:bookmarkStart w:id="126" w:name="_Toc152042329"/>
      <w:bookmarkStart w:id="127" w:name="_Toc152045553"/>
      <w:r>
        <w:rPr>
          <w:rFonts w:hint="eastAsia"/>
        </w:rPr>
        <w:t>3.6 备选投标方案</w:t>
      </w:r>
      <w:bookmarkEnd w:id="124"/>
      <w:bookmarkEnd w:id="125"/>
      <w:bookmarkEnd w:id="126"/>
      <w:bookmarkEnd w:id="127"/>
    </w:p>
    <w:p>
      <w:pPr>
        <w:spacing w:line="4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9"/>
      </w:pPr>
      <w:bookmarkStart w:id="128" w:name="_Toc152045554"/>
      <w:bookmarkStart w:id="129" w:name="_Toc152042330"/>
      <w:bookmarkStart w:id="130" w:name="_Toc144974522"/>
      <w:bookmarkStart w:id="131" w:name="_Toc179632572"/>
      <w:r>
        <w:rPr>
          <w:rFonts w:hint="eastAsia"/>
        </w:rPr>
        <w:t>3.7 投标文件的编制</w:t>
      </w:r>
      <w:bookmarkEnd w:id="128"/>
      <w:bookmarkEnd w:id="129"/>
      <w:bookmarkEnd w:id="130"/>
      <w:bookmarkEnd w:id="131"/>
    </w:p>
    <w:p>
      <w:pPr>
        <w:spacing w:line="400" w:lineRule="exact"/>
        <w:ind w:firstLine="420" w:firstLineChars="200"/>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pPr>
      <w:r>
        <w:rPr>
          <w:rFonts w:hint="eastAsia"/>
        </w:rPr>
        <w:t>3.7.4 投标文件正本一份, 副本份数见投标人须知前附表。正本和副本的封面上应清楚地标记“正本”或“副本”的字样。当副本和正本不一致时，以正本为准。</w:t>
      </w:r>
    </w:p>
    <w:p>
      <w:pPr>
        <w:spacing w:line="400" w:lineRule="exact"/>
        <w:ind w:firstLine="420" w:firstLineChars="200"/>
      </w:pPr>
      <w:r>
        <w:rPr>
          <w:rFonts w:hint="eastAsia"/>
        </w:rPr>
        <w:t>3.7.5 投标文件的正本与副本应分别装订成册，并编制目录，具体装订要求见投标人须知前附表规定。</w:t>
      </w:r>
    </w:p>
    <w:p>
      <w:pPr>
        <w:pStyle w:val="28"/>
        <w:rPr>
          <w:rFonts w:hint="default" w:eastAsia="黑体"/>
          <w:lang w:val="en-US" w:eastAsia="zh-CN"/>
        </w:rPr>
      </w:pPr>
      <w:bookmarkStart w:id="132" w:name="_Toc152042331"/>
      <w:bookmarkStart w:id="133" w:name="_Toc152045555"/>
      <w:bookmarkStart w:id="134" w:name="_Toc179632573"/>
      <w:bookmarkStart w:id="135" w:name="_Toc144974523"/>
      <w:r>
        <w:rPr>
          <w:rFonts w:hint="eastAsia"/>
        </w:rPr>
        <w:t>4. 投标</w:t>
      </w:r>
      <w:bookmarkEnd w:id="132"/>
      <w:bookmarkEnd w:id="133"/>
      <w:bookmarkEnd w:id="134"/>
      <w:bookmarkEnd w:id="135"/>
      <w:r>
        <w:rPr>
          <w:rFonts w:hint="eastAsia"/>
          <w:lang w:val="en-US" w:eastAsia="zh-CN"/>
        </w:rPr>
        <w:t xml:space="preserve">  金隅冀东阳光采购平台投标</w:t>
      </w:r>
      <w:bookmarkStart w:id="407" w:name="_GoBack"/>
      <w:bookmarkEnd w:id="407"/>
    </w:p>
    <w:p>
      <w:pPr>
        <w:pStyle w:val="28"/>
      </w:pPr>
      <w:bookmarkStart w:id="136" w:name="_Toc144974527"/>
      <w:bookmarkStart w:id="137" w:name="_Toc152042335"/>
      <w:bookmarkStart w:id="138" w:name="_Toc152045559"/>
      <w:bookmarkStart w:id="139" w:name="_Toc179632577"/>
      <w:r>
        <w:rPr>
          <w:rFonts w:hint="eastAsia"/>
        </w:rPr>
        <w:t>5. 开标</w:t>
      </w:r>
      <w:bookmarkEnd w:id="136"/>
      <w:bookmarkEnd w:id="137"/>
      <w:bookmarkEnd w:id="138"/>
      <w:bookmarkEnd w:id="139"/>
    </w:p>
    <w:p>
      <w:pPr>
        <w:pStyle w:val="29"/>
      </w:pPr>
      <w:bookmarkStart w:id="140" w:name="_Toc152042336"/>
      <w:bookmarkStart w:id="141" w:name="_Toc152045560"/>
      <w:bookmarkStart w:id="142" w:name="_Toc144974528"/>
      <w:bookmarkStart w:id="143" w:name="_Toc179632578"/>
      <w:r>
        <w:rPr>
          <w:rFonts w:hint="eastAsia"/>
        </w:rPr>
        <w:t>5.1 开标时间和地点</w:t>
      </w:r>
      <w:bookmarkEnd w:id="140"/>
      <w:bookmarkEnd w:id="141"/>
      <w:bookmarkEnd w:id="142"/>
      <w:bookmarkEnd w:id="143"/>
    </w:p>
    <w:p>
      <w:pPr>
        <w:spacing w:line="400" w:lineRule="exact"/>
        <w:ind w:firstLine="420" w:firstLineChars="200"/>
      </w:pPr>
      <w:r>
        <w:rPr>
          <w:rFonts w:hint="eastAsia"/>
        </w:rPr>
        <w:t>招标人在本章第2.2.2项规定的投标截止时间（开标时间）和投标人须知前附表规定的地点公开开标，并邀请所有投标人的法定代表人或其委托代理人准时参加。</w:t>
      </w:r>
    </w:p>
    <w:p>
      <w:pPr>
        <w:pStyle w:val="29"/>
      </w:pPr>
      <w:bookmarkStart w:id="144" w:name="_Toc152042337"/>
      <w:bookmarkStart w:id="145" w:name="_Toc152045561"/>
      <w:bookmarkStart w:id="146" w:name="_Toc144974529"/>
      <w:bookmarkStart w:id="147" w:name="_Toc179632579"/>
      <w:r>
        <w:rPr>
          <w:rFonts w:hint="eastAsia"/>
        </w:rPr>
        <w:t>5.2 开标程序</w:t>
      </w:r>
      <w:bookmarkEnd w:id="144"/>
      <w:bookmarkEnd w:id="145"/>
      <w:bookmarkEnd w:id="146"/>
      <w:bookmarkEnd w:id="147"/>
    </w:p>
    <w:p>
      <w:pPr>
        <w:spacing w:line="400" w:lineRule="exact"/>
        <w:ind w:firstLine="420" w:firstLineChars="200"/>
      </w:pPr>
      <w:r>
        <w:rPr>
          <w:rFonts w:hint="eastAsia"/>
        </w:rPr>
        <w:t>主持人按下列程序进行开标：</w:t>
      </w:r>
    </w:p>
    <w:p>
      <w:pPr>
        <w:spacing w:line="400" w:lineRule="exact"/>
        <w:ind w:firstLine="359" w:firstLineChars="171"/>
      </w:pPr>
      <w:r>
        <w:rPr>
          <w:rFonts w:hint="eastAsia"/>
        </w:rPr>
        <w:t>（1）宣布开标纪律；</w:t>
      </w:r>
    </w:p>
    <w:p>
      <w:pPr>
        <w:spacing w:line="400" w:lineRule="exact"/>
        <w:ind w:firstLine="359" w:firstLineChars="171"/>
      </w:pPr>
      <w:r>
        <w:rPr>
          <w:rFonts w:hint="eastAsia"/>
        </w:rPr>
        <w:t>（2）公布在投标截止时间前递交投标文件的投标人名称，并点名确认投标人是否派人到场；</w:t>
      </w:r>
    </w:p>
    <w:p>
      <w:pPr>
        <w:spacing w:line="400" w:lineRule="exact"/>
        <w:ind w:firstLine="359" w:firstLineChars="171"/>
      </w:pPr>
      <w:r>
        <w:rPr>
          <w:rFonts w:hint="eastAsia"/>
        </w:rPr>
        <w:t>（3）宣布开标人、唱标人、记录人、监标人等有关人员姓名；</w:t>
      </w:r>
    </w:p>
    <w:p>
      <w:pPr>
        <w:spacing w:line="400" w:lineRule="exact"/>
        <w:ind w:firstLine="359" w:firstLineChars="171"/>
      </w:pPr>
      <w:r>
        <w:rPr>
          <w:rFonts w:hint="eastAsia"/>
        </w:rPr>
        <w:t>（4）按照投标人须知前附表规定检查投标文件的密封情况；</w:t>
      </w:r>
    </w:p>
    <w:p>
      <w:pPr>
        <w:spacing w:line="400" w:lineRule="exact"/>
        <w:ind w:firstLine="359" w:firstLineChars="171"/>
      </w:pPr>
      <w:r>
        <w:rPr>
          <w:rFonts w:hint="eastAsia"/>
        </w:rPr>
        <w:t>（5）按照投标人须知前附表的规定确定并宣布投标文件开标顺序；</w:t>
      </w:r>
    </w:p>
    <w:p>
      <w:pPr>
        <w:spacing w:line="400" w:lineRule="exact"/>
        <w:ind w:firstLine="359" w:firstLineChars="171"/>
      </w:pPr>
      <w:r>
        <w:rPr>
          <w:rFonts w:hint="eastAsia"/>
        </w:rPr>
        <w:t xml:space="preserve">（6）设有标底的，公布标底； </w:t>
      </w:r>
    </w:p>
    <w:p>
      <w:pPr>
        <w:spacing w:line="400" w:lineRule="exact"/>
        <w:ind w:firstLine="359" w:firstLineChars="171"/>
      </w:pPr>
      <w:r>
        <w:rPr>
          <w:rFonts w:hint="eastAsia"/>
        </w:rPr>
        <w:t>（7）按照宣布的开标顺序当众开标，公布投标人名称、标段名称、投标保证金的递交情况、投标报价、质量目标、工期及其他内容，并记录在案；</w:t>
      </w:r>
    </w:p>
    <w:p>
      <w:pPr>
        <w:spacing w:line="400" w:lineRule="exact"/>
        <w:ind w:firstLine="359" w:firstLineChars="171"/>
      </w:pPr>
      <w:r>
        <w:rPr>
          <w:rFonts w:hint="eastAsia"/>
        </w:rPr>
        <w:t>（8）开标结束。</w:t>
      </w:r>
    </w:p>
    <w:p>
      <w:pPr>
        <w:pStyle w:val="28"/>
      </w:pPr>
      <w:bookmarkStart w:id="148" w:name="_Toc152045562"/>
      <w:bookmarkStart w:id="149" w:name="_Toc144974530"/>
      <w:bookmarkStart w:id="150" w:name="_Toc179632580"/>
      <w:bookmarkStart w:id="151" w:name="_Toc152042338"/>
      <w:r>
        <w:rPr>
          <w:rFonts w:hint="eastAsia"/>
        </w:rPr>
        <w:t>6. 评标</w:t>
      </w:r>
      <w:bookmarkEnd w:id="148"/>
      <w:bookmarkEnd w:id="149"/>
      <w:bookmarkEnd w:id="150"/>
      <w:bookmarkEnd w:id="151"/>
    </w:p>
    <w:p>
      <w:pPr>
        <w:pStyle w:val="29"/>
      </w:pPr>
      <w:bookmarkStart w:id="152" w:name="_Toc152045563"/>
      <w:bookmarkStart w:id="153" w:name="_Toc144974531"/>
      <w:bookmarkStart w:id="154" w:name="_Toc179632581"/>
      <w:bookmarkStart w:id="155" w:name="_Toc152042339"/>
      <w:r>
        <w:rPr>
          <w:rFonts w:hint="eastAsia"/>
        </w:rPr>
        <w:t>6.1 评标委员会</w:t>
      </w:r>
      <w:bookmarkEnd w:id="152"/>
      <w:bookmarkEnd w:id="153"/>
      <w:bookmarkEnd w:id="154"/>
      <w:bookmarkEnd w:id="155"/>
    </w:p>
    <w:p>
      <w:pPr>
        <w:spacing w:line="400" w:lineRule="exact"/>
        <w:ind w:firstLine="420" w:firstLineChars="200"/>
      </w:pPr>
      <w:r>
        <w:rPr>
          <w:rFonts w:hint="eastAsia"/>
        </w:rPr>
        <w:t>6.1.1 评标由招标人依法组建的评标委员会负责。评标委员会由招标人熟悉相关业务的代表，以及有关技术、经济</w:t>
      </w:r>
    </w:p>
    <w:p>
      <w:pPr>
        <w:spacing w:line="400" w:lineRule="exact"/>
        <w:ind w:firstLine="420" w:firstLineChars="200"/>
      </w:pPr>
      <w:r>
        <w:rPr>
          <w:rFonts w:hint="eastAsia"/>
        </w:rPr>
        <w:t>等方面的专家组成。评标委员会成员人数以及技术、经济等方面专家的确定方式见投标人须知前附表。</w:t>
      </w:r>
    </w:p>
    <w:p>
      <w:pPr>
        <w:spacing w:line="400" w:lineRule="exact"/>
        <w:ind w:firstLine="420" w:firstLineChars="200"/>
      </w:pPr>
      <w:r>
        <w:rPr>
          <w:rFonts w:hint="eastAsia"/>
        </w:rPr>
        <w:t>6.1.2 评标委员会成员有下列情形之一的，应当回避：</w:t>
      </w:r>
    </w:p>
    <w:p>
      <w:pPr>
        <w:spacing w:line="400" w:lineRule="exact"/>
        <w:ind w:firstLine="718" w:firstLineChars="342"/>
      </w:pPr>
      <w:r>
        <w:rPr>
          <w:rFonts w:hint="eastAsia"/>
        </w:rPr>
        <w:t>（1）招标人或投标人的主要负责人的近亲属；</w:t>
      </w:r>
    </w:p>
    <w:p>
      <w:pPr>
        <w:spacing w:line="400" w:lineRule="exact"/>
        <w:ind w:firstLine="718" w:firstLineChars="342"/>
      </w:pPr>
      <w:r>
        <w:rPr>
          <w:rFonts w:hint="eastAsia"/>
        </w:rPr>
        <w:t>（2）项目主管部门或者行政监督部门的人员；</w:t>
      </w:r>
    </w:p>
    <w:p>
      <w:pPr>
        <w:spacing w:line="400" w:lineRule="exact"/>
        <w:ind w:firstLine="718" w:firstLineChars="342"/>
      </w:pPr>
      <w:r>
        <w:rPr>
          <w:rFonts w:hint="eastAsia"/>
        </w:rPr>
        <w:t>（3）与投标人有经济利益关系，可能影响对投标公正评审的；</w:t>
      </w:r>
    </w:p>
    <w:p>
      <w:pPr>
        <w:spacing w:line="400" w:lineRule="exact"/>
        <w:ind w:firstLine="718" w:firstLineChars="342"/>
      </w:pPr>
      <w:r>
        <w:rPr>
          <w:rFonts w:hint="eastAsia"/>
        </w:rPr>
        <w:t>（4）曾因在招标、评标以及其他与招标投标有关活动中从事违法行为而受过行政处罚或刑事处罚的。</w:t>
      </w:r>
    </w:p>
    <w:p>
      <w:pPr>
        <w:pStyle w:val="29"/>
        <w:tabs>
          <w:tab w:val="left" w:pos="2620"/>
        </w:tabs>
      </w:pPr>
      <w:bookmarkStart w:id="156" w:name="_Toc152042340"/>
      <w:bookmarkStart w:id="157" w:name="_Toc152045564"/>
      <w:bookmarkStart w:id="158" w:name="_Toc144974532"/>
      <w:bookmarkStart w:id="159" w:name="_Toc179632582"/>
      <w:r>
        <w:rPr>
          <w:rFonts w:hint="eastAsia"/>
        </w:rPr>
        <w:t>6.2 评标原则</w:t>
      </w:r>
      <w:bookmarkEnd w:id="156"/>
      <w:bookmarkEnd w:id="157"/>
      <w:bookmarkEnd w:id="158"/>
      <w:bookmarkEnd w:id="159"/>
      <w:r>
        <w:tab/>
      </w:r>
    </w:p>
    <w:p>
      <w:pPr>
        <w:spacing w:line="400" w:lineRule="exact"/>
        <w:ind w:firstLine="420" w:firstLineChars="200"/>
      </w:pPr>
      <w:r>
        <w:rPr>
          <w:rFonts w:hint="eastAsia"/>
        </w:rPr>
        <w:t>评标活动遵循公平、公正、科学和择优的原则。</w:t>
      </w:r>
    </w:p>
    <w:p>
      <w:pPr>
        <w:pStyle w:val="29"/>
      </w:pPr>
      <w:bookmarkStart w:id="160" w:name="_Toc144974533"/>
      <w:bookmarkStart w:id="161" w:name="_Toc152042341"/>
      <w:bookmarkStart w:id="162" w:name="_Toc152045565"/>
      <w:bookmarkStart w:id="163" w:name="_Toc179632583"/>
      <w:r>
        <w:rPr>
          <w:rFonts w:hint="eastAsia"/>
        </w:rPr>
        <w:t>6.3 评标</w:t>
      </w:r>
      <w:bookmarkEnd w:id="160"/>
      <w:bookmarkEnd w:id="161"/>
      <w:bookmarkEnd w:id="162"/>
      <w:bookmarkEnd w:id="163"/>
    </w:p>
    <w:p>
      <w:pPr>
        <w:spacing w:line="4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28"/>
      </w:pPr>
      <w:bookmarkStart w:id="164" w:name="_Toc144974534"/>
      <w:bookmarkStart w:id="165" w:name="_Toc152042342"/>
      <w:bookmarkStart w:id="166" w:name="_Toc179632584"/>
      <w:bookmarkStart w:id="167" w:name="_Toc152045566"/>
      <w:r>
        <w:rPr>
          <w:rFonts w:hint="eastAsia"/>
        </w:rPr>
        <w:t>7. 合同授予</w:t>
      </w:r>
      <w:bookmarkEnd w:id="164"/>
      <w:bookmarkEnd w:id="165"/>
      <w:bookmarkEnd w:id="166"/>
      <w:bookmarkEnd w:id="167"/>
    </w:p>
    <w:p>
      <w:pPr>
        <w:pStyle w:val="29"/>
      </w:pPr>
      <w:bookmarkStart w:id="168" w:name="_Toc144974535"/>
      <w:bookmarkStart w:id="169" w:name="_Toc152045567"/>
      <w:bookmarkStart w:id="170" w:name="_Toc179632585"/>
      <w:bookmarkStart w:id="171" w:name="_Toc152042343"/>
      <w:r>
        <w:rPr>
          <w:rFonts w:hint="eastAsia"/>
        </w:rPr>
        <w:t>7.1 定标方式</w:t>
      </w:r>
      <w:bookmarkEnd w:id="168"/>
      <w:bookmarkEnd w:id="169"/>
      <w:bookmarkEnd w:id="170"/>
      <w:bookmarkEnd w:id="171"/>
    </w:p>
    <w:p>
      <w:pPr>
        <w:spacing w:line="4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29"/>
      </w:pPr>
      <w:bookmarkStart w:id="172" w:name="_Toc152042344"/>
      <w:bookmarkStart w:id="173" w:name="_Toc179632586"/>
      <w:bookmarkStart w:id="174" w:name="_Toc152045568"/>
      <w:bookmarkStart w:id="175" w:name="_Toc144974536"/>
      <w:r>
        <w:rPr>
          <w:rFonts w:hint="eastAsia"/>
        </w:rPr>
        <w:t>7.2 中标通知</w:t>
      </w:r>
      <w:bookmarkEnd w:id="172"/>
      <w:bookmarkEnd w:id="173"/>
      <w:bookmarkEnd w:id="174"/>
      <w:bookmarkEnd w:id="175"/>
    </w:p>
    <w:p>
      <w:pPr>
        <w:spacing w:line="400" w:lineRule="exact"/>
        <w:ind w:firstLine="420" w:firstLineChars="200"/>
      </w:pPr>
      <w:r>
        <w:rPr>
          <w:rFonts w:hint="eastAsia"/>
        </w:rPr>
        <w:t>在本章第3.3款规定的投标有效期内，招标人以书面形式向中标人发出中标通知书，同时将中标结果通知未中标的投标人。</w:t>
      </w:r>
    </w:p>
    <w:p>
      <w:pPr>
        <w:pStyle w:val="29"/>
      </w:pPr>
      <w:bookmarkStart w:id="176" w:name="_Toc179632587"/>
      <w:bookmarkStart w:id="177" w:name="_Toc144974537"/>
      <w:bookmarkStart w:id="178" w:name="_Toc152045569"/>
      <w:bookmarkStart w:id="179" w:name="_Toc152042345"/>
      <w:r>
        <w:rPr>
          <w:rFonts w:hint="eastAsia"/>
        </w:rPr>
        <w:t>7.3 履约担保</w:t>
      </w:r>
      <w:bookmarkEnd w:id="176"/>
      <w:bookmarkEnd w:id="177"/>
      <w:bookmarkEnd w:id="178"/>
      <w:bookmarkEnd w:id="179"/>
    </w:p>
    <w:p>
      <w:pPr>
        <w:spacing w:line="400" w:lineRule="exact"/>
        <w:ind w:firstLine="420" w:firstLineChars="200"/>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pPr>
      <w:r>
        <w:rPr>
          <w:rFonts w:hint="eastAsia"/>
        </w:rPr>
        <w:t>7.3.2 中标人不能按本章第7.3.1项要求提交履约担保的，视为放弃中标，其投标保证金不予退还，给招标人造成的损失超过投标保证金数额的，中标人还应当对超过部分予以赔偿。</w:t>
      </w:r>
    </w:p>
    <w:p>
      <w:pPr>
        <w:pStyle w:val="29"/>
      </w:pPr>
      <w:bookmarkStart w:id="180" w:name="_Toc152045570"/>
      <w:bookmarkStart w:id="181" w:name="_Toc179632588"/>
      <w:bookmarkStart w:id="182" w:name="_Toc152042346"/>
      <w:bookmarkStart w:id="183" w:name="_Toc144974538"/>
      <w:r>
        <w:rPr>
          <w:rFonts w:hint="eastAsia"/>
        </w:rPr>
        <w:t>7.4 签订合同</w:t>
      </w:r>
      <w:bookmarkEnd w:id="180"/>
      <w:bookmarkEnd w:id="181"/>
      <w:bookmarkEnd w:id="182"/>
      <w:bookmarkEnd w:id="183"/>
    </w:p>
    <w:p>
      <w:pPr>
        <w:spacing w:line="400" w:lineRule="exact"/>
        <w:ind w:firstLine="420" w:firstLineChars="200"/>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pPr>
      <w:r>
        <w:rPr>
          <w:rFonts w:hint="eastAsia"/>
        </w:rPr>
        <w:t xml:space="preserve">7.4.2 发出中标通知书后，招标人无正当理由拒签合同的，招标人向中标人退还投标保证金；给中标人造成损失的，还应当赔偿损失。 </w:t>
      </w:r>
    </w:p>
    <w:p>
      <w:pPr>
        <w:pStyle w:val="28"/>
      </w:pPr>
      <w:bookmarkStart w:id="184" w:name="_Toc179632589"/>
      <w:bookmarkStart w:id="185" w:name="_Toc152042347"/>
      <w:bookmarkStart w:id="186" w:name="_Toc144974539"/>
      <w:bookmarkStart w:id="187" w:name="_Toc152045571"/>
      <w:r>
        <w:rPr>
          <w:rFonts w:hint="eastAsia"/>
        </w:rPr>
        <w:t>8. 重新招标和不再招标</w:t>
      </w:r>
      <w:bookmarkEnd w:id="184"/>
      <w:bookmarkEnd w:id="185"/>
      <w:bookmarkEnd w:id="186"/>
      <w:bookmarkEnd w:id="187"/>
    </w:p>
    <w:p>
      <w:pPr>
        <w:pStyle w:val="29"/>
      </w:pPr>
      <w:bookmarkStart w:id="188" w:name="_Toc152045572"/>
      <w:bookmarkStart w:id="189" w:name="_Toc144974540"/>
      <w:bookmarkStart w:id="190" w:name="_Toc179632590"/>
      <w:bookmarkStart w:id="191" w:name="_Toc152042348"/>
      <w:r>
        <w:rPr>
          <w:rFonts w:hint="eastAsia"/>
        </w:rPr>
        <w:t>8.1 重新招标</w:t>
      </w:r>
      <w:bookmarkEnd w:id="188"/>
      <w:bookmarkEnd w:id="189"/>
      <w:bookmarkEnd w:id="190"/>
      <w:bookmarkEnd w:id="191"/>
    </w:p>
    <w:p>
      <w:pPr>
        <w:spacing w:line="400" w:lineRule="exact"/>
        <w:ind w:firstLine="420" w:firstLineChars="200"/>
      </w:pPr>
      <w:r>
        <w:rPr>
          <w:rFonts w:hint="eastAsia"/>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pStyle w:val="29"/>
      </w:pPr>
      <w:bookmarkStart w:id="192" w:name="_Toc152042349"/>
      <w:bookmarkStart w:id="193" w:name="_Toc152045573"/>
      <w:bookmarkStart w:id="194" w:name="_Toc179632591"/>
      <w:bookmarkStart w:id="195" w:name="_Toc144974541"/>
      <w:r>
        <w:rPr>
          <w:rFonts w:hint="eastAsia"/>
        </w:rPr>
        <w:t>8.2 不再招标</w:t>
      </w:r>
      <w:bookmarkEnd w:id="192"/>
      <w:bookmarkEnd w:id="193"/>
      <w:bookmarkEnd w:id="194"/>
      <w:bookmarkEnd w:id="195"/>
    </w:p>
    <w:p>
      <w:pPr>
        <w:spacing w:line="400" w:lineRule="exact"/>
        <w:ind w:firstLine="420" w:firstLineChars="200"/>
      </w:pPr>
      <w:r>
        <w:rPr>
          <w:rFonts w:hint="eastAsia"/>
        </w:rPr>
        <w:t>重新招标后投标人仍少于3个或者所有投标被否决的，属于必须审批或核准的工程建设项目，经原审批或核准部门批准后不再进行招标。</w:t>
      </w:r>
    </w:p>
    <w:p>
      <w:pPr>
        <w:pStyle w:val="28"/>
      </w:pPr>
      <w:bookmarkStart w:id="196" w:name="_Toc152042350"/>
      <w:bookmarkStart w:id="197" w:name="_Toc144974542"/>
      <w:bookmarkStart w:id="198" w:name="_Toc179632592"/>
      <w:bookmarkStart w:id="199" w:name="_Toc152045574"/>
      <w:r>
        <w:rPr>
          <w:rFonts w:hint="eastAsia"/>
        </w:rPr>
        <w:t>9. 纪律和监督</w:t>
      </w:r>
      <w:bookmarkEnd w:id="196"/>
      <w:bookmarkEnd w:id="197"/>
      <w:bookmarkEnd w:id="198"/>
      <w:bookmarkEnd w:id="199"/>
    </w:p>
    <w:p>
      <w:pPr>
        <w:pStyle w:val="29"/>
      </w:pPr>
      <w:bookmarkStart w:id="200" w:name="_Toc179632593"/>
      <w:bookmarkStart w:id="201" w:name="_Toc152042351"/>
      <w:bookmarkStart w:id="202" w:name="_Toc152045575"/>
      <w:bookmarkStart w:id="203" w:name="_Toc144974543"/>
      <w:r>
        <w:rPr>
          <w:rFonts w:hint="eastAsia"/>
        </w:rPr>
        <w:t>9.1 对招标人的纪律要求</w:t>
      </w:r>
      <w:bookmarkEnd w:id="200"/>
      <w:bookmarkEnd w:id="201"/>
      <w:bookmarkEnd w:id="202"/>
      <w:bookmarkEnd w:id="203"/>
    </w:p>
    <w:p>
      <w:pPr>
        <w:spacing w:line="4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29"/>
      </w:pPr>
      <w:bookmarkStart w:id="204" w:name="_Toc144974544"/>
      <w:bookmarkStart w:id="205" w:name="_Toc152045576"/>
      <w:bookmarkStart w:id="206" w:name="_Toc152042352"/>
      <w:bookmarkStart w:id="207" w:name="_Toc179632594"/>
      <w:r>
        <w:rPr>
          <w:rFonts w:hint="eastAsia"/>
        </w:rPr>
        <w:t>9.2 对投标人的纪律要求</w:t>
      </w:r>
      <w:bookmarkEnd w:id="204"/>
      <w:bookmarkEnd w:id="205"/>
      <w:bookmarkEnd w:id="206"/>
      <w:bookmarkEnd w:id="207"/>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9"/>
      </w:pPr>
      <w:bookmarkStart w:id="208" w:name="_Toc152045577"/>
      <w:bookmarkStart w:id="209" w:name="_Toc144974545"/>
      <w:bookmarkStart w:id="210" w:name="_Toc152042353"/>
      <w:bookmarkStart w:id="211" w:name="_Toc179632595"/>
      <w:r>
        <w:rPr>
          <w:rFonts w:hint="eastAsia"/>
        </w:rPr>
        <w:t>9.3 对评标委员会成员的纪律要求</w:t>
      </w:r>
      <w:bookmarkEnd w:id="208"/>
      <w:bookmarkEnd w:id="209"/>
      <w:bookmarkEnd w:id="210"/>
      <w:bookmarkEnd w:id="211"/>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9"/>
      </w:pPr>
      <w:bookmarkStart w:id="212" w:name="_Toc179632596"/>
      <w:bookmarkStart w:id="213" w:name="_Toc152042354"/>
      <w:bookmarkStart w:id="214" w:name="_Toc152045578"/>
      <w:bookmarkStart w:id="215" w:name="_Toc144974546"/>
      <w:r>
        <w:rPr>
          <w:rFonts w:hint="eastAsia"/>
        </w:rPr>
        <w:t>9.4 对与评标活动有关的工作人员的纪律要求</w:t>
      </w:r>
      <w:bookmarkEnd w:id="212"/>
      <w:bookmarkEnd w:id="213"/>
      <w:bookmarkEnd w:id="214"/>
    </w:p>
    <w:p>
      <w:pPr>
        <w:spacing w:line="400" w:lineRule="exact"/>
        <w:ind w:firstLine="420" w:firstLineChars="200"/>
      </w:pPr>
      <w:bookmarkStart w:id="216"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16"/>
    </w:p>
    <w:p>
      <w:pPr>
        <w:pStyle w:val="29"/>
      </w:pPr>
      <w:bookmarkStart w:id="217" w:name="_Toc179632597"/>
      <w:bookmarkStart w:id="218" w:name="_Toc152042356"/>
      <w:bookmarkStart w:id="219" w:name="_Toc152045579"/>
      <w:r>
        <w:rPr>
          <w:rFonts w:hint="eastAsia"/>
        </w:rPr>
        <w:t>9.5 投诉</w:t>
      </w:r>
      <w:bookmarkEnd w:id="215"/>
      <w:bookmarkEnd w:id="217"/>
      <w:bookmarkEnd w:id="218"/>
      <w:bookmarkEnd w:id="219"/>
    </w:p>
    <w:p>
      <w:pPr>
        <w:spacing w:line="400" w:lineRule="exact"/>
        <w:ind w:firstLine="420" w:firstLineChars="200"/>
      </w:pPr>
      <w:r>
        <w:rPr>
          <w:rFonts w:hint="eastAsia"/>
        </w:rPr>
        <w:t>投标人和其他利害关系人认为本次招标活动违反法律、法规和规章规定的，有权向有关行政监督部门投诉。</w:t>
      </w:r>
    </w:p>
    <w:p>
      <w:pPr>
        <w:pStyle w:val="28"/>
      </w:pPr>
      <w:bookmarkStart w:id="220" w:name="_Toc152042357"/>
      <w:bookmarkStart w:id="221" w:name="_Toc152045580"/>
      <w:bookmarkStart w:id="222" w:name="_Toc179632598"/>
      <w:bookmarkStart w:id="223" w:name="_Toc144974547"/>
      <w:r>
        <w:rPr>
          <w:rFonts w:hint="eastAsia"/>
        </w:rPr>
        <w:t>10. 需要补充的其他内容</w:t>
      </w:r>
      <w:bookmarkEnd w:id="220"/>
      <w:bookmarkEnd w:id="221"/>
      <w:bookmarkEnd w:id="222"/>
      <w:bookmarkEnd w:id="223"/>
    </w:p>
    <w:p>
      <w:pPr>
        <w:spacing w:line="400" w:lineRule="exact"/>
        <w:ind w:firstLine="420" w:firstLineChars="200"/>
      </w:pPr>
      <w:r>
        <w:rPr>
          <w:rFonts w:hint="eastAsia"/>
        </w:rPr>
        <w:t>需要补充的其他内容：见投标人须知前附表。</w:t>
      </w:r>
    </w:p>
    <w:p>
      <w:pPr>
        <w:spacing w:line="400" w:lineRule="exact"/>
      </w:pPr>
      <w:r>
        <w:br w:type="page"/>
      </w:r>
    </w:p>
    <w:p>
      <w:pPr>
        <w:pStyle w:val="2"/>
        <w:spacing w:before="120" w:after="120" w:line="400" w:lineRule="exact"/>
        <w:jc w:val="center"/>
        <w:rPr>
          <w:rFonts w:ascii="黑体" w:hAnsi="黑体" w:eastAsia="黑体"/>
          <w:b w:val="0"/>
          <w:bCs w:val="0"/>
          <w:sz w:val="32"/>
        </w:rPr>
      </w:pPr>
      <w:bookmarkStart w:id="224" w:name="_Toc152045598"/>
      <w:bookmarkStart w:id="225" w:name="_Toc179632616"/>
      <w:bookmarkStart w:id="226" w:name="_Toc144974565"/>
      <w:bookmarkStart w:id="227" w:name="_Toc152042375"/>
      <w:r>
        <w:rPr>
          <w:rFonts w:hint="eastAsia" w:ascii="黑体" w:hAnsi="黑体" w:eastAsia="黑体"/>
          <w:b w:val="0"/>
          <w:bCs w:val="0"/>
          <w:sz w:val="32"/>
        </w:rPr>
        <w:t>第三章 评标办法（综合评估法）</w:t>
      </w:r>
      <w:bookmarkEnd w:id="224"/>
      <w:bookmarkEnd w:id="225"/>
      <w:bookmarkEnd w:id="226"/>
      <w:bookmarkEnd w:id="227"/>
    </w:p>
    <w:p>
      <w:pPr>
        <w:pStyle w:val="28"/>
      </w:pPr>
      <w:bookmarkStart w:id="228" w:name="_Toc179632617"/>
      <w:bookmarkStart w:id="229" w:name="_Toc152045599"/>
      <w:bookmarkStart w:id="230" w:name="_Toc152042376"/>
      <w:bookmarkStart w:id="231" w:name="_Toc144974566"/>
      <w:r>
        <w:rPr>
          <w:rFonts w:hint="eastAsia"/>
        </w:rPr>
        <w:t>评标办法前附表</w:t>
      </w:r>
      <w:bookmarkEnd w:id="228"/>
      <w:bookmarkEnd w:id="229"/>
      <w:bookmarkEnd w:id="230"/>
      <w:bookmarkEnd w:id="231"/>
    </w:p>
    <w:tbl>
      <w:tblPr>
        <w:tblStyle w:val="22"/>
        <w:tblW w:w="9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3"/>
        <w:gridCol w:w="1141"/>
        <w:gridCol w:w="2696"/>
        <w:gridCol w:w="3118"/>
        <w:gridCol w:w="51"/>
        <w:gridCol w:w="15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评审因素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2.1.1</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形式评审标准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投标人名称</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与营业执照</w:t>
            </w:r>
            <w:r>
              <w:rPr>
                <w:rFonts w:hint="eastAsia"/>
                <w:szCs w:val="21"/>
              </w:rPr>
              <w:t>、资质证书、安全生产许可证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投标函签字盖章</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报价唯一</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2.1.2</w:t>
            </w:r>
          </w:p>
        </w:tc>
        <w:tc>
          <w:tcPr>
            <w:tcW w:w="1141"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资格评审标准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营业执照</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资质等级</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信誉</w:t>
            </w:r>
          </w:p>
        </w:tc>
        <w:tc>
          <w:tcPr>
            <w:tcW w:w="4766" w:type="dxa"/>
            <w:gridSpan w:val="3"/>
            <w:tcBorders>
              <w:top w:val="single" w:color="auto" w:sz="4" w:space="0"/>
              <w:left w:val="single" w:color="auto" w:sz="4" w:space="0"/>
              <w:bottom w:val="single" w:color="auto" w:sz="4" w:space="0"/>
              <w:right w:val="single" w:color="auto" w:sz="4" w:space="0"/>
            </w:tcBorders>
          </w:tcPr>
          <w:p>
            <w:pPr>
              <w:adjustRightInd w:val="0"/>
              <w:spacing w:line="420" w:lineRule="atLeas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项目经理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其他要求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联合体投标人</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restart"/>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2.1.3</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c>
          <w:tcPr>
            <w:tcW w:w="1141"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r>
              <w:rPr>
                <w:szCs w:val="21"/>
              </w:rPr>
              <w:t>响应性评审标准</w:t>
            </w: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工程质量</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投标有效期</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投标保证金</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权利义务</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已标价工程量清单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913" w:type="dxa"/>
            <w:vMerge w:val="continue"/>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技术标准和要求</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条款内容</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2.2.1</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分值构成</w:t>
            </w:r>
          </w:p>
          <w:p>
            <w:pPr>
              <w:adjustRightInd w:val="0"/>
              <w:spacing w:line="440" w:lineRule="exact"/>
              <w:jc w:val="center"/>
              <w:textAlignment w:val="baseline"/>
              <w:rPr>
                <w:szCs w:val="21"/>
              </w:rPr>
            </w:pPr>
            <w:r>
              <w:rPr>
                <w:szCs w:val="21"/>
              </w:rPr>
              <w:t>(总分100分)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szCs w:val="21"/>
              </w:rPr>
              <w:t>施工组织设计：</w:t>
            </w:r>
            <w:r>
              <w:rPr>
                <w:rFonts w:hint="eastAsia"/>
                <w:szCs w:val="21"/>
                <w:u w:val="single"/>
              </w:rPr>
              <w:t>35</w:t>
            </w:r>
            <w:r>
              <w:rPr>
                <w:szCs w:val="21"/>
              </w:rPr>
              <w:t>分</w:t>
            </w:r>
          </w:p>
          <w:p>
            <w:pPr>
              <w:adjustRightInd w:val="0"/>
              <w:spacing w:line="440" w:lineRule="exact"/>
              <w:textAlignment w:val="baseline"/>
              <w:rPr>
                <w:szCs w:val="21"/>
              </w:rPr>
            </w:pPr>
            <w:r>
              <w:rPr>
                <w:szCs w:val="21"/>
              </w:rPr>
              <w:t>投标报价：</w:t>
            </w:r>
            <w:r>
              <w:rPr>
                <w:rFonts w:hint="eastAsia"/>
                <w:szCs w:val="21"/>
                <w:u w:val="single"/>
              </w:rPr>
              <w:t>60</w:t>
            </w:r>
            <w:r>
              <w:rPr>
                <w:szCs w:val="21"/>
              </w:rPr>
              <w:t>分</w:t>
            </w:r>
          </w:p>
          <w:p>
            <w:pPr>
              <w:adjustRightInd w:val="0"/>
              <w:spacing w:line="440" w:lineRule="exact"/>
              <w:textAlignment w:val="baseline"/>
              <w:rPr>
                <w:szCs w:val="21"/>
              </w:rPr>
            </w:pPr>
            <w:r>
              <w:rPr>
                <w:szCs w:val="21"/>
              </w:rPr>
              <w:t>其他评分因素：</w:t>
            </w:r>
            <w:r>
              <w:rPr>
                <w:rFonts w:hint="eastAsia"/>
                <w:szCs w:val="21"/>
                <w:u w:val="single"/>
              </w:rPr>
              <w:t>5</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2.2.2</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r>
              <w:rPr>
                <w:szCs w:val="21"/>
              </w:rPr>
              <w:t>评标基准价计算</w:t>
            </w:r>
            <w:r>
              <w:rPr>
                <w:rFonts w:hint="eastAsia"/>
                <w:szCs w:val="21"/>
              </w:rPr>
              <w:t>方法</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szCs w:val="21"/>
              </w:rPr>
            </w:pPr>
            <w:r>
              <w:rPr>
                <w:rFonts w:hint="eastAsia" w:ascii="宋体" w:hAnsi="宋体" w:eastAsia="宋体" w:cs="宋体"/>
                <w:color w:val="000000"/>
                <w:kern w:val="0"/>
                <w:sz w:val="20"/>
                <w:szCs w:val="20"/>
              </w:rPr>
              <w:t>所有投标人的有效报价的最低值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054" w:type="dxa"/>
            <w:gridSpan w:val="2"/>
            <w:tcBorders>
              <w:top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2.2.3</w:t>
            </w:r>
          </w:p>
        </w:tc>
        <w:tc>
          <w:tcPr>
            <w:tcW w:w="2696"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投标报价的偏差率</w:t>
            </w:r>
          </w:p>
          <w:p>
            <w:pPr>
              <w:adjustRightInd w:val="0"/>
              <w:spacing w:line="440" w:lineRule="exact"/>
              <w:jc w:val="center"/>
              <w:textAlignment w:val="baseline"/>
              <w:rPr>
                <w:szCs w:val="21"/>
              </w:rPr>
            </w:pPr>
            <w:r>
              <w:rPr>
                <w:rFonts w:hint="eastAsia"/>
                <w:szCs w:val="21"/>
              </w:rPr>
              <w:t>计算公式</w:t>
            </w:r>
          </w:p>
        </w:tc>
        <w:tc>
          <w:tcPr>
            <w:tcW w:w="4766" w:type="dxa"/>
            <w:gridSpan w:val="3"/>
            <w:tcBorders>
              <w:top w:val="single" w:color="auto" w:sz="4" w:space="0"/>
              <w:left w:val="single" w:color="auto" w:sz="4" w:space="0"/>
              <w:right w:val="single" w:color="auto" w:sz="4" w:space="0"/>
            </w:tcBorders>
            <w:vAlign w:val="center"/>
          </w:tcPr>
          <w:p>
            <w:pPr>
              <w:adjustRightInd w:val="0"/>
              <w:spacing w:line="440" w:lineRule="exact"/>
              <w:textAlignment w:val="baseline"/>
              <w:rPr>
                <w:szCs w:val="21"/>
              </w:rPr>
            </w:pPr>
            <w:r>
              <w:rPr>
                <w:rFonts w:hint="eastAsia"/>
                <w:szCs w:val="21"/>
              </w:rPr>
              <w:t>偏差率</w:t>
            </w:r>
            <w:r>
              <w:rPr>
                <w:szCs w:val="21"/>
              </w:rPr>
              <w:t>=100% ×（投标人报价</w:t>
            </w:r>
            <w:r>
              <w:rPr>
                <w:rFonts w:hint="eastAsia"/>
                <w:szCs w:val="21"/>
              </w:rPr>
              <w:t>-</w:t>
            </w:r>
            <w:r>
              <w:rPr>
                <w:szCs w:val="21"/>
              </w:rPr>
              <w:t>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2054" w:type="dxa"/>
            <w:gridSpan w:val="2"/>
            <w:tcBorders>
              <w:top w:val="nil"/>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条款号</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评分因素</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b/>
                <w:szCs w:val="21"/>
              </w:rPr>
              <w:t>评分标准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913"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2.2.4(1)</w:t>
            </w:r>
          </w:p>
        </w:tc>
        <w:tc>
          <w:tcPr>
            <w:tcW w:w="1141" w:type="dxa"/>
            <w:vMerge w:val="restart"/>
            <w:tcBorders>
              <w:top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施工组织设计评分标准</w:t>
            </w:r>
            <w:r>
              <w:rPr>
                <w:rFonts w:hint="eastAsia"/>
                <w:szCs w:val="21"/>
              </w:rPr>
              <w:t>（35分）</w:t>
            </w:r>
          </w:p>
        </w:tc>
        <w:tc>
          <w:tcPr>
            <w:tcW w:w="2696" w:type="dxa"/>
            <w:vMerge w:val="restart"/>
            <w:tcBorders>
              <w:top w:val="single" w:color="auto" w:sz="4" w:space="0"/>
              <w:left w:val="single" w:color="auto" w:sz="4" w:space="0"/>
              <w:right w:val="single" w:color="auto" w:sz="4" w:space="0"/>
            </w:tcBorders>
          </w:tcPr>
          <w:p>
            <w:pPr>
              <w:adjustRightInd w:val="0"/>
              <w:spacing w:line="440" w:lineRule="exact"/>
              <w:jc w:val="center"/>
              <w:textAlignment w:val="baseline"/>
              <w:rPr>
                <w:szCs w:val="21"/>
              </w:rPr>
            </w:pPr>
            <w:r>
              <w:rPr>
                <w:szCs w:val="21"/>
              </w:rPr>
              <w:cr/>
            </w:r>
            <w:r>
              <w:rPr>
                <w:rFonts w:hint="eastAsia"/>
                <w:szCs w:val="21"/>
              </w:rPr>
              <w:t>施工方案与技术措施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施工方案严密、完善，技术措施先进、科学</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施工方案合理，技术措施得当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质量管理目标明确、管理措施得当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质量管理目标比较明确、管理措施比较得当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安全管理体系与措施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安全管理目标明确、安全控制措施得当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安全管理目标比较明确、安全控制措施比较得当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环境保护与文明施工体系</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保护措施、文明施工目标比较明确</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工程进度计划与措施</w:t>
            </w:r>
          </w:p>
          <w:p>
            <w:pPr>
              <w:adjustRightInd w:val="0"/>
              <w:spacing w:line="440" w:lineRule="exact"/>
              <w:jc w:val="center"/>
              <w:textAlignment w:val="baseline"/>
              <w:rPr>
                <w:szCs w:val="21"/>
              </w:rPr>
            </w:pPr>
            <w:r>
              <w:rPr>
                <w:rFonts w:hint="eastAsia"/>
                <w:szCs w:val="21"/>
              </w:rPr>
              <w:t>(6分)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工期目标和进度计划明确、进度计划风险分析得当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3~</w:t>
            </w:r>
            <w:r>
              <w:rPr>
                <w:szCs w:val="21"/>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工期目标和进度计划比较明确、进度计划风险分析比较得当</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0~2.9</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913" w:type="dxa"/>
            <w:vMerge w:val="continue"/>
            <w:tcBorders>
              <w:right w:val="single" w:color="auto" w:sz="4" w:space="0"/>
            </w:tcBorders>
          </w:tcPr>
          <w:p>
            <w:pPr>
              <w:adjustRightInd w:val="0"/>
              <w:spacing w:line="440" w:lineRule="exact"/>
              <w:jc w:val="center"/>
              <w:textAlignment w:val="baseline"/>
              <w:rPr>
                <w:szCs w:val="21"/>
              </w:rPr>
            </w:pPr>
          </w:p>
        </w:tc>
        <w:tc>
          <w:tcPr>
            <w:tcW w:w="1141" w:type="dxa"/>
            <w:vMerge w:val="continue"/>
            <w:tcBorders>
              <w:right w:val="single" w:color="auto" w:sz="4" w:space="0"/>
            </w:tcBorders>
          </w:tcPr>
          <w:p>
            <w:pPr>
              <w:adjustRightInd w:val="0"/>
              <w:spacing w:line="440" w:lineRule="exact"/>
              <w:jc w:val="center"/>
              <w:textAlignment w:val="baseline"/>
              <w:rPr>
                <w:szCs w:val="21"/>
              </w:rPr>
            </w:pPr>
          </w:p>
        </w:tc>
        <w:tc>
          <w:tcPr>
            <w:tcW w:w="2696"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施工方法与资源需求计划</w:t>
            </w:r>
          </w:p>
          <w:p>
            <w:pPr>
              <w:adjustRightInd w:val="0"/>
              <w:spacing w:line="440" w:lineRule="exact"/>
              <w:jc w:val="center"/>
              <w:textAlignment w:val="baseline"/>
              <w:rPr>
                <w:szCs w:val="21"/>
              </w:rPr>
            </w:pPr>
            <w:r>
              <w:rPr>
                <w:rFonts w:hint="eastAsia"/>
                <w:szCs w:val="21"/>
              </w:rPr>
              <w:t>(5分)</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施工方法合理、施工机具先进、劳动力计划合理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2~</w:t>
            </w:r>
            <w:r>
              <w:rPr>
                <w:szCs w:val="21"/>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913"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1141" w:type="dxa"/>
            <w:vMerge w:val="continue"/>
            <w:tcBorders>
              <w:bottom w:val="single" w:color="auto" w:sz="4" w:space="0"/>
              <w:right w:val="single" w:color="auto" w:sz="4" w:space="0"/>
            </w:tcBorders>
          </w:tcPr>
          <w:p>
            <w:pPr>
              <w:adjustRightInd w:val="0"/>
              <w:spacing w:line="440" w:lineRule="exact"/>
              <w:jc w:val="center"/>
              <w:textAlignment w:val="baseline"/>
              <w:rPr>
                <w:szCs w:val="21"/>
              </w:rPr>
            </w:pPr>
          </w:p>
        </w:tc>
        <w:tc>
          <w:tcPr>
            <w:tcW w:w="2696" w:type="dxa"/>
            <w:vMerge w:val="continue"/>
            <w:tcBorders>
              <w:top w:val="single" w:color="auto" w:sz="4" w:space="0"/>
              <w:left w:val="single" w:color="auto" w:sz="4" w:space="0"/>
              <w:bottom w:val="single" w:color="auto" w:sz="4" w:space="0"/>
              <w:right w:val="single" w:color="auto" w:sz="4" w:space="0"/>
            </w:tcBorders>
          </w:tcPr>
          <w:p>
            <w:pPr>
              <w:adjustRightInd w:val="0"/>
              <w:spacing w:line="440" w:lineRule="exact"/>
              <w:jc w:val="center"/>
              <w:textAlignment w:val="baseline"/>
              <w:rPr>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施工方法比较合理、施工机具比较先进、劳动力计划比较合理</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lang w:val="en-US" w:eastAsia="zh-CN"/>
              </w:rPr>
              <w:t>0~1.9</w:t>
            </w:r>
            <w:r>
              <w:rPr>
                <w:rFonts w:hint="eastAsia"/>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5"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2</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投标报价评分标准</w:t>
            </w:r>
            <w:r>
              <w:rPr>
                <w:rFonts w:hint="eastAsia"/>
                <w:szCs w:val="21"/>
              </w:rPr>
              <w:t>（60分）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评标价60分</w:t>
            </w:r>
          </w:p>
        </w:tc>
        <w:tc>
          <w:tcPr>
            <w:tcW w:w="476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所有投标人的有效报价的最低值</w:t>
            </w:r>
            <w:r>
              <w:rPr>
                <w:rFonts w:hint="eastAsia" w:ascii="宋体" w:hAnsi="宋体" w:eastAsia="宋体" w:cs="宋体"/>
                <w:color w:val="000000"/>
                <w:kern w:val="0"/>
                <w:sz w:val="20"/>
                <w:szCs w:val="20"/>
                <w:lang w:val="en-US" w:eastAsia="zh-CN"/>
              </w:rPr>
              <w:t>为</w:t>
            </w:r>
            <w:r>
              <w:rPr>
                <w:rFonts w:hint="eastAsia" w:ascii="宋体" w:hAnsi="宋体" w:eastAsia="宋体" w:cs="宋体"/>
                <w:color w:val="000000"/>
                <w:kern w:val="0"/>
                <w:sz w:val="20"/>
                <w:szCs w:val="20"/>
              </w:rPr>
              <w:t>评标基准价，标准得分60分，其他投标人的报价每高于其1%减</w:t>
            </w: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分，减完为止（计算保留两位小数）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2.2.4(</w:t>
            </w:r>
            <w:r>
              <w:rPr>
                <w:rFonts w:hint="eastAsia"/>
                <w:szCs w:val="21"/>
              </w:rPr>
              <w:t>3</w:t>
            </w:r>
            <w:r>
              <w:rPr>
                <w:szCs w:val="21"/>
              </w:rPr>
              <w:t>)</w:t>
            </w:r>
          </w:p>
        </w:tc>
        <w:tc>
          <w:tcPr>
            <w:tcW w:w="1141"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szCs w:val="21"/>
              </w:rPr>
              <w:t>其他因素评分标准</w:t>
            </w:r>
            <w:r>
              <w:rPr>
                <w:rFonts w:hint="eastAsia"/>
                <w:szCs w:val="21"/>
              </w:rPr>
              <w:t>（5分）</w:t>
            </w:r>
          </w:p>
        </w:tc>
        <w:tc>
          <w:tcPr>
            <w:tcW w:w="2696" w:type="dxa"/>
            <w:tcBorders>
              <w:top w:val="single" w:color="auto" w:sz="4" w:space="0"/>
              <w:left w:val="single" w:color="auto" w:sz="4" w:space="0"/>
              <w:bottom w:val="single" w:color="auto" w:sz="4" w:space="0"/>
              <w:right w:val="single" w:color="auto" w:sz="4" w:space="0"/>
            </w:tcBorders>
            <w:vAlign w:val="center"/>
          </w:tcPr>
          <w:p>
            <w:pPr>
              <w:adjustRightInd w:val="0"/>
              <w:spacing w:line="420" w:lineRule="atLeast"/>
              <w:jc w:val="center"/>
              <w:textAlignment w:val="baseline"/>
              <w:rPr>
                <w:szCs w:val="21"/>
              </w:rPr>
            </w:pPr>
            <w:r>
              <w:rPr>
                <w:rFonts w:hint="eastAsia"/>
                <w:szCs w:val="21"/>
              </w:rPr>
              <w:t>业绩得分（5分）</w:t>
            </w:r>
          </w:p>
        </w:tc>
        <w:tc>
          <w:tcPr>
            <w:tcW w:w="316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ascii="宋体" w:hAnsi="宋体" w:eastAsia="宋体" w:cs="宋体"/>
                <w:color w:val="000000"/>
                <w:kern w:val="0"/>
                <w:sz w:val="20"/>
                <w:szCs w:val="20"/>
              </w:rPr>
              <w:t>企业201</w:t>
            </w: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年3月至今每有一项类似施工业绩加1分，加满为止。</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szCs w:val="21"/>
              </w:rPr>
            </w:pPr>
            <w:r>
              <w:rPr>
                <w:rFonts w:hint="eastAsia"/>
                <w:szCs w:val="21"/>
              </w:rPr>
              <w:t>5分</w:t>
            </w:r>
          </w:p>
        </w:tc>
      </w:tr>
    </w:tbl>
    <w:p>
      <w:pPr>
        <w:spacing w:line="400" w:lineRule="exact"/>
      </w:pPr>
      <w:r>
        <w:br w:type="page"/>
      </w:r>
    </w:p>
    <w:p>
      <w:pPr>
        <w:pStyle w:val="28"/>
      </w:pPr>
      <w:bookmarkStart w:id="232" w:name="_Toc152045600"/>
      <w:bookmarkStart w:id="233" w:name="_Toc179632618"/>
      <w:bookmarkStart w:id="234" w:name="_Toc144974567"/>
      <w:bookmarkStart w:id="235" w:name="_Toc152042377"/>
      <w:r>
        <w:rPr>
          <w:rFonts w:hint="eastAsia"/>
        </w:rPr>
        <w:t>1. 评标方法</w:t>
      </w:r>
      <w:bookmarkEnd w:id="232"/>
      <w:bookmarkEnd w:id="233"/>
      <w:bookmarkEnd w:id="234"/>
      <w:bookmarkEnd w:id="235"/>
    </w:p>
    <w:p>
      <w:pPr>
        <w:spacing w:line="4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8"/>
      </w:pPr>
      <w:bookmarkStart w:id="236" w:name="_Toc152045601"/>
      <w:bookmarkStart w:id="237" w:name="_Toc144974568"/>
      <w:bookmarkStart w:id="238" w:name="_Toc152042378"/>
      <w:bookmarkStart w:id="239" w:name="_Toc179632619"/>
      <w:r>
        <w:rPr>
          <w:rFonts w:hint="eastAsia"/>
        </w:rPr>
        <w:t>2. 评审标准</w:t>
      </w:r>
      <w:bookmarkEnd w:id="236"/>
      <w:bookmarkEnd w:id="237"/>
      <w:bookmarkEnd w:id="238"/>
      <w:bookmarkEnd w:id="239"/>
    </w:p>
    <w:p>
      <w:pPr>
        <w:pStyle w:val="29"/>
      </w:pPr>
      <w:bookmarkStart w:id="240" w:name="_Toc152042379"/>
      <w:bookmarkStart w:id="241" w:name="_Toc152045602"/>
      <w:bookmarkStart w:id="242" w:name="_Toc144974569"/>
      <w:bookmarkStart w:id="243" w:name="_Toc179632620"/>
      <w:r>
        <w:rPr>
          <w:rFonts w:hint="eastAsia"/>
        </w:rPr>
        <w:t>2.1 初步评审标准</w:t>
      </w:r>
      <w:bookmarkEnd w:id="240"/>
      <w:bookmarkEnd w:id="241"/>
      <w:bookmarkEnd w:id="242"/>
      <w:bookmarkEnd w:id="243"/>
    </w:p>
    <w:p>
      <w:pPr>
        <w:spacing w:line="400" w:lineRule="exact"/>
        <w:ind w:firstLine="420" w:firstLineChars="200"/>
      </w:pPr>
      <w:r>
        <w:rPr>
          <w:rFonts w:hint="eastAsia"/>
        </w:rPr>
        <w:t>2.1.1 形式评审标准：见评标办法前附表。</w:t>
      </w:r>
    </w:p>
    <w:p>
      <w:pPr>
        <w:spacing w:line="400" w:lineRule="exact"/>
        <w:ind w:firstLine="420" w:firstLineChars="200"/>
      </w:pPr>
      <w:r>
        <w:rPr>
          <w:rFonts w:hint="eastAsia"/>
        </w:rPr>
        <w:t>2.1.2 资格评审标准：见评标办法前附表（适用于未进行资格预审的）。</w:t>
      </w:r>
    </w:p>
    <w:p>
      <w:pPr>
        <w:spacing w:line="400" w:lineRule="exact"/>
        <w:ind w:firstLine="420" w:firstLineChars="200"/>
      </w:pPr>
      <w:r>
        <w:rPr>
          <w:rFonts w:hint="eastAsia"/>
        </w:rPr>
        <w:t>2.1.2 资格评审标准：见资格预审文件第三章“资格审查办法”详细审查标准（适用于已进行资格预审的）。</w:t>
      </w:r>
    </w:p>
    <w:p>
      <w:pPr>
        <w:spacing w:line="400" w:lineRule="exact"/>
        <w:ind w:firstLine="420" w:firstLineChars="200"/>
      </w:pPr>
      <w:r>
        <w:rPr>
          <w:rFonts w:hint="eastAsia"/>
        </w:rPr>
        <w:t>2.1.3 响应性评审标准：见评标办法前附表。</w:t>
      </w:r>
    </w:p>
    <w:p>
      <w:pPr>
        <w:pStyle w:val="29"/>
      </w:pPr>
      <w:bookmarkStart w:id="244" w:name="_Toc152045603"/>
      <w:bookmarkStart w:id="245" w:name="_Toc152042380"/>
      <w:bookmarkStart w:id="246" w:name="_Toc179632621"/>
      <w:bookmarkStart w:id="247" w:name="_Toc144974570"/>
      <w:r>
        <w:rPr>
          <w:rFonts w:hint="eastAsia"/>
        </w:rPr>
        <w:t>2.2 分值构成与评分标准</w:t>
      </w:r>
      <w:bookmarkEnd w:id="244"/>
      <w:bookmarkEnd w:id="245"/>
      <w:bookmarkEnd w:id="246"/>
      <w:bookmarkEnd w:id="247"/>
    </w:p>
    <w:p>
      <w:pPr>
        <w:spacing w:line="400" w:lineRule="exact"/>
        <w:ind w:firstLine="420" w:firstLineChars="200"/>
      </w:pPr>
      <w:r>
        <w:rPr>
          <w:rFonts w:hint="eastAsia"/>
        </w:rPr>
        <w:t xml:space="preserve">2.2.1 </w:t>
      </w:r>
      <w:r>
        <w:rPr>
          <w:rFonts w:hint="eastAsia" w:ascii="黑体" w:eastAsia="黑体"/>
        </w:rPr>
        <w:t>分值构成</w:t>
      </w:r>
    </w:p>
    <w:p>
      <w:pPr>
        <w:spacing w:line="400" w:lineRule="exact"/>
        <w:ind w:firstLine="718" w:firstLineChars="342"/>
      </w:pPr>
      <w:r>
        <w:rPr>
          <w:rFonts w:hint="eastAsia"/>
        </w:rPr>
        <w:t>（1）施工组织设计：见评标办法前附表；</w:t>
      </w:r>
    </w:p>
    <w:p>
      <w:pPr>
        <w:spacing w:line="400" w:lineRule="exact"/>
        <w:ind w:firstLine="718" w:firstLineChars="342"/>
      </w:pPr>
      <w:r>
        <w:rPr>
          <w:rFonts w:hint="eastAsia"/>
        </w:rPr>
        <w:t>（2）投标报价：见评标办法前附表；</w:t>
      </w:r>
    </w:p>
    <w:p>
      <w:pPr>
        <w:spacing w:line="400" w:lineRule="exact"/>
        <w:ind w:firstLine="718" w:firstLineChars="342"/>
      </w:pPr>
      <w:r>
        <w:rPr>
          <w:rFonts w:hint="eastAsia"/>
        </w:rPr>
        <w:t>（3）其他评分因素：见评标办法前附表。</w:t>
      </w:r>
    </w:p>
    <w:p>
      <w:pPr>
        <w:spacing w:line="400" w:lineRule="exact"/>
        <w:ind w:firstLine="420" w:firstLineChars="200"/>
      </w:pPr>
      <w:r>
        <w:rPr>
          <w:rFonts w:hint="eastAsia"/>
        </w:rPr>
        <w:t xml:space="preserve">2.2.2 </w:t>
      </w:r>
      <w:r>
        <w:rPr>
          <w:rFonts w:hint="eastAsia" w:ascii="黑体" w:eastAsia="黑体"/>
        </w:rPr>
        <w:t>评标基准价计算</w:t>
      </w:r>
    </w:p>
    <w:p>
      <w:pPr>
        <w:spacing w:line="400" w:lineRule="exact"/>
        <w:ind w:firstLine="840" w:firstLineChars="400"/>
      </w:pPr>
      <w:r>
        <w:rPr>
          <w:rFonts w:hint="eastAsia"/>
        </w:rPr>
        <w:t>评标基准价计算方法：见评标办法前附表。</w:t>
      </w:r>
    </w:p>
    <w:p>
      <w:pPr>
        <w:spacing w:line="400" w:lineRule="exact"/>
        <w:ind w:firstLine="420" w:firstLineChars="200"/>
      </w:pPr>
      <w:r>
        <w:rPr>
          <w:rFonts w:hint="eastAsia"/>
        </w:rPr>
        <w:t xml:space="preserve">2.2.3 </w:t>
      </w:r>
      <w:r>
        <w:rPr>
          <w:rFonts w:hint="eastAsia" w:ascii="黑体" w:eastAsia="黑体"/>
        </w:rPr>
        <w:t>投标报价的偏差率计算</w:t>
      </w:r>
    </w:p>
    <w:p>
      <w:pPr>
        <w:spacing w:line="400" w:lineRule="exact"/>
        <w:ind w:firstLine="840" w:firstLineChars="400"/>
      </w:pPr>
      <w:r>
        <w:rPr>
          <w:rFonts w:hint="eastAsia"/>
        </w:rPr>
        <w:t>投标报价的偏差率计算公式：见评标办法前附表。</w:t>
      </w:r>
    </w:p>
    <w:p>
      <w:pPr>
        <w:spacing w:line="400" w:lineRule="exact"/>
        <w:ind w:firstLine="420" w:firstLineChars="200"/>
      </w:pPr>
      <w:r>
        <w:rPr>
          <w:rFonts w:hint="eastAsia"/>
        </w:rPr>
        <w:t xml:space="preserve">2.2.4 </w:t>
      </w:r>
      <w:r>
        <w:rPr>
          <w:rFonts w:hint="eastAsia" w:ascii="黑体" w:eastAsia="黑体"/>
        </w:rPr>
        <w:t>评分标准</w:t>
      </w:r>
    </w:p>
    <w:p>
      <w:pPr>
        <w:spacing w:line="400" w:lineRule="exact"/>
        <w:ind w:firstLine="718" w:firstLineChars="342"/>
      </w:pPr>
      <w:r>
        <w:rPr>
          <w:rFonts w:hint="eastAsia"/>
        </w:rPr>
        <w:t>（1）施工组织设计评分标准：见评标办法前附表；</w:t>
      </w:r>
    </w:p>
    <w:p>
      <w:pPr>
        <w:spacing w:line="400" w:lineRule="exact"/>
        <w:ind w:firstLine="718" w:firstLineChars="342"/>
      </w:pPr>
      <w:r>
        <w:rPr>
          <w:rFonts w:hint="eastAsia"/>
        </w:rPr>
        <w:t>（2）投标报价评分标准：见评标办法前附表；</w:t>
      </w:r>
    </w:p>
    <w:p>
      <w:pPr>
        <w:spacing w:line="400" w:lineRule="exact"/>
        <w:ind w:firstLine="718" w:firstLineChars="342"/>
      </w:pPr>
      <w:r>
        <w:rPr>
          <w:rFonts w:hint="eastAsia"/>
        </w:rPr>
        <w:t>（3）其他因素评分标准：见评标办法前附表。</w:t>
      </w:r>
    </w:p>
    <w:p>
      <w:pPr>
        <w:pStyle w:val="28"/>
      </w:pPr>
      <w:bookmarkStart w:id="248" w:name="_Toc152045604"/>
      <w:bookmarkStart w:id="249" w:name="_Toc179632622"/>
      <w:bookmarkStart w:id="250" w:name="_Toc152042381"/>
      <w:bookmarkStart w:id="251" w:name="_Toc144974571"/>
      <w:r>
        <w:rPr>
          <w:rFonts w:hint="eastAsia"/>
        </w:rPr>
        <w:t>3. 评标程序</w:t>
      </w:r>
      <w:bookmarkEnd w:id="248"/>
      <w:bookmarkEnd w:id="249"/>
      <w:bookmarkEnd w:id="250"/>
      <w:bookmarkEnd w:id="251"/>
    </w:p>
    <w:p>
      <w:pPr>
        <w:pStyle w:val="29"/>
      </w:pPr>
      <w:bookmarkStart w:id="252" w:name="_Toc144974572"/>
      <w:bookmarkStart w:id="253" w:name="_Toc152042382"/>
      <w:bookmarkStart w:id="254" w:name="_Toc152045605"/>
      <w:bookmarkStart w:id="255" w:name="_Toc179632623"/>
      <w:r>
        <w:rPr>
          <w:rFonts w:hint="eastAsia"/>
        </w:rPr>
        <w:t>3.1 初步评审</w:t>
      </w:r>
      <w:bookmarkEnd w:id="252"/>
      <w:bookmarkEnd w:id="253"/>
      <w:bookmarkEnd w:id="254"/>
      <w:bookmarkEnd w:id="255"/>
    </w:p>
    <w:p>
      <w:pPr>
        <w:spacing w:line="400" w:lineRule="exact"/>
        <w:ind w:firstLine="420" w:firstLineChars="200"/>
      </w:pPr>
      <w:r>
        <w:rPr>
          <w:rFonts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w:t>
      </w:r>
    </w:p>
    <w:p>
      <w:pPr>
        <w:spacing w:line="400" w:lineRule="exact"/>
        <w:ind w:firstLine="420" w:firstLineChars="200"/>
      </w:pPr>
      <w:r>
        <w:rPr>
          <w:rFonts w:hint="eastAsia"/>
        </w:rPr>
        <w:t>3.1.2 投标人有以下情形之一的，其投标作废标处理：</w:t>
      </w:r>
    </w:p>
    <w:p>
      <w:pPr>
        <w:spacing w:line="400" w:lineRule="exact"/>
        <w:ind w:firstLine="718" w:firstLineChars="342"/>
      </w:pPr>
      <w:r>
        <w:rPr>
          <w:rFonts w:hint="eastAsia"/>
        </w:rPr>
        <w:t>（1）第二章“投标人须知”第1.4.3项规定的任何一种情形的；</w:t>
      </w:r>
    </w:p>
    <w:p>
      <w:pPr>
        <w:spacing w:line="400" w:lineRule="exact"/>
        <w:ind w:firstLine="718" w:firstLineChars="342"/>
      </w:pPr>
      <w:r>
        <w:rPr>
          <w:rFonts w:hint="eastAsia"/>
        </w:rPr>
        <w:t>（2）串通投标或弄虚作假或有其他违法行为的；</w:t>
      </w:r>
    </w:p>
    <w:p>
      <w:pPr>
        <w:spacing w:line="400" w:lineRule="exact"/>
        <w:ind w:firstLine="718" w:firstLineChars="342"/>
      </w:pPr>
      <w:r>
        <w:rPr>
          <w:rFonts w:hint="eastAsia"/>
        </w:rPr>
        <w:t>（3）不按评标委员会要求澄清、说明或补正的。</w:t>
      </w:r>
    </w:p>
    <w:p>
      <w:pPr>
        <w:spacing w:line="400" w:lineRule="exact"/>
        <w:ind w:firstLine="420" w:firstLineChars="200"/>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pPr>
      <w:bookmarkStart w:id="256" w:name="_Toc152042383"/>
      <w:r>
        <w:rPr>
          <w:rFonts w:hint="eastAsia"/>
        </w:rPr>
        <w:t>（1）投标文件中的大写金额与小写金额不一致的，以大写金额为准；</w:t>
      </w:r>
      <w:bookmarkEnd w:id="256"/>
    </w:p>
    <w:p>
      <w:pPr>
        <w:spacing w:line="400" w:lineRule="exact"/>
        <w:ind w:firstLine="718" w:firstLineChars="342"/>
      </w:pPr>
      <w:r>
        <w:rPr>
          <w:rFonts w:hint="eastAsia"/>
        </w:rPr>
        <w:t>（2）总价金额与依据单价计算出的结果不一致的，以单价金额为准修正总价，但单价金额小数点有明显错误的除外。</w:t>
      </w:r>
    </w:p>
    <w:p>
      <w:pPr>
        <w:pStyle w:val="29"/>
      </w:pPr>
      <w:bookmarkStart w:id="257" w:name="_Toc152042384"/>
      <w:bookmarkStart w:id="258" w:name="_Toc144974573"/>
      <w:bookmarkStart w:id="259" w:name="_Toc152045606"/>
      <w:bookmarkStart w:id="260" w:name="_Toc179632624"/>
      <w:r>
        <w:rPr>
          <w:rFonts w:hint="eastAsia"/>
        </w:rPr>
        <w:t>3.2 详细评审</w:t>
      </w:r>
      <w:bookmarkEnd w:id="257"/>
      <w:bookmarkEnd w:id="258"/>
      <w:bookmarkEnd w:id="259"/>
      <w:bookmarkEnd w:id="260"/>
    </w:p>
    <w:p>
      <w:pPr>
        <w:spacing w:line="400" w:lineRule="exact"/>
        <w:ind w:firstLine="420" w:firstLineChars="200"/>
      </w:pPr>
      <w:r>
        <w:rPr>
          <w:rFonts w:hint="eastAsia"/>
        </w:rPr>
        <w:t>3.2.1 评标委员会按本章第2.2款规定的量化因素和分值进行打分，并计算出综合评估得分。</w:t>
      </w:r>
    </w:p>
    <w:p>
      <w:pPr>
        <w:spacing w:line="400" w:lineRule="exact"/>
        <w:ind w:firstLine="718" w:firstLineChars="342"/>
      </w:pPr>
      <w:r>
        <w:rPr>
          <w:rFonts w:hint="eastAsia"/>
        </w:rPr>
        <w:t>（1）按本章第2.2.4（1）目规定的评审因素和分值对施工组织设计计算出得分A；</w:t>
      </w:r>
    </w:p>
    <w:p>
      <w:pPr>
        <w:spacing w:line="400" w:lineRule="exact"/>
        <w:ind w:firstLine="718" w:firstLineChars="342"/>
      </w:pPr>
      <w:r>
        <w:rPr>
          <w:rFonts w:hint="eastAsia"/>
        </w:rPr>
        <w:t>（2）按本章第2.2.4（2）目规定的评审因素和分值对投标报价计算出得分B；</w:t>
      </w:r>
    </w:p>
    <w:p>
      <w:pPr>
        <w:spacing w:line="400" w:lineRule="exact"/>
        <w:ind w:firstLine="718" w:firstLineChars="342"/>
      </w:pPr>
      <w:r>
        <w:rPr>
          <w:rFonts w:hint="eastAsia"/>
        </w:rPr>
        <w:t>（3）按本章第2.2.4（3）目规定的评审因素和分值对其他部分计算出得分C。</w:t>
      </w:r>
    </w:p>
    <w:p>
      <w:pPr>
        <w:spacing w:line="400" w:lineRule="exact"/>
        <w:ind w:firstLine="420" w:firstLineChars="200"/>
      </w:pPr>
      <w:r>
        <w:rPr>
          <w:rFonts w:hint="eastAsia"/>
        </w:rPr>
        <w:t>3.2.2 评分分值计算保留小数点后两位，小数点后第三位“四舍五入”。</w:t>
      </w:r>
    </w:p>
    <w:p>
      <w:pPr>
        <w:spacing w:line="400" w:lineRule="exact"/>
        <w:ind w:firstLine="420" w:firstLineChars="200"/>
      </w:pPr>
      <w:r>
        <w:rPr>
          <w:rFonts w:hint="eastAsia"/>
        </w:rPr>
        <w:t>3.2.3 投标人得分=A+B+C。</w:t>
      </w:r>
    </w:p>
    <w:p>
      <w:pPr>
        <w:spacing w:line="400" w:lineRule="exact"/>
        <w:ind w:firstLine="420" w:firstLineChars="200"/>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9"/>
      </w:pPr>
      <w:bookmarkStart w:id="261" w:name="_Toc144974575"/>
      <w:bookmarkStart w:id="262" w:name="_Toc152045607"/>
      <w:bookmarkStart w:id="263" w:name="_Toc179632625"/>
      <w:bookmarkStart w:id="264" w:name="_Toc152042385"/>
      <w:r>
        <w:rPr>
          <w:rFonts w:hint="eastAsia"/>
        </w:rPr>
        <w:t>3.3 投标文件的澄清</w:t>
      </w:r>
      <w:bookmarkEnd w:id="261"/>
      <w:r>
        <w:rPr>
          <w:rFonts w:hint="eastAsia"/>
        </w:rPr>
        <w:t>和补正</w:t>
      </w:r>
      <w:bookmarkEnd w:id="262"/>
      <w:bookmarkEnd w:id="263"/>
      <w:bookmarkEnd w:id="264"/>
    </w:p>
    <w:p>
      <w:pPr>
        <w:spacing w:line="400" w:lineRule="exact"/>
        <w:ind w:firstLine="420" w:firstLineChars="200"/>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pPr>
      <w:r>
        <w:rPr>
          <w:rFonts w:hint="eastAsia"/>
        </w:rPr>
        <w:t>3.3.3 评标委员会对投标人提交的澄清、说明或补正有疑问的，可以要求投标人进一步澄清、说明或补正，直至满足评标委员会的要求。</w:t>
      </w:r>
    </w:p>
    <w:p>
      <w:pPr>
        <w:pStyle w:val="29"/>
      </w:pPr>
      <w:bookmarkStart w:id="265" w:name="_Toc179632626"/>
      <w:bookmarkStart w:id="266" w:name="_Toc152045608"/>
      <w:bookmarkStart w:id="267" w:name="_Toc152042386"/>
      <w:bookmarkStart w:id="268" w:name="_Toc144974576"/>
      <w:r>
        <w:rPr>
          <w:rFonts w:hint="eastAsia"/>
        </w:rPr>
        <w:t>3.4 评标结果</w:t>
      </w:r>
      <w:bookmarkEnd w:id="265"/>
      <w:bookmarkEnd w:id="266"/>
      <w:bookmarkEnd w:id="267"/>
      <w:bookmarkEnd w:id="268"/>
    </w:p>
    <w:p>
      <w:pPr>
        <w:spacing w:line="400" w:lineRule="exact"/>
        <w:ind w:firstLine="420" w:firstLineChars="200"/>
      </w:pPr>
      <w:r>
        <w:rPr>
          <w:rFonts w:hint="eastAsia"/>
        </w:rPr>
        <w:t>3.4.1除第二章“投标人须知”前附表授权直接确定中标人外，评标委员会按照得分由高到低的顺序推荐中标候选人。</w:t>
      </w:r>
    </w:p>
    <w:p>
      <w:pPr>
        <w:spacing w:line="400" w:lineRule="exact"/>
        <w:ind w:firstLine="420" w:firstLineChars="200"/>
      </w:pPr>
      <w:r>
        <w:rPr>
          <w:rFonts w:hint="eastAsia"/>
        </w:rPr>
        <w:t>3.4.2 评标委员会完成评标后，应当向招标人提交书面评标报告。</w:t>
      </w:r>
    </w:p>
    <w:p>
      <w:pPr>
        <w:spacing w:line="400" w:lineRule="exact"/>
      </w:pPr>
    </w:p>
    <w:p>
      <w:pPr>
        <w:spacing w:line="400" w:lineRule="exact"/>
      </w:pPr>
    </w:p>
    <w:p>
      <w:pPr>
        <w:spacing w:line="400" w:lineRule="exact"/>
      </w:pPr>
    </w:p>
    <w:p>
      <w:pPr>
        <w:spacing w:line="400" w:lineRule="exact"/>
      </w:pPr>
    </w:p>
    <w:p>
      <w:pPr>
        <w:spacing w:line="400" w:lineRule="exact"/>
      </w:pPr>
    </w:p>
    <w:p>
      <w:pPr>
        <w:pStyle w:val="2"/>
        <w:spacing w:before="120" w:after="120" w:line="400" w:lineRule="exact"/>
        <w:jc w:val="center"/>
        <w:rPr>
          <w:rFonts w:ascii="黑体" w:hAnsi="黑体" w:eastAsia="黑体"/>
          <w:b w:val="0"/>
          <w:bCs w:val="0"/>
          <w:sz w:val="32"/>
        </w:rPr>
      </w:pPr>
      <w:bookmarkStart w:id="269" w:name="_Toc144974577"/>
      <w:bookmarkStart w:id="270" w:name="_Toc152045609"/>
      <w:bookmarkStart w:id="271" w:name="_Toc179632627"/>
      <w:bookmarkStart w:id="272" w:name="_Toc152042387"/>
      <w:r>
        <w:rPr>
          <w:rFonts w:hint="eastAsia" w:ascii="黑体" w:hAnsi="黑体" w:eastAsia="黑体"/>
          <w:b w:val="0"/>
          <w:bCs w:val="0"/>
          <w:sz w:val="32"/>
        </w:rPr>
        <w:t>第四章 合同条款及格式</w:t>
      </w:r>
      <w:bookmarkEnd w:id="269"/>
      <w:bookmarkEnd w:id="270"/>
      <w:bookmarkEnd w:id="271"/>
      <w:bookmarkEnd w:id="272"/>
    </w:p>
    <w:p>
      <w:pPr>
        <w:spacing w:line="400" w:lineRule="exact"/>
      </w:pPr>
    </w:p>
    <w:p>
      <w:pPr>
        <w:pStyle w:val="28"/>
        <w:numPr>
          <w:ilvl w:val="0"/>
          <w:numId w:val="2"/>
        </w:numPr>
        <w:jc w:val="center"/>
      </w:pPr>
      <w:r>
        <w:rPr>
          <w:rFonts w:hint="eastAsia"/>
        </w:rPr>
        <w:t>施工合同格式</w:t>
      </w:r>
    </w:p>
    <w:p>
      <w:pPr>
        <w:pStyle w:val="4"/>
        <w:keepNext w:val="0"/>
        <w:keepLines w:val="0"/>
        <w:jc w:val="center"/>
        <w:rPr>
          <w:rFonts w:ascii="Times New Roman" w:hAnsi="Times New Roman" w:eastAsia="华文中宋"/>
          <w:color w:val="000000"/>
        </w:rPr>
      </w:pPr>
      <w:bookmarkStart w:id="273" w:name="_Toc296890982"/>
      <w:bookmarkStart w:id="274" w:name="_Toc296503025"/>
      <w:bookmarkStart w:id="275" w:name="_Toc351203480"/>
      <w:r>
        <w:rPr>
          <w:rFonts w:ascii="Times New Roman" w:hAnsi="Times New Roman" w:eastAsia="华文中宋"/>
          <w:color w:val="000000"/>
        </w:rPr>
        <w:t>建设工程施工合同</w:t>
      </w:r>
    </w:p>
    <w:p>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273"/>
      <w:bookmarkEnd w:id="274"/>
      <w:bookmarkEnd w:id="275"/>
    </w:p>
    <w:p>
      <w:pPr>
        <w:spacing w:line="360" w:lineRule="auto"/>
        <w:rPr>
          <w:rFonts w:asciiTheme="majorEastAsia" w:hAnsiTheme="majorEastAsia" w:eastAsiaTheme="majorEastAsia" w:cstheme="majorEastAsia"/>
          <w:b/>
          <w:color w:val="000000"/>
          <w:szCs w:val="21"/>
          <w:u w:val="single"/>
        </w:rPr>
      </w:pPr>
      <w:r>
        <w:rPr>
          <w:rFonts w:hint="eastAsia" w:asciiTheme="majorEastAsia" w:hAnsiTheme="majorEastAsia" w:eastAsiaTheme="majorEastAsia" w:cstheme="majorEastAsia"/>
          <w:b/>
          <w:color w:val="000000"/>
          <w:szCs w:val="21"/>
        </w:rPr>
        <w:t>发包人（全称）：</w:t>
      </w:r>
      <w:r>
        <w:rPr>
          <w:rFonts w:hint="eastAsia" w:asciiTheme="majorEastAsia" w:hAnsiTheme="majorEastAsia" w:eastAsiaTheme="majorEastAsia" w:cstheme="majorEastAsia"/>
          <w:b/>
          <w:color w:val="000000"/>
          <w:szCs w:val="21"/>
          <w:u w:val="single"/>
        </w:rPr>
        <w:t>冀东海天水泥闻喜有限责任公司</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b/>
          <w:color w:val="000000"/>
          <w:szCs w:val="21"/>
        </w:rPr>
        <w:t xml:space="preserve">承包人（全称）：             </w:t>
      </w:r>
      <w:r>
        <w:rPr>
          <w:rFonts w:hint="eastAsia" w:asciiTheme="majorEastAsia" w:hAnsiTheme="majorEastAsia" w:eastAsiaTheme="majorEastAsia" w:cstheme="majorEastAsia"/>
          <w:szCs w:val="21"/>
        </w:rPr>
        <w:t xml:space="preserve"> </w:t>
      </w:r>
    </w:p>
    <w:p>
      <w:pPr>
        <w:spacing w:line="360" w:lineRule="auto"/>
        <w:ind w:firstLine="420" w:firstLineChars="200"/>
        <w:jc w:val="left"/>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 xml:space="preserve">根据《中华人民共和国合同法》、《中华人民共和国建筑法》及有关法律规定，遵循平等、自愿、公平和诚实信用的原则，双方就 </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施工及有关事项协商一致，共同达成如下协议：</w:t>
      </w:r>
    </w:p>
    <w:p>
      <w:pPr>
        <w:pStyle w:val="5"/>
        <w:spacing w:before="120" w:after="120" w:line="360" w:lineRule="auto"/>
        <w:rPr>
          <w:rFonts w:asciiTheme="majorEastAsia" w:hAnsiTheme="majorEastAsia" w:eastAsiaTheme="majorEastAsia" w:cstheme="majorEastAsia"/>
          <w:bCs w:val="0"/>
          <w:color w:val="000000"/>
          <w:sz w:val="21"/>
          <w:szCs w:val="21"/>
        </w:rPr>
      </w:pPr>
      <w:bookmarkStart w:id="276" w:name="_Toc351203481"/>
      <w:r>
        <w:rPr>
          <w:rFonts w:hint="eastAsia" w:asciiTheme="majorEastAsia" w:hAnsiTheme="majorEastAsia" w:eastAsiaTheme="majorEastAsia" w:cstheme="majorEastAsia"/>
          <w:b w:val="0"/>
          <w:color w:val="000000"/>
          <w:sz w:val="21"/>
          <w:szCs w:val="21"/>
        </w:rPr>
        <w:t>一、工程概况</w:t>
      </w:r>
      <w:bookmarkEnd w:id="276"/>
    </w:p>
    <w:p>
      <w:pPr>
        <w:spacing w:line="360" w:lineRule="auto"/>
        <w:ind w:firstLine="420" w:firstLineChars="200"/>
        <w:rPr>
          <w:rFonts w:asciiTheme="majorEastAsia" w:hAnsiTheme="majorEastAsia" w:eastAsiaTheme="majorEastAsia" w:cstheme="majorEastAsia"/>
          <w:bCs/>
          <w:color w:val="000000"/>
          <w:szCs w:val="21"/>
          <w:u w:val="single"/>
        </w:rPr>
      </w:pPr>
      <w:r>
        <w:rPr>
          <w:rFonts w:hint="eastAsia" w:asciiTheme="majorEastAsia" w:hAnsiTheme="majorEastAsia" w:eastAsiaTheme="majorEastAsia" w:cstheme="majorEastAsia"/>
          <w:bCs/>
          <w:color w:val="000000"/>
          <w:szCs w:val="21"/>
        </w:rPr>
        <w:t>1.工程名称</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2.工程地点：</w:t>
      </w:r>
      <w:r>
        <w:rPr>
          <w:rFonts w:hint="eastAsia" w:asciiTheme="majorEastAsia" w:hAnsiTheme="majorEastAsia" w:eastAsiaTheme="majorEastAsia" w:cstheme="majorEastAsia"/>
          <w:color w:val="000000"/>
          <w:szCs w:val="21"/>
          <w:u w:val="single"/>
        </w:rPr>
        <w:t xml:space="preserve">      </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3.工程立项批准文号：</w:t>
      </w:r>
      <w:r>
        <w:rPr>
          <w:rFonts w:hint="eastAsia" w:asciiTheme="majorEastAsia" w:hAnsiTheme="majorEastAsia" w:eastAsiaTheme="majorEastAsia" w:cstheme="majorEastAsia"/>
          <w:bCs/>
          <w:color w:val="000000"/>
          <w:szCs w:val="21"/>
          <w:u w:val="single"/>
        </w:rPr>
        <w:t xml:space="preserve">               </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4.资金来源：</w:t>
      </w:r>
      <w:r>
        <w:rPr>
          <w:rFonts w:hint="eastAsia" w:asciiTheme="majorEastAsia" w:hAnsiTheme="majorEastAsia" w:eastAsiaTheme="majorEastAsia" w:cstheme="majorEastAsia"/>
          <w:bCs/>
          <w:color w:val="000000"/>
          <w:szCs w:val="21"/>
          <w:u w:val="single"/>
        </w:rPr>
        <w:t>自筹</w:t>
      </w:r>
      <w:r>
        <w:rPr>
          <w:rFonts w:hint="eastAsia" w:asciiTheme="majorEastAsia" w:hAnsiTheme="majorEastAsia" w:eastAsiaTheme="majorEastAsia" w:cstheme="majorEastAsia"/>
          <w:bCs/>
          <w:color w:val="000000"/>
          <w:szCs w:val="21"/>
        </w:rPr>
        <w:t>。</w:t>
      </w:r>
    </w:p>
    <w:p>
      <w:pPr>
        <w:spacing w:line="360" w:lineRule="auto"/>
        <w:ind w:firstLine="411" w:firstLineChars="196"/>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bCs/>
          <w:color w:val="000000"/>
          <w:szCs w:val="21"/>
        </w:rPr>
        <w:t>5.工程内容：</w:t>
      </w:r>
      <w:r>
        <w:rPr>
          <w:rFonts w:hint="eastAsia" w:asciiTheme="majorEastAsia" w:hAnsiTheme="majorEastAsia" w:eastAsiaTheme="majorEastAsia" w:cstheme="majorEastAsia"/>
          <w:bCs/>
          <w:color w:val="000000"/>
          <w:szCs w:val="21"/>
          <w:u w:val="single"/>
        </w:rPr>
        <w:t>详见附表</w:t>
      </w:r>
    </w:p>
    <w:p>
      <w:pPr>
        <w:spacing w:line="360" w:lineRule="auto"/>
        <w:ind w:firstLine="411" w:firstLineChars="196"/>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bCs/>
          <w:color w:val="000000"/>
          <w:szCs w:val="21"/>
        </w:rPr>
        <w:t>6.工程承包范围：</w:t>
      </w:r>
      <w:r>
        <w:rPr>
          <w:rFonts w:hint="eastAsia" w:asciiTheme="majorEastAsia" w:hAnsiTheme="majorEastAsia" w:eastAsiaTheme="majorEastAsia" w:cstheme="majorEastAsia"/>
          <w:color w:val="000000"/>
          <w:szCs w:val="21"/>
          <w:u w:val="single"/>
        </w:rPr>
        <w:t>从施工到最终交验通过的全部内容和过程负责。</w:t>
      </w:r>
    </w:p>
    <w:p>
      <w:pPr>
        <w:pStyle w:val="5"/>
        <w:spacing w:before="120" w:after="120" w:line="360" w:lineRule="auto"/>
        <w:rPr>
          <w:rFonts w:asciiTheme="majorEastAsia" w:hAnsiTheme="majorEastAsia" w:eastAsiaTheme="majorEastAsia" w:cstheme="majorEastAsia"/>
          <w:b w:val="0"/>
          <w:color w:val="000000"/>
          <w:sz w:val="21"/>
          <w:szCs w:val="21"/>
        </w:rPr>
      </w:pPr>
      <w:bookmarkStart w:id="277" w:name="_Toc351203482"/>
      <w:r>
        <w:rPr>
          <w:rFonts w:hint="eastAsia" w:asciiTheme="majorEastAsia" w:hAnsiTheme="majorEastAsia" w:eastAsiaTheme="majorEastAsia" w:cstheme="majorEastAsia"/>
          <w:b w:val="0"/>
          <w:color w:val="000000"/>
          <w:sz w:val="21"/>
          <w:szCs w:val="21"/>
        </w:rPr>
        <w:t>二、合同工期</w:t>
      </w:r>
      <w:bookmarkEnd w:id="277"/>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计划开工日期：</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计划竣工日期：</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 xml:space="preserve">年 </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工期总日历天数：</w:t>
      </w:r>
      <w:r>
        <w:rPr>
          <w:rFonts w:hint="eastAsia" w:asciiTheme="majorEastAsia" w:hAnsiTheme="majorEastAsia" w:eastAsiaTheme="majorEastAsia" w:cstheme="majorEastAsia"/>
          <w:szCs w:val="21"/>
          <w:u w:val="single"/>
        </w:rPr>
        <w:t>  </w:t>
      </w:r>
      <w:r>
        <w:rPr>
          <w:rFonts w:hint="eastAsia" w:asciiTheme="majorEastAsia" w:hAnsiTheme="majorEastAsia" w:eastAsiaTheme="majorEastAsia" w:cstheme="majorEastAsia"/>
          <w:szCs w:val="21"/>
        </w:rPr>
        <w:t>天。工期总日历天数与根据前</w:t>
      </w:r>
      <w:r>
        <w:rPr>
          <w:rFonts w:hint="eastAsia" w:asciiTheme="majorEastAsia" w:hAnsiTheme="majorEastAsia" w:eastAsiaTheme="majorEastAsia" w:cstheme="majorEastAsia"/>
          <w:color w:val="000000"/>
          <w:szCs w:val="21"/>
        </w:rPr>
        <w:t>述计划开竣工日期计算的工期天数不一致的，以工期总日历天数为准。</w:t>
      </w:r>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工期的具体开工、竣工日期以发包人批准的开工报告和竣工报告时间为准。</w:t>
      </w:r>
    </w:p>
    <w:p>
      <w:pPr>
        <w:pStyle w:val="5"/>
        <w:spacing w:before="120" w:after="120" w:line="360" w:lineRule="auto"/>
        <w:rPr>
          <w:rFonts w:asciiTheme="majorEastAsia" w:hAnsiTheme="majorEastAsia" w:eastAsiaTheme="majorEastAsia" w:cstheme="majorEastAsia"/>
          <w:bCs w:val="0"/>
          <w:color w:val="000000"/>
          <w:sz w:val="21"/>
          <w:szCs w:val="21"/>
        </w:rPr>
      </w:pPr>
      <w:bookmarkStart w:id="278" w:name="_Toc351203483"/>
      <w:r>
        <w:rPr>
          <w:rFonts w:hint="eastAsia" w:asciiTheme="majorEastAsia" w:hAnsiTheme="majorEastAsia" w:eastAsiaTheme="majorEastAsia" w:cstheme="majorEastAsia"/>
          <w:b w:val="0"/>
          <w:color w:val="000000"/>
          <w:sz w:val="21"/>
          <w:szCs w:val="21"/>
        </w:rPr>
        <w:t>三、质量标准</w:t>
      </w:r>
      <w:bookmarkEnd w:id="278"/>
    </w:p>
    <w:p>
      <w:pPr>
        <w:spacing w:line="360" w:lineRule="auto"/>
        <w:ind w:firstLine="459"/>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工程质量符合</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标准。</w:t>
      </w:r>
    </w:p>
    <w:p>
      <w:pPr>
        <w:pStyle w:val="5"/>
        <w:spacing w:before="120" w:after="120" w:line="360" w:lineRule="auto"/>
        <w:rPr>
          <w:rFonts w:asciiTheme="majorEastAsia" w:hAnsiTheme="majorEastAsia" w:eastAsiaTheme="majorEastAsia" w:cstheme="majorEastAsia"/>
          <w:bCs w:val="0"/>
          <w:color w:val="000000"/>
          <w:sz w:val="21"/>
          <w:szCs w:val="21"/>
        </w:rPr>
      </w:pPr>
      <w:bookmarkStart w:id="279" w:name="_Toc351203484"/>
      <w:r>
        <w:rPr>
          <w:rFonts w:hint="eastAsia" w:asciiTheme="majorEastAsia" w:hAnsiTheme="majorEastAsia" w:eastAsiaTheme="majorEastAsia" w:cstheme="majorEastAsia"/>
          <w:b w:val="0"/>
          <w:color w:val="000000"/>
          <w:sz w:val="21"/>
          <w:szCs w:val="21"/>
        </w:rPr>
        <w:t>四、签约合同价与合同价格形式</w:t>
      </w:r>
      <w:bookmarkEnd w:id="279"/>
      <w:r>
        <w:rPr>
          <w:rFonts w:hint="eastAsia" w:asciiTheme="majorEastAsia" w:hAnsiTheme="majorEastAsia" w:eastAsiaTheme="majorEastAsia" w:cstheme="majorEastAsia"/>
          <w:b w:val="0"/>
          <w:color w:val="000000"/>
          <w:sz w:val="21"/>
          <w:szCs w:val="21"/>
        </w:rPr>
        <w:tab/>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1.签约合同价（暂定）为：人民币（大写）</w:t>
      </w:r>
      <w:r>
        <w:rPr>
          <w:rFonts w:hint="eastAsia" w:asciiTheme="majorEastAsia" w:hAnsiTheme="majorEastAsia" w:eastAsiaTheme="majorEastAsia" w:cstheme="majorEastAsia"/>
          <w:color w:val="000000"/>
          <w:szCs w:val="21"/>
          <w:u w:val="single"/>
        </w:rPr>
        <w:t xml:space="preserve">          </w:t>
      </w:r>
      <w:r>
        <w:rPr>
          <w:rFonts w:hint="eastAsia" w:asciiTheme="majorEastAsia" w:hAnsiTheme="majorEastAsia" w:eastAsiaTheme="majorEastAsia" w:cstheme="majorEastAsia"/>
          <w:color w:val="000000"/>
          <w:szCs w:val="21"/>
        </w:rPr>
        <w:t xml:space="preserve"> </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其中：</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（1）安全文明施工费：</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（2）材料和工程设备暂估价金额：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（3）专业工程暂估价金额：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spacing w:line="360" w:lineRule="auto"/>
        <w:ind w:firstLine="420" w:firstLineChars="2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（4）暂列金额：</w:t>
      </w:r>
    </w:p>
    <w:p>
      <w:pPr>
        <w:spacing w:line="360" w:lineRule="auto"/>
        <w:ind w:firstLine="945" w:firstLineChars="4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人民币（大写）</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 xml:space="preserve"> (¥</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rPr>
        <w:t>元)。</w:t>
      </w:r>
    </w:p>
    <w:p>
      <w:pPr>
        <w:numPr>
          <w:ilvl w:val="0"/>
          <w:numId w:val="0"/>
        </w:num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lang w:val="en-US" w:eastAsia="zh-CN"/>
        </w:rPr>
        <w:t>2.</w:t>
      </w:r>
      <w:r>
        <w:rPr>
          <w:rFonts w:hint="eastAsia" w:asciiTheme="majorEastAsia" w:hAnsiTheme="majorEastAsia" w:eastAsiaTheme="majorEastAsia" w:cstheme="majorEastAsia"/>
          <w:color w:val="000000"/>
          <w:szCs w:val="21"/>
        </w:rPr>
        <w:t>合同价格形式：</w:t>
      </w:r>
      <w:r>
        <w:rPr>
          <w:rFonts w:hint="eastAsia" w:asciiTheme="majorEastAsia" w:hAnsiTheme="majorEastAsia" w:eastAsiaTheme="majorEastAsia" w:cstheme="majorEastAsia"/>
          <w:color w:val="000000"/>
          <w:szCs w:val="21"/>
          <w:u w:val="single"/>
        </w:rPr>
        <w:t></w:t>
      </w:r>
      <w:r>
        <w:rPr>
          <w:rFonts w:hint="eastAsia" w:asciiTheme="majorEastAsia" w:hAnsiTheme="majorEastAsia" w:eastAsiaTheme="majorEastAsia" w:cstheme="majorEastAsia"/>
          <w:color w:val="000000"/>
          <w:szCs w:val="21"/>
          <w:u w:val="single"/>
          <w:lang w:val="en-US" w:eastAsia="zh-CN"/>
        </w:rPr>
        <w:t>暂估工程量，固定综合单价</w:t>
      </w:r>
      <w:r>
        <w:rPr>
          <w:rFonts w:hint="eastAsia" w:asciiTheme="majorEastAsia" w:hAnsiTheme="majorEastAsia" w:eastAsiaTheme="majorEastAsia" w:cstheme="majorEastAsia"/>
          <w:color w:val="000000"/>
          <w:szCs w:val="21"/>
          <w:u w:val="single"/>
        </w:rPr>
        <w:t xml:space="preserve">      </w:t>
      </w:r>
    </w:p>
    <w:p>
      <w:pPr>
        <w:spacing w:line="360" w:lineRule="auto"/>
        <w:ind w:firstLine="420" w:firstLineChars="200"/>
        <w:rPr>
          <w:rFonts w:hint="eastAsia" w:asciiTheme="majorEastAsia" w:hAnsiTheme="majorEastAsia" w:eastAsiaTheme="majorEastAsia" w:cstheme="majorEastAsia"/>
          <w:b/>
          <w:bCs/>
          <w:kern w:val="2"/>
          <w:sz w:val="21"/>
          <w:szCs w:val="21"/>
          <w:u w:val="single"/>
          <w:lang w:val="en-US" w:eastAsia="zh-CN" w:bidi="ar-SA"/>
        </w:rPr>
      </w:pPr>
      <w:r>
        <w:rPr>
          <w:rFonts w:asciiTheme="majorEastAsia" w:hAnsiTheme="majorEastAsia" w:eastAsiaTheme="majorEastAsia" w:cstheme="majorEastAsia"/>
          <w:sz w:val="21"/>
          <w:szCs w:val="21"/>
          <w:u w:val="none"/>
        </w:rPr>
        <w:t>3.</w:t>
      </w:r>
      <w:r>
        <w:rPr>
          <w:rFonts w:hint="eastAsia" w:asciiTheme="majorEastAsia" w:hAnsiTheme="majorEastAsia" w:eastAsiaTheme="majorEastAsia" w:cstheme="majorEastAsia"/>
          <w:sz w:val="21"/>
          <w:szCs w:val="21"/>
          <w:u w:val="none"/>
        </w:rPr>
        <w:t>付款方式：</w:t>
      </w:r>
      <w:bookmarkStart w:id="280" w:name="_Toc351203485"/>
      <w:r>
        <w:rPr>
          <w:rFonts w:hint="eastAsia" w:asciiTheme="majorEastAsia" w:hAnsiTheme="majorEastAsia" w:eastAsiaTheme="majorEastAsia" w:cstheme="majorEastAsia"/>
          <w:b/>
          <w:bCs/>
          <w:kern w:val="2"/>
          <w:sz w:val="21"/>
          <w:szCs w:val="21"/>
          <w:u w:val="single"/>
          <w:lang w:val="en-US" w:eastAsia="zh-CN" w:bidi="ar-SA"/>
        </w:rPr>
        <w:t>承包人应严格按照承包范围和内容施工，工程进度款根据工程价款与实际完成的工程量，工程竣工验收合格后且经第三方审计结算后支付工程结算价的 90 %，同时开具工程款全额发票，剩余 10 %作为质保金，工程验收合格之日起 一  年后无质量问题，无息一次付清剩余部分质保金。</w:t>
      </w:r>
    </w:p>
    <w:p>
      <w:pPr>
        <w:pStyle w:val="20"/>
        <w:tabs>
          <w:tab w:val="left" w:pos="312"/>
        </w:tabs>
        <w:spacing w:before="120" w:after="120" w:line="360" w:lineRule="auto"/>
        <w:ind w:left="0" w:leftChars="0" w:firstLine="632" w:firstLineChars="3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
          <w:bCs/>
          <w:sz w:val="21"/>
          <w:szCs w:val="21"/>
        </w:rPr>
        <w:t>根据发包方实际情况确定，电汇、转账或承兑汇票。</w:t>
      </w:r>
    </w:p>
    <w:p>
      <w:pPr>
        <w:pStyle w:val="20"/>
        <w:spacing w:before="120" w:after="120" w:line="360" w:lineRule="auto"/>
        <w:ind w:left="420" w:firstLine="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五、</w:t>
      </w:r>
      <w:bookmarkEnd w:id="280"/>
      <w:r>
        <w:rPr>
          <w:rFonts w:hint="eastAsia" w:asciiTheme="majorEastAsia" w:hAnsiTheme="majorEastAsia" w:eastAsiaTheme="majorEastAsia" w:cstheme="majorEastAsia"/>
          <w:color w:val="000000"/>
          <w:sz w:val="21"/>
          <w:szCs w:val="21"/>
        </w:rPr>
        <w:t>项目经理</w:t>
      </w:r>
    </w:p>
    <w:p>
      <w:pPr>
        <w:spacing w:line="360" w:lineRule="auto"/>
        <w:ind w:firstLine="420" w:firstLineChars="200"/>
        <w:rPr>
          <w:rFonts w:asciiTheme="majorEastAsia" w:hAnsiTheme="majorEastAsia" w:eastAsiaTheme="majorEastAsia" w:cstheme="majorEastAsia"/>
          <w:color w:val="000000"/>
          <w:szCs w:val="21"/>
          <w:u w:val="single"/>
        </w:rPr>
      </w:pPr>
      <w:r>
        <w:rPr>
          <w:rFonts w:hint="eastAsia" w:asciiTheme="majorEastAsia" w:hAnsiTheme="majorEastAsia" w:eastAsiaTheme="majorEastAsia" w:cstheme="majorEastAsia"/>
          <w:color w:val="000000"/>
          <w:szCs w:val="21"/>
        </w:rPr>
        <w:t>承包人项目经理：</w:t>
      </w:r>
      <w:r>
        <w:rPr>
          <w:rFonts w:hint="eastAsia" w:asciiTheme="majorEastAsia" w:hAnsiTheme="majorEastAsia" w:eastAsiaTheme="majorEastAsia" w:cstheme="majorEastAsia"/>
          <w:color w:val="000000"/>
          <w:szCs w:val="21"/>
          <w:u w:val="single"/>
        </w:rPr>
        <w:t xml:space="preserve">            </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1" w:name="_Toc351203486"/>
      <w:r>
        <w:rPr>
          <w:rFonts w:hint="eastAsia" w:asciiTheme="majorEastAsia" w:hAnsiTheme="majorEastAsia" w:eastAsiaTheme="majorEastAsia" w:cstheme="majorEastAsia"/>
          <w:b w:val="0"/>
          <w:color w:val="000000"/>
          <w:sz w:val="21"/>
          <w:szCs w:val="21"/>
        </w:rPr>
        <w:t>六、合同文件构成</w:t>
      </w:r>
      <w:bookmarkEnd w:id="281"/>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本协议书与下列文件一起构成合同文件：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（1）中标通知书；</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（2）投标函及其附录；</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（3）专用合同条款及其附件；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（4）通用合同条款；</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（5）技术标准和要求；</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（6）图纸；</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 xml:space="preserve">（7）工程报价单或预算书； </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（8）其他合同文件。</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5"/>
        <w:spacing w:before="120" w:after="120" w:line="360" w:lineRule="auto"/>
        <w:rPr>
          <w:rFonts w:asciiTheme="majorEastAsia" w:hAnsiTheme="majorEastAsia" w:eastAsiaTheme="majorEastAsia" w:cstheme="majorEastAsia"/>
          <w:b w:val="0"/>
          <w:bCs w:val="0"/>
          <w:color w:val="000000"/>
          <w:sz w:val="21"/>
          <w:szCs w:val="21"/>
        </w:rPr>
      </w:pPr>
      <w:bookmarkStart w:id="282" w:name="_Toc351203487"/>
      <w:r>
        <w:rPr>
          <w:rFonts w:hint="eastAsia" w:asciiTheme="majorEastAsia" w:hAnsiTheme="majorEastAsia" w:eastAsiaTheme="majorEastAsia" w:cstheme="majorEastAsia"/>
          <w:b w:val="0"/>
          <w:color w:val="000000"/>
          <w:sz w:val="21"/>
          <w:szCs w:val="21"/>
        </w:rPr>
        <w:t>七、承诺</w:t>
      </w:r>
      <w:bookmarkEnd w:id="282"/>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1.发包人承诺按照法律规定履行项目审批手续、筹集工程建设资金并按照合同约定的期限和方式支付合同价款。</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2.承包人承诺按照法律规定及合同约定组织完成工程施工，确保工程质量和安全，不进行转包及违法分包，并在缺陷责任期及保修期内承担相应的工程维修责任。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3.发包人和承包人通过招投标形式签订合同的，双方理解并承诺不再就同一工程另行签订与合同实质性内容相背离的协议。</w:t>
      </w:r>
    </w:p>
    <w:p>
      <w:pPr>
        <w:spacing w:line="360" w:lineRule="auto"/>
        <w:rPr>
          <w:rFonts w:asciiTheme="majorEastAsia" w:hAnsiTheme="majorEastAsia" w:eastAsiaTheme="majorEastAsia" w:cstheme="majorEastAsia"/>
          <w:bCs/>
          <w:color w:val="000000"/>
          <w:szCs w:val="21"/>
        </w:rPr>
      </w:pPr>
      <w:bookmarkStart w:id="283" w:name="_Toc351203488"/>
      <w:r>
        <w:rPr>
          <w:rFonts w:hint="eastAsia" w:asciiTheme="majorEastAsia" w:hAnsiTheme="majorEastAsia" w:eastAsiaTheme="majorEastAsia" w:cstheme="majorEastAsia"/>
          <w:b/>
          <w:color w:val="000000"/>
          <w:szCs w:val="21"/>
        </w:rPr>
        <w:t>八、词语含义</w:t>
      </w:r>
      <w:bookmarkEnd w:id="283"/>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本协议书中词语含义与第二部分通用合同条款中赋予的含义相同。</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4" w:name="_Toc351203489"/>
      <w:r>
        <w:rPr>
          <w:rFonts w:hint="eastAsia" w:asciiTheme="majorEastAsia" w:hAnsiTheme="majorEastAsia" w:eastAsiaTheme="majorEastAsia" w:cstheme="majorEastAsia"/>
          <w:b w:val="0"/>
          <w:color w:val="000000"/>
          <w:sz w:val="21"/>
          <w:szCs w:val="21"/>
        </w:rPr>
        <w:t>九、签订时间</w:t>
      </w:r>
      <w:bookmarkEnd w:id="284"/>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本合同于</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年</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月</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日签订。</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5" w:name="_Toc351203490"/>
      <w:r>
        <w:rPr>
          <w:rFonts w:hint="eastAsia" w:asciiTheme="majorEastAsia" w:hAnsiTheme="majorEastAsia" w:eastAsiaTheme="majorEastAsia" w:cstheme="majorEastAsia"/>
          <w:b w:val="0"/>
          <w:color w:val="000000"/>
          <w:sz w:val="21"/>
          <w:szCs w:val="21"/>
        </w:rPr>
        <w:t>十、签订地点</w:t>
      </w:r>
      <w:bookmarkEnd w:id="285"/>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本合同在</w:t>
      </w:r>
      <w:r>
        <w:rPr>
          <w:rFonts w:hint="eastAsia" w:asciiTheme="majorEastAsia" w:hAnsiTheme="majorEastAsia" w:eastAsiaTheme="majorEastAsia" w:cstheme="majorEastAsia"/>
          <w:bCs/>
          <w:color w:val="000000"/>
          <w:szCs w:val="21"/>
          <w:u w:val="single"/>
        </w:rPr>
        <w:t>冀东海天水泥闻喜有限责任公司</w:t>
      </w:r>
      <w:r>
        <w:rPr>
          <w:rFonts w:hint="eastAsia" w:asciiTheme="majorEastAsia" w:hAnsiTheme="majorEastAsia" w:eastAsiaTheme="majorEastAsia" w:cstheme="majorEastAsia"/>
          <w:bCs/>
          <w:color w:val="000000"/>
          <w:szCs w:val="21"/>
        </w:rPr>
        <w:t>签订。</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6" w:name="_Toc351203491"/>
      <w:r>
        <w:rPr>
          <w:rFonts w:hint="eastAsia" w:asciiTheme="majorEastAsia" w:hAnsiTheme="majorEastAsia" w:eastAsiaTheme="majorEastAsia" w:cstheme="majorEastAsia"/>
          <w:b w:val="0"/>
          <w:color w:val="000000"/>
          <w:sz w:val="21"/>
          <w:szCs w:val="21"/>
        </w:rPr>
        <w:t>十一、补充协议</w:t>
      </w:r>
      <w:bookmarkEnd w:id="286"/>
    </w:p>
    <w:p>
      <w:pPr>
        <w:spacing w:line="360" w:lineRule="auto"/>
        <w:ind w:firstLine="420" w:firstLineChars="200"/>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Cs/>
          <w:color w:val="000000"/>
          <w:szCs w:val="21"/>
        </w:rPr>
        <w:t>合同未尽事宜，合同当事人另行签订补充协议，补充协议是合同的组成部分。</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7" w:name="_Toc351203492"/>
      <w:r>
        <w:rPr>
          <w:rFonts w:hint="eastAsia" w:asciiTheme="majorEastAsia" w:hAnsiTheme="majorEastAsia" w:eastAsiaTheme="majorEastAsia" w:cstheme="majorEastAsia"/>
          <w:b w:val="0"/>
          <w:color w:val="000000"/>
          <w:sz w:val="21"/>
          <w:szCs w:val="21"/>
        </w:rPr>
        <w:t>十二、合同生效</w:t>
      </w:r>
      <w:bookmarkEnd w:id="287"/>
    </w:p>
    <w:p>
      <w:pPr>
        <w:spacing w:line="360" w:lineRule="auto"/>
        <w:ind w:firstLine="420" w:firstLineChars="200"/>
        <w:rPr>
          <w:rFonts w:asciiTheme="majorEastAsia" w:hAnsiTheme="majorEastAsia" w:eastAsiaTheme="majorEastAsia" w:cstheme="majorEastAsia"/>
          <w:bCs/>
          <w:color w:val="000000"/>
          <w:szCs w:val="21"/>
        </w:rPr>
      </w:pPr>
      <w:r>
        <w:rPr>
          <w:rFonts w:hint="eastAsia" w:asciiTheme="majorEastAsia" w:hAnsiTheme="majorEastAsia" w:eastAsiaTheme="majorEastAsia" w:cstheme="majorEastAsia"/>
          <w:bCs/>
          <w:color w:val="000000"/>
          <w:szCs w:val="21"/>
        </w:rPr>
        <w:t>本合同自</w:t>
      </w:r>
      <w:r>
        <w:rPr>
          <w:rFonts w:hint="eastAsia" w:asciiTheme="majorEastAsia" w:hAnsiTheme="majorEastAsia" w:eastAsiaTheme="majorEastAsia" w:cstheme="majorEastAsia"/>
          <w:bCs/>
          <w:color w:val="000000"/>
          <w:szCs w:val="21"/>
          <w:u w:val="single"/>
        </w:rPr>
        <w:t>签订之日</w:t>
      </w:r>
      <w:r>
        <w:rPr>
          <w:rFonts w:hint="eastAsia" w:asciiTheme="majorEastAsia" w:hAnsiTheme="majorEastAsia" w:eastAsiaTheme="majorEastAsia" w:cstheme="majorEastAsia"/>
          <w:bCs/>
          <w:color w:val="000000"/>
          <w:szCs w:val="21"/>
        </w:rPr>
        <w:t>生效。</w:t>
      </w:r>
    </w:p>
    <w:p>
      <w:pPr>
        <w:pStyle w:val="5"/>
        <w:spacing w:before="120" w:after="120" w:line="360" w:lineRule="auto"/>
        <w:rPr>
          <w:rFonts w:asciiTheme="majorEastAsia" w:hAnsiTheme="majorEastAsia" w:eastAsiaTheme="majorEastAsia" w:cstheme="majorEastAsia"/>
          <w:bCs w:val="0"/>
          <w:color w:val="000000"/>
          <w:sz w:val="21"/>
          <w:szCs w:val="21"/>
        </w:rPr>
      </w:pPr>
      <w:bookmarkStart w:id="288" w:name="_Toc351203493"/>
      <w:r>
        <w:rPr>
          <w:rFonts w:hint="eastAsia" w:asciiTheme="majorEastAsia" w:hAnsiTheme="majorEastAsia" w:eastAsiaTheme="majorEastAsia" w:cstheme="majorEastAsia"/>
          <w:b w:val="0"/>
          <w:color w:val="000000"/>
          <w:sz w:val="21"/>
          <w:szCs w:val="21"/>
        </w:rPr>
        <w:t>十三、合同份数</w:t>
      </w:r>
      <w:bookmarkEnd w:id="288"/>
    </w:p>
    <w:p>
      <w:pPr>
        <w:spacing w:line="360" w:lineRule="auto"/>
        <w:ind w:firstLine="420" w:firstLineChars="200"/>
        <w:rPr>
          <w:rFonts w:asciiTheme="majorEastAsia" w:hAnsiTheme="majorEastAsia" w:eastAsiaTheme="majorEastAsia" w:cstheme="majorEastAsia"/>
          <w:bCs/>
          <w:szCs w:val="21"/>
        </w:rPr>
      </w:pPr>
      <w:r>
        <w:rPr>
          <w:rFonts w:hint="eastAsia" w:asciiTheme="majorEastAsia" w:hAnsiTheme="majorEastAsia" w:eastAsiaTheme="majorEastAsia" w:cstheme="majorEastAsia"/>
          <w:bCs/>
          <w:color w:val="000000"/>
          <w:szCs w:val="21"/>
        </w:rPr>
        <w:t>本合同一式</w:t>
      </w:r>
      <w:r>
        <w:rPr>
          <w:rFonts w:hint="eastAsia" w:asciiTheme="majorEastAsia" w:hAnsiTheme="majorEastAsia" w:eastAsiaTheme="majorEastAsia" w:cstheme="majorEastAsia"/>
          <w:bCs/>
          <w:color w:val="000000"/>
          <w:szCs w:val="21"/>
          <w:u w:val="single"/>
        </w:rPr>
        <w:t xml:space="preserve">  陆 </w:t>
      </w:r>
      <w:r>
        <w:rPr>
          <w:rFonts w:hint="eastAsia" w:asciiTheme="majorEastAsia" w:hAnsiTheme="majorEastAsia" w:eastAsiaTheme="majorEastAsia" w:cstheme="majorEastAsia"/>
          <w:bCs/>
          <w:color w:val="000000"/>
          <w:szCs w:val="21"/>
        </w:rPr>
        <w:t xml:space="preserve">份，均具有同等法律效力，发包人执 </w:t>
      </w:r>
      <w:r>
        <w:rPr>
          <w:rFonts w:hint="eastAsia" w:asciiTheme="majorEastAsia" w:hAnsiTheme="majorEastAsia" w:eastAsiaTheme="majorEastAsia" w:cstheme="majorEastAsia"/>
          <w:bCs/>
          <w:color w:val="000000"/>
          <w:szCs w:val="21"/>
          <w:u w:val="single"/>
        </w:rPr>
        <w:t>肆</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份，承包人执</w:t>
      </w:r>
      <w:r>
        <w:rPr>
          <w:rFonts w:hint="eastAsia" w:asciiTheme="majorEastAsia" w:hAnsiTheme="majorEastAsia" w:eastAsiaTheme="majorEastAsia" w:cstheme="majorEastAsia"/>
          <w:bCs/>
          <w:szCs w:val="21"/>
          <w:u w:val="single"/>
        </w:rPr>
        <w:t xml:space="preserve"> 贰</w:t>
      </w:r>
      <w:r>
        <w:rPr>
          <w:rFonts w:hint="eastAsia" w:asciiTheme="majorEastAsia" w:hAnsiTheme="majorEastAsia" w:eastAsiaTheme="majorEastAsia" w:cstheme="majorEastAsia"/>
          <w:bCs/>
          <w:szCs w:val="21"/>
        </w:rPr>
        <w:t>份。</w:t>
      </w:r>
    </w:p>
    <w:p>
      <w:pPr>
        <w:spacing w:line="360" w:lineRule="auto"/>
        <w:ind w:left="2415" w:hanging="2415" w:hangingChars="115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发包人： 冀东海天水泥闻喜有限责任公司        承包人：</w:t>
      </w:r>
    </w:p>
    <w:p>
      <w:pPr>
        <w:spacing w:line="360" w:lineRule="auto"/>
        <w:ind w:firstLine="1050" w:firstLineChars="5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（公章)                       (公章)</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法定代表人或其委托代理人：              法定代表人或其委托代理人：</w:t>
      </w:r>
    </w:p>
    <w:p>
      <w:pPr>
        <w:spacing w:line="360" w:lineRule="auto"/>
        <w:ind w:firstLine="840" w:firstLineChars="400"/>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（签字）                     （签字）</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日期：  年   月   日                   日期：   年    月    日</w:t>
      </w:r>
    </w:p>
    <w:p>
      <w:pPr>
        <w:tabs>
          <w:tab w:val="left" w:pos="4410"/>
        </w:tabs>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组织机构代码：</w:t>
      </w:r>
      <w:r>
        <w:rPr>
          <w:rFonts w:hint="eastAsia" w:asciiTheme="majorEastAsia" w:hAnsiTheme="majorEastAsia" w:eastAsiaTheme="majorEastAsia" w:cstheme="majorEastAsia"/>
          <w:color w:val="000000"/>
          <w:szCs w:val="21"/>
          <w:u w:val="single"/>
        </w:rPr>
        <w:t xml:space="preserve">     </w:t>
      </w:r>
      <w:r>
        <w:rPr>
          <w:rFonts w:hint="eastAsia" w:asciiTheme="majorEastAsia" w:hAnsiTheme="majorEastAsia" w:eastAsiaTheme="majorEastAsia" w:cstheme="majorEastAsia"/>
          <w:color w:val="000000"/>
          <w:szCs w:val="21"/>
        </w:rPr>
        <w:t xml:space="preserve">                  组织机构代码：</w:t>
      </w:r>
      <w:r>
        <w:rPr>
          <w:rFonts w:hint="eastAsia" w:asciiTheme="majorEastAsia" w:hAnsiTheme="majorEastAsia" w:eastAsiaTheme="majorEastAsia" w:cstheme="majorEastAsia"/>
          <w:color w:val="000000"/>
          <w:szCs w:val="21"/>
          <w:u w:val="single"/>
        </w:rPr>
        <w:t xml:space="preserve">                    </w:t>
      </w:r>
    </w:p>
    <w:p>
      <w:pPr>
        <w:spacing w:line="360" w:lineRule="auto"/>
        <w:ind w:left="4515" w:hanging="4515" w:hangingChars="2150"/>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szCs w:val="21"/>
        </w:rPr>
        <w:t>地  址：                                 地  址：</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邮政编码：                          邮政编码：</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                          法定代表人：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委托代理人：                         委托代理人：</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  话：                         电  话：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传  真：                       传  真： </w:t>
      </w:r>
    </w:p>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电子信箱：                              电子信箱： </w:t>
      </w:r>
    </w:p>
    <w:p>
      <w:pPr>
        <w:spacing w:line="360" w:lineRule="auto"/>
        <w:ind w:left="3990" w:hanging="3990" w:hangingChars="19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开户银行：                             开户银行：</w:t>
      </w:r>
    </w:p>
    <w:p>
      <w:pPr>
        <w:spacing w:line="360" w:lineRule="auto"/>
      </w:pPr>
      <w:r>
        <w:rPr>
          <w:rFonts w:hint="eastAsia" w:asciiTheme="majorEastAsia" w:hAnsiTheme="majorEastAsia" w:eastAsiaTheme="majorEastAsia" w:cstheme="majorEastAsia"/>
          <w:szCs w:val="21"/>
        </w:rPr>
        <w:t>账 号：                             账号：</w:t>
      </w:r>
    </w:p>
    <w:p>
      <w:pPr>
        <w:spacing w:line="400" w:lineRule="exact"/>
      </w:pPr>
    </w:p>
    <w:p>
      <w:pPr>
        <w:pStyle w:val="13"/>
        <w:tabs>
          <w:tab w:val="left" w:pos="720"/>
          <w:tab w:val="left" w:pos="7560"/>
        </w:tabs>
        <w:adjustRightInd w:val="0"/>
        <w:snapToGrid w:val="0"/>
        <w:spacing w:line="360" w:lineRule="auto"/>
        <w:jc w:val="center"/>
        <w:outlineLvl w:val="1"/>
        <w:rPr>
          <w:rFonts w:ascii="黑体" w:hAnsi="宋体" w:eastAsia="黑体"/>
          <w:sz w:val="36"/>
          <w:szCs w:val="36"/>
        </w:rPr>
      </w:pPr>
      <w:bookmarkStart w:id="289" w:name="_Toc24552"/>
      <w:bookmarkStart w:id="290" w:name="_Toc13765"/>
      <w:bookmarkStart w:id="291" w:name="_Toc144974826"/>
      <w:bookmarkStart w:id="292" w:name="_Toc152042546"/>
      <w:bookmarkStart w:id="293" w:name="_Toc179632785"/>
      <w:bookmarkStart w:id="294" w:name="_Toc152045767"/>
      <w:r>
        <w:rPr>
          <w:rFonts w:hint="eastAsia" w:ascii="黑体" w:hAnsi="宋体" w:eastAsia="黑体"/>
          <w:sz w:val="36"/>
          <w:szCs w:val="36"/>
        </w:rPr>
        <w:t>第二部分  通用条款</w:t>
      </w:r>
      <w:bookmarkEnd w:id="289"/>
      <w:bookmarkEnd w:id="290"/>
    </w:p>
    <w:p>
      <w:pPr>
        <w:pStyle w:val="13"/>
        <w:adjustRightInd w:val="0"/>
        <w:snapToGrid w:val="0"/>
        <w:spacing w:line="360" w:lineRule="auto"/>
        <w:jc w:val="center"/>
        <w:rPr>
          <w:rFonts w:ascii="黑体" w:hAnsi="宋体" w:eastAsia="黑体"/>
          <w:sz w:val="32"/>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（详见合同范本通用条款）</w:t>
      </w:r>
    </w:p>
    <w:p>
      <w:pPr>
        <w:spacing w:line="360" w:lineRule="auto"/>
        <w:jc w:val="center"/>
        <w:rPr>
          <w:rFonts w:eastAsia="黑体"/>
          <w:sz w:val="36"/>
        </w:rPr>
      </w:pPr>
    </w:p>
    <w:p>
      <w:pPr>
        <w:spacing w:line="360" w:lineRule="auto"/>
        <w:jc w:val="left"/>
        <w:rPr>
          <w:rFonts w:eastAsia="黑体"/>
          <w:sz w:val="36"/>
        </w:rPr>
      </w:pPr>
    </w:p>
    <w:p>
      <w:pPr>
        <w:tabs>
          <w:tab w:val="left" w:pos="2220"/>
          <w:tab w:val="center" w:pos="4156"/>
        </w:tabs>
        <w:spacing w:line="360" w:lineRule="auto"/>
        <w:jc w:val="left"/>
        <w:outlineLvl w:val="1"/>
        <w:rPr>
          <w:rFonts w:eastAsia="黑体"/>
          <w:sz w:val="36"/>
        </w:rPr>
      </w:pPr>
      <w:r>
        <w:rPr>
          <w:rFonts w:eastAsia="黑体"/>
          <w:sz w:val="36"/>
        </w:rPr>
        <w:tab/>
      </w:r>
      <w:r>
        <w:rPr>
          <w:rFonts w:hint="eastAsia" w:eastAsia="黑体"/>
          <w:sz w:val="36"/>
        </w:rPr>
        <w:t xml:space="preserve">   </w:t>
      </w:r>
      <w:bookmarkStart w:id="295" w:name="_Toc20656"/>
      <w:bookmarkStart w:id="296" w:name="_Toc18368"/>
      <w:r>
        <w:rPr>
          <w:rFonts w:hint="eastAsia" w:eastAsia="黑体"/>
          <w:sz w:val="36"/>
        </w:rPr>
        <w:t>第三部分  专用条款</w:t>
      </w:r>
      <w:bookmarkEnd w:id="295"/>
      <w:bookmarkEnd w:id="296"/>
    </w:p>
    <w:p>
      <w:pPr>
        <w:spacing w:line="360" w:lineRule="auto"/>
        <w:rPr>
          <w:rFonts w:eastAsia="黑体"/>
        </w:rPr>
      </w:pPr>
    </w:p>
    <w:p>
      <w:pPr>
        <w:spacing w:line="360" w:lineRule="auto"/>
        <w:rPr>
          <w:rFonts w:eastAsia="黑体"/>
        </w:rPr>
      </w:pPr>
    </w:p>
    <w:p>
      <w:pPr>
        <w:rPr>
          <w:rFonts w:ascii="宋体" w:hAnsi="宋体" w:cs="宋体"/>
          <w:b/>
          <w:bCs/>
          <w:sz w:val="28"/>
          <w:szCs w:val="28"/>
        </w:rPr>
      </w:pPr>
    </w:p>
    <w:p>
      <w:pPr>
        <w:pStyle w:val="13"/>
        <w:adjustRightInd w:val="0"/>
        <w:snapToGrid w:val="0"/>
        <w:spacing w:line="360" w:lineRule="auto"/>
        <w:jc w:val="center"/>
        <w:rPr>
          <w:rFonts w:hAnsi="宋体" w:cs="宋体"/>
          <w:b/>
          <w:bCs/>
          <w:sz w:val="28"/>
          <w:szCs w:val="28"/>
        </w:rPr>
      </w:pPr>
      <w:r>
        <w:rPr>
          <w:rFonts w:hint="eastAsia" w:hAnsi="宋体" w:cs="宋体"/>
          <w:b/>
          <w:bCs/>
          <w:sz w:val="28"/>
          <w:szCs w:val="28"/>
        </w:rPr>
        <w:t>（详见合同范本—专用条款）</w:t>
      </w:r>
    </w:p>
    <w:p>
      <w:pPr>
        <w:pStyle w:val="30"/>
        <w:spacing w:before="20" w:after="20" w:line="300" w:lineRule="auto"/>
        <w:ind w:left="0" w:right="23"/>
        <w:jc w:val="both"/>
        <w:rPr>
          <w:rFonts w:ascii="黑体" w:eastAsia="黑体"/>
          <w:b/>
          <w:spacing w:val="20"/>
          <w:sz w:val="44"/>
        </w:rPr>
      </w:pPr>
      <w:r>
        <w:rPr>
          <w:rFonts w:hint="eastAsia" w:asciiTheme="majorEastAsia" w:hAnsiTheme="majorEastAsia" w:eastAsiaTheme="majorEastAsia" w:cstheme="majorEastAsia"/>
          <w:color w:val="000000"/>
          <w:sz w:val="21"/>
          <w:szCs w:val="21"/>
        </w:rPr>
        <w:br w:type="page"/>
      </w:r>
    </w:p>
    <w:p>
      <w:pPr>
        <w:pStyle w:val="30"/>
        <w:spacing w:before="20" w:after="20" w:line="180" w:lineRule="exact"/>
        <w:ind w:left="218" w:leftChars="104" w:right="23" w:firstLine="440" w:firstLineChars="100"/>
        <w:jc w:val="center"/>
        <w:rPr>
          <w:rFonts w:ascii="黑体" w:eastAsia="黑体"/>
          <w:sz w:val="44"/>
        </w:rPr>
      </w:pPr>
    </w:p>
    <w:bookmarkEnd w:id="291"/>
    <w:bookmarkEnd w:id="292"/>
    <w:bookmarkEnd w:id="293"/>
    <w:bookmarkEnd w:id="294"/>
    <w:p>
      <w:pPr>
        <w:pStyle w:val="2"/>
        <w:numPr>
          <w:ilvl w:val="0"/>
          <w:numId w:val="3"/>
        </w:numPr>
        <w:spacing w:before="120" w:after="120" w:line="400" w:lineRule="exact"/>
        <w:jc w:val="center"/>
        <w:rPr>
          <w:rFonts w:asciiTheme="minorEastAsia" w:hAnsiTheme="minorEastAsia" w:cstheme="minorEastAsia"/>
          <w:sz w:val="32"/>
          <w:szCs w:val="32"/>
        </w:rPr>
      </w:pPr>
      <w:bookmarkStart w:id="297" w:name="_Toc152042554"/>
      <w:bookmarkStart w:id="298" w:name="_Toc144974834"/>
      <w:bookmarkStart w:id="299" w:name="_Toc152045772"/>
      <w:bookmarkStart w:id="300" w:name="_Toc179632789"/>
      <w:r>
        <w:rPr>
          <w:rFonts w:hint="eastAsia" w:ascii="黑体" w:hAnsi="黑体" w:eastAsia="黑体"/>
          <w:b w:val="0"/>
          <w:bCs w:val="0"/>
          <w:sz w:val="32"/>
          <w:szCs w:val="32"/>
        </w:rPr>
        <w:t xml:space="preserve"> 技术要求及工程量清单</w:t>
      </w:r>
      <w:bookmarkEnd w:id="297"/>
      <w:bookmarkEnd w:id="298"/>
      <w:bookmarkEnd w:id="299"/>
      <w:bookmarkEnd w:id="300"/>
    </w:p>
    <w:p>
      <w:pPr>
        <w:pStyle w:val="9"/>
        <w:spacing w:line="500" w:lineRule="exact"/>
        <w:ind w:right="820" w:firstLine="480" w:firstLineChars="200"/>
        <w:jc w:val="left"/>
        <w:rPr>
          <w:sz w:val="24"/>
          <w:u w:val="none"/>
        </w:rPr>
      </w:pPr>
      <w:r>
        <w:rPr>
          <w:rFonts w:hint="eastAsia"/>
          <w:sz w:val="24"/>
          <w:u w:val="none"/>
          <w:lang w:val="en-US" w:eastAsia="zh-CN"/>
        </w:rPr>
        <w:t>1、</w:t>
      </w:r>
      <w:r>
        <w:rPr>
          <w:rFonts w:hint="eastAsia"/>
          <w:sz w:val="24"/>
          <w:u w:val="none"/>
        </w:rPr>
        <w:t>本工程技术要求及建设标准应按照国家现行的有关标准、规范、规定和设计图纸相关说明执行。</w:t>
      </w:r>
    </w:p>
    <w:p>
      <w:pPr>
        <w:pStyle w:val="9"/>
        <w:spacing w:line="500" w:lineRule="exact"/>
        <w:ind w:right="820" w:firstLine="480" w:firstLineChars="200"/>
        <w:jc w:val="left"/>
        <w:rPr>
          <w:sz w:val="24"/>
          <w:u w:val="none"/>
        </w:rPr>
      </w:pPr>
      <w:r>
        <w:rPr>
          <w:rFonts w:hint="eastAsia"/>
          <w:sz w:val="24"/>
          <w:u w:val="none"/>
          <w:lang w:val="en-US" w:eastAsia="zh-CN"/>
        </w:rPr>
        <w:t>2、</w:t>
      </w:r>
      <w:r>
        <w:rPr>
          <w:rFonts w:hint="eastAsia"/>
          <w:sz w:val="24"/>
          <w:u w:val="none"/>
        </w:rPr>
        <w:t>在工程实施过程中所采用的材料、设备与工艺，应符合现行国家或行业的工程建设标准、规范的要求。</w:t>
      </w:r>
    </w:p>
    <w:p>
      <w:pPr>
        <w:spacing w:line="360" w:lineRule="auto"/>
        <w:ind w:firstLine="480" w:firstLineChars="200"/>
        <w:rPr>
          <w:rFonts w:hint="eastAsia" w:ascii="Times New Roman" w:hAnsi="Times New Roman" w:eastAsia="宋体" w:cs="宋体"/>
          <w:sz w:val="24"/>
        </w:rPr>
      </w:pPr>
      <w:r>
        <w:rPr>
          <w:rFonts w:hint="eastAsia" w:ascii="Times New Roman" w:hAnsi="Times New Roman" w:eastAsia="宋体" w:cs="宋体"/>
          <w:sz w:val="24"/>
        </w:rPr>
        <w:t>本项目包含税费、运输费、安装费、提供有关的工器具、材料费等费用，承包方负责工器具、材料搬运和、吊车、施工人员的食宿等与施工有关的一切费用，由承包方包工包料施工。</w:t>
      </w:r>
    </w:p>
    <w:p>
      <w:pPr>
        <w:spacing w:line="460" w:lineRule="exact"/>
        <w:ind w:firstLine="480" w:firstLineChars="200"/>
        <w:rPr>
          <w:rFonts w:hint="eastAsia" w:ascii="Times New Roman" w:hAnsi="Times New Roman" w:eastAsia="宋体" w:cs="宋体"/>
          <w:bCs/>
          <w:sz w:val="24"/>
        </w:rPr>
      </w:pPr>
      <w:r>
        <w:rPr>
          <w:rFonts w:hint="eastAsia" w:ascii="Times New Roman" w:hAnsi="Times New Roman" w:eastAsia="宋体" w:cs="宋体"/>
          <w:bCs/>
          <w:sz w:val="24"/>
        </w:rPr>
        <w:t>在基础的两侧进行注浆加固，注浆深度</w:t>
      </w:r>
      <w:r>
        <w:rPr>
          <w:rFonts w:hint="eastAsia" w:ascii="Times New Roman" w:hAnsi="Times New Roman" w:eastAsia="宋体" w:cs="宋体"/>
          <w:bCs/>
          <w:sz w:val="24"/>
          <w:lang w:val="en-US" w:eastAsia="zh-CN"/>
        </w:rPr>
        <w:t>5</w:t>
      </w:r>
      <w:r>
        <w:rPr>
          <w:rFonts w:hint="eastAsia" w:ascii="Times New Roman" w:hAnsi="Times New Roman" w:eastAsia="宋体" w:cs="宋体"/>
          <w:bCs/>
          <w:sz w:val="24"/>
        </w:rPr>
        <w:t>米，注浆直径110mm，在料棚基础两侧进行各设两排注浆孔注浆，注浆间距1000mm,在基础下形成一个板结基础。加大基础的承载力，扩大基础的底面积。</w:t>
      </w:r>
    </w:p>
    <w:p>
      <w:pPr>
        <w:spacing w:line="460" w:lineRule="exact"/>
        <w:ind w:firstLine="480" w:firstLineChars="200"/>
        <w:rPr>
          <w:rFonts w:ascii="宋体" w:hAnsi="宋体"/>
          <w:sz w:val="24"/>
          <w:szCs w:val="24"/>
        </w:rPr>
      </w:pPr>
      <w:r>
        <w:rPr>
          <w:rFonts w:hint="eastAsia" w:ascii="宋体" w:hAnsi="宋体"/>
          <w:sz w:val="24"/>
          <w:szCs w:val="24"/>
        </w:rPr>
        <w:t>按发包人要求施工，工程质量合格，发包人按照现行最新建筑工程施工质量验收标准规范且符合图纸设计及使用单位要求、设计说明、设计变更等相关技术文件，工程未达到合同规定的质量验收标准或未通过政府有关部门的验收，承包人承担由此给发包人造成的损失，同时承包人必须在发包人指定的期限内无偿返工直至通过验收。</w:t>
      </w:r>
    </w:p>
    <w:p>
      <w:pPr>
        <w:spacing w:line="460" w:lineRule="exact"/>
        <w:ind w:firstLine="480" w:firstLineChars="200"/>
        <w:rPr>
          <w:rFonts w:ascii="宋体" w:hAnsi="宋体"/>
          <w:sz w:val="24"/>
          <w:szCs w:val="24"/>
        </w:rPr>
      </w:pPr>
      <w:r>
        <w:rPr>
          <w:rFonts w:hint="eastAsia" w:ascii="宋体" w:hAnsi="宋体"/>
          <w:sz w:val="24"/>
          <w:szCs w:val="24"/>
        </w:rPr>
        <w:t>1、钢构件的定位标记（中心线和标高等标记），对工程峻工后正确地进行定期观测。</w:t>
      </w:r>
    </w:p>
    <w:p>
      <w:pPr>
        <w:spacing w:line="4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、混凝土结构成型尺寸准确，振捣密实，无夹渣、无蜂窝、孔洞和麻面、露筋等缺陷，尺寸偏差符合规范要求；</w:t>
      </w: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pStyle w:val="21"/>
        <w:ind w:firstLine="0" w:firstLineChars="0"/>
        <w:rPr>
          <w:rFonts w:ascii="黑体" w:hAnsi="黑体" w:eastAsia="黑体"/>
          <w:kern w:val="44"/>
          <w:sz w:val="28"/>
          <w:szCs w:val="28"/>
        </w:rPr>
      </w:pPr>
    </w:p>
    <w:p>
      <w:pPr>
        <w:spacing w:before="120" w:after="120"/>
        <w:jc w:val="center"/>
        <w:rPr>
          <w:rFonts w:ascii="黑体" w:hAnsi="黑体" w:eastAsia="黑体"/>
          <w:b/>
          <w:bCs/>
          <w:sz w:val="32"/>
        </w:rPr>
      </w:pPr>
      <w:bookmarkStart w:id="301" w:name="_Toc179632799"/>
    </w:p>
    <w:p>
      <w:pPr>
        <w:rPr>
          <w:rFonts w:ascii="黑体" w:hAnsi="黑体" w:eastAsia="黑体"/>
          <w:b/>
          <w:bCs/>
          <w:sz w:val="32"/>
        </w:rPr>
      </w:pPr>
    </w:p>
    <w:p>
      <w:pPr>
        <w:spacing w:before="120" w:after="120"/>
        <w:jc w:val="center"/>
        <w:rPr>
          <w:rFonts w:ascii="黑体" w:hAnsi="黑体" w:eastAsia="黑体"/>
          <w:b/>
          <w:bCs/>
          <w:sz w:val="32"/>
        </w:rPr>
      </w:pPr>
      <w:r>
        <w:rPr>
          <w:rFonts w:hint="eastAsia" w:ascii="黑体" w:hAnsi="黑体" w:eastAsia="黑体"/>
          <w:b/>
          <w:bCs/>
          <w:sz w:val="32"/>
        </w:rPr>
        <w:t>第二卷</w:t>
      </w:r>
      <w:bookmarkEnd w:id="301"/>
      <w:bookmarkStart w:id="302" w:name="_Toc152045782"/>
      <w:bookmarkStart w:id="303" w:name="_Toc179632800"/>
      <w:bookmarkStart w:id="304" w:name="_Toc144974851"/>
      <w:bookmarkStart w:id="305" w:name="_Toc152042571"/>
    </w:p>
    <w:p>
      <w:pPr>
        <w:spacing w:before="120" w:after="120"/>
        <w:jc w:val="center"/>
        <w:rPr>
          <w:rFonts w:eastAsia="黑体"/>
        </w:rPr>
      </w:pPr>
      <w:r>
        <w:rPr>
          <w:rFonts w:hint="eastAsia" w:ascii="黑体" w:hAnsi="黑体" w:eastAsia="黑体"/>
          <w:sz w:val="32"/>
        </w:rPr>
        <w:t>第六章  图  纸</w:t>
      </w:r>
      <w:bookmarkEnd w:id="302"/>
      <w:bookmarkEnd w:id="303"/>
      <w:bookmarkEnd w:id="304"/>
      <w:bookmarkEnd w:id="305"/>
      <w:r>
        <w:rPr>
          <w:rFonts w:hint="eastAsia" w:ascii="黑体" w:hAnsi="黑体" w:eastAsia="黑体"/>
          <w:sz w:val="32"/>
        </w:rPr>
        <w:t>（无）</w:t>
      </w:r>
    </w:p>
    <w:p>
      <w:pPr>
        <w:pStyle w:val="2"/>
        <w:spacing w:before="120" w:after="120" w:line="400" w:lineRule="exact"/>
        <w:rPr>
          <w:rFonts w:ascii="黑体" w:hAnsi="黑体" w:eastAsia="黑体"/>
          <w:b w:val="0"/>
          <w:bCs w:val="0"/>
          <w:sz w:val="32"/>
        </w:rPr>
      </w:pPr>
      <w:bookmarkStart w:id="306" w:name="_Toc179632803"/>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第三卷</w:t>
      </w:r>
      <w:bookmarkEnd w:id="306"/>
    </w:p>
    <w:p>
      <w:pPr>
        <w:spacing w:line="400" w:lineRule="exact"/>
        <w:jc w:val="center"/>
        <w:rPr>
          <w:rFonts w:ascii="黑体" w:hAnsi="黑体" w:eastAsia="黑体"/>
          <w:sz w:val="32"/>
        </w:rPr>
      </w:pPr>
      <w:bookmarkStart w:id="307" w:name="_Toc144974854"/>
      <w:bookmarkStart w:id="308" w:name="_Toc152045785"/>
      <w:bookmarkStart w:id="309" w:name="_Toc152042574"/>
      <w:bookmarkStart w:id="310" w:name="_Toc179632804"/>
      <w:r>
        <w:rPr>
          <w:rFonts w:hint="eastAsia" w:ascii="黑体" w:hAnsi="黑体" w:eastAsia="黑体"/>
          <w:sz w:val="32"/>
        </w:rPr>
        <w:t>第七章  技术标准和要求</w:t>
      </w:r>
      <w:bookmarkEnd w:id="307"/>
      <w:bookmarkEnd w:id="308"/>
      <w:bookmarkEnd w:id="309"/>
      <w:bookmarkEnd w:id="310"/>
      <w:bookmarkStart w:id="311" w:name="_Toc179632805"/>
      <w:bookmarkStart w:id="312" w:name="_Toc152045786"/>
      <w:bookmarkStart w:id="313" w:name="_Toc144974855"/>
      <w:bookmarkStart w:id="314" w:name="_Toc152042575"/>
    </w:p>
    <w:p>
      <w:pPr>
        <w:spacing w:line="360" w:lineRule="auto"/>
        <w:rPr>
          <w:rFonts w:ascii="Times New Roman" w:hAnsi="Times New Roman" w:eastAsia="宋体" w:cs="宋体"/>
          <w:sz w:val="24"/>
        </w:rPr>
      </w:pPr>
    </w:p>
    <w:p>
      <w:pPr>
        <w:spacing w:line="460" w:lineRule="exact"/>
        <w:ind w:firstLine="480" w:firstLineChars="200"/>
        <w:rPr>
          <w:rFonts w:hint="eastAsia" w:ascii="Times New Roman" w:hAnsi="Times New Roman" w:eastAsia="宋体" w:cs="宋体"/>
          <w:bCs/>
          <w:sz w:val="24"/>
        </w:rPr>
      </w:pPr>
      <w:r>
        <w:rPr>
          <w:rFonts w:hint="eastAsia" w:ascii="Times New Roman" w:hAnsi="Times New Roman" w:eastAsia="宋体" w:cs="宋体"/>
          <w:bCs/>
          <w:sz w:val="24"/>
        </w:rPr>
        <w:t>在基础的两侧进行注浆加固，注浆深度</w:t>
      </w:r>
      <w:r>
        <w:rPr>
          <w:rFonts w:hint="eastAsia" w:ascii="Times New Roman" w:hAnsi="Times New Roman" w:eastAsia="宋体" w:cs="宋体"/>
          <w:bCs/>
          <w:sz w:val="24"/>
          <w:lang w:val="en-US" w:eastAsia="zh-CN"/>
        </w:rPr>
        <w:t>5</w:t>
      </w:r>
      <w:r>
        <w:rPr>
          <w:rFonts w:hint="eastAsia" w:ascii="Times New Roman" w:hAnsi="Times New Roman" w:eastAsia="宋体" w:cs="宋体"/>
          <w:bCs/>
          <w:sz w:val="24"/>
        </w:rPr>
        <w:t>米，注浆直径110mm，在料棚基础两侧进行各设两排注浆孔注浆，注浆间距1000mm,在基础下形成一个板结基础。加大基础的承载力，扩大基础的底面积。</w:t>
      </w:r>
    </w:p>
    <w:p>
      <w:pPr>
        <w:spacing w:line="460" w:lineRule="exact"/>
        <w:ind w:firstLine="480" w:firstLineChars="200"/>
        <w:rPr>
          <w:rFonts w:ascii="宋体" w:hAnsi="宋体"/>
          <w:sz w:val="24"/>
          <w:szCs w:val="24"/>
        </w:rPr>
      </w:pPr>
      <w:r>
        <w:rPr>
          <w:rFonts w:hint="eastAsia" w:ascii="宋体" w:hAnsi="宋体"/>
          <w:sz w:val="24"/>
          <w:szCs w:val="24"/>
        </w:rPr>
        <w:t>按发包人要求施工，工程质量合格，发包人按照现行最新建筑工程施工质量验收标准规范且符合图纸设计及使用单位要求、设计说明、设计变更等相关技术文件，工程未达到合同规定的质量验收标准或未通过政府有关部门的验收，承包人承担由此给发包人造成的损失，同时承包人必须在发包人指定的期限内无偿返工直至通过验收。</w:t>
      </w:r>
    </w:p>
    <w:p>
      <w:pPr>
        <w:spacing w:line="460" w:lineRule="exact"/>
        <w:ind w:firstLine="480" w:firstLineChars="200"/>
        <w:rPr>
          <w:rFonts w:ascii="宋体" w:hAnsi="宋体"/>
          <w:sz w:val="24"/>
          <w:szCs w:val="24"/>
        </w:rPr>
      </w:pPr>
      <w:r>
        <w:rPr>
          <w:rFonts w:hint="eastAsia" w:ascii="宋体" w:hAnsi="宋体"/>
          <w:sz w:val="24"/>
          <w:szCs w:val="24"/>
        </w:rPr>
        <w:t>1、钢构件的定位标记（中心线和标高等标记），对工程峻工后正确地进行定期观测。</w:t>
      </w:r>
    </w:p>
    <w:p>
      <w:pPr>
        <w:spacing w:line="4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、混凝土结构成型尺寸准确，振捣密实，无夹渣、无蜂窝、孔洞和麻面、露筋等缺陷，尺寸偏差符合规范要求；</w:t>
      </w:r>
    </w:p>
    <w:p>
      <w:pPr>
        <w:spacing w:line="360" w:lineRule="auto"/>
        <w:ind w:firstLine="480" w:firstLineChars="200"/>
        <w:rPr>
          <w:rFonts w:hint="eastAsia" w:ascii="Times New Roman" w:hAnsi="Times New Roman" w:eastAsia="宋体" w:cs="宋体"/>
          <w:bCs/>
          <w:sz w:val="24"/>
        </w:rPr>
      </w:pPr>
    </w:p>
    <w:p>
      <w:pPr>
        <w:spacing w:line="360" w:lineRule="auto"/>
        <w:rPr>
          <w:rFonts w:ascii="Times New Roman" w:hAnsi="Times New Roman" w:cs="宋体"/>
          <w:sz w:val="24"/>
        </w:rPr>
      </w:pPr>
      <w:r>
        <w:rPr>
          <w:rFonts w:hint="eastAsia" w:ascii="Times New Roman" w:hAnsi="Times New Roman" w:eastAsia="宋体" w:cs="宋体"/>
          <w:bCs/>
          <w:sz w:val="24"/>
        </w:rPr>
        <w:t>详见第四卷工程量报价清单</w:t>
      </w:r>
      <w:r>
        <w:rPr>
          <w:rFonts w:hint="eastAsia" w:ascii="Times New Roman" w:hAnsi="Times New Roman" w:eastAsia="宋体" w:cs="宋体"/>
          <w:sz w:val="24"/>
        </w:rPr>
        <w:t>。</w:t>
      </w:r>
    </w:p>
    <w:p>
      <w:pPr>
        <w:pStyle w:val="2"/>
        <w:spacing w:before="120" w:after="120" w:line="400" w:lineRule="exact"/>
        <w:jc w:val="center"/>
        <w:rPr>
          <w:rFonts w:ascii="黑体" w:hAnsi="黑体" w:eastAsia="黑体"/>
          <w:b w:val="0"/>
          <w:bCs w:val="0"/>
          <w:sz w:val="32"/>
        </w:rPr>
      </w:pPr>
    </w:p>
    <w:p>
      <w:pPr>
        <w:pStyle w:val="2"/>
        <w:spacing w:before="120" w:after="120" w:line="400" w:lineRule="exact"/>
        <w:jc w:val="center"/>
        <w:rPr>
          <w:rFonts w:ascii="黑体" w:hAnsi="黑体" w:eastAsia="黑体"/>
          <w:b w:val="0"/>
          <w:bCs w:val="0"/>
          <w:sz w:val="32"/>
        </w:rPr>
      </w:pPr>
    </w:p>
    <w:p/>
    <w:p>
      <w:pPr>
        <w:pStyle w:val="7"/>
      </w:pPr>
    </w:p>
    <w:p>
      <w:pPr>
        <w:pStyle w:val="7"/>
      </w:pPr>
    </w:p>
    <w:p>
      <w:pPr>
        <w:pStyle w:val="7"/>
      </w:pPr>
    </w:p>
    <w:p>
      <w:pPr>
        <w:pStyle w:val="7"/>
      </w:pPr>
    </w:p>
    <w:p>
      <w:pPr>
        <w:pStyle w:val="7"/>
      </w:pPr>
    </w:p>
    <w:p>
      <w:pPr>
        <w:pStyle w:val="7"/>
      </w:pPr>
    </w:p>
    <w:p>
      <w:pPr>
        <w:pStyle w:val="7"/>
      </w:pPr>
    </w:p>
    <w:p>
      <w:pPr>
        <w:pStyle w:val="7"/>
      </w:pPr>
    </w:p>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hint="eastAsia" w:ascii="黑体" w:hAnsi="黑体" w:eastAsia="黑体"/>
          <w:b w:val="0"/>
          <w:bCs w:val="0"/>
          <w:sz w:val="32"/>
        </w:rPr>
      </w:pPr>
    </w:p>
    <w:bookmarkEnd w:id="311"/>
    <w:p>
      <w:pPr>
        <w:pStyle w:val="2"/>
        <w:spacing w:before="120" w:after="120" w:line="400" w:lineRule="exact"/>
        <w:jc w:val="center"/>
        <w:rPr>
          <w:rFonts w:hint="eastAsia" w:ascii="黑体" w:hAnsi="黑体" w:eastAsia="黑体"/>
          <w:b w:val="0"/>
          <w:bCs w:val="0"/>
          <w:sz w:val="32"/>
        </w:rPr>
      </w:pPr>
      <w:bookmarkStart w:id="315" w:name="_Toc179632806"/>
    </w:p>
    <w:p>
      <w:pPr>
        <w:rPr>
          <w:rFonts w:hint="eastAsia" w:ascii="黑体" w:hAnsi="黑体" w:eastAsia="黑体"/>
          <w:b w:val="0"/>
          <w:bCs w:val="0"/>
          <w:sz w:val="32"/>
        </w:rPr>
      </w:pPr>
    </w:p>
    <w:p>
      <w:pPr>
        <w:pStyle w:val="2"/>
        <w:rPr>
          <w:rFonts w:hint="eastAsia"/>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第四卷</w:t>
      </w:r>
    </w:p>
    <w:p>
      <w:pPr>
        <w:pStyle w:val="2"/>
        <w:spacing w:before="120" w:after="120" w:line="400" w:lineRule="exact"/>
        <w:jc w:val="center"/>
        <w:rPr>
          <w:rFonts w:hint="eastAsia" w:ascii="黑体" w:hAnsi="黑体" w:eastAsia="黑体"/>
          <w:b w:val="0"/>
          <w:bCs w:val="0"/>
          <w:sz w:val="32"/>
        </w:rPr>
      </w:pPr>
    </w:p>
    <w:p>
      <w:pPr>
        <w:pStyle w:val="2"/>
        <w:spacing w:before="120" w:after="120" w:line="400" w:lineRule="exact"/>
        <w:jc w:val="center"/>
        <w:rPr>
          <w:rFonts w:ascii="黑体" w:hAnsi="黑体" w:eastAsia="黑体"/>
          <w:b w:val="0"/>
          <w:bCs w:val="0"/>
          <w:sz w:val="32"/>
        </w:rPr>
      </w:pPr>
      <w:r>
        <w:rPr>
          <w:rFonts w:hint="eastAsia" w:ascii="黑体" w:hAnsi="黑体" w:eastAsia="黑体"/>
          <w:b w:val="0"/>
          <w:bCs w:val="0"/>
          <w:sz w:val="32"/>
        </w:rPr>
        <w:t>第八章  投标文件格式</w:t>
      </w:r>
      <w:bookmarkEnd w:id="312"/>
      <w:bookmarkEnd w:id="313"/>
      <w:bookmarkEnd w:id="314"/>
      <w:bookmarkEnd w:id="315"/>
    </w:p>
    <w:p>
      <w:pPr>
        <w:spacing w:line="400" w:lineRule="exact"/>
      </w:pPr>
    </w:p>
    <w:p>
      <w:pPr>
        <w:pStyle w:val="20"/>
        <w:ind w:firstLine="0"/>
        <w:rPr>
          <w:rFonts w:eastAsia="黑体"/>
          <w:szCs w:val="28"/>
        </w:rPr>
      </w:pPr>
    </w:p>
    <w:p>
      <w:pPr>
        <w:pStyle w:val="20"/>
        <w:rPr>
          <w:rFonts w:eastAsia="黑体"/>
          <w:szCs w:val="28"/>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pStyle w:val="20"/>
      </w:pPr>
    </w:p>
    <w:p>
      <w:pPr>
        <w:jc w:val="center"/>
        <w:rPr>
          <w:rFonts w:eastAsia="黑体"/>
          <w:sz w:val="28"/>
          <w:szCs w:val="28"/>
        </w:rPr>
      </w:pPr>
      <w:r>
        <w:rPr>
          <w:rFonts w:eastAsia="黑体"/>
          <w:sz w:val="44"/>
          <w:szCs w:val="44"/>
        </w:rPr>
        <w:t>投  标  文  件</w:t>
      </w: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招标编号：</w:t>
      </w:r>
    </w:p>
    <w:p>
      <w:pPr>
        <w:jc w:val="center"/>
        <w:rPr>
          <w:rFonts w:ascii="黑体" w:eastAsia="黑体"/>
          <w:sz w:val="28"/>
          <w:szCs w:val="28"/>
        </w:rPr>
      </w:pPr>
    </w:p>
    <w:p>
      <w:pPr>
        <w:jc w:val="center"/>
        <w:rPr>
          <w:rFonts w:eastAsia="黑体"/>
          <w:sz w:val="48"/>
          <w:szCs w:val="48"/>
        </w:rPr>
      </w:pPr>
    </w:p>
    <w:p>
      <w:pPr>
        <w:jc w:val="center"/>
        <w:rPr>
          <w:rFonts w:eastAsia="黑体"/>
          <w:sz w:val="48"/>
          <w:szCs w:val="48"/>
        </w:rPr>
      </w:pPr>
    </w:p>
    <w:p>
      <w:pPr>
        <w:pStyle w:val="2"/>
        <w:rPr>
          <w:rFonts w:eastAsia="黑体"/>
          <w:sz w:val="48"/>
          <w:szCs w:val="48"/>
        </w:rPr>
      </w:pPr>
    </w:p>
    <w:p>
      <w:pPr>
        <w:rPr>
          <w:rFonts w:eastAsia="黑体"/>
          <w:sz w:val="48"/>
          <w:szCs w:val="48"/>
        </w:rPr>
      </w:pPr>
    </w:p>
    <w:p>
      <w:pPr>
        <w:pStyle w:val="2"/>
      </w:pPr>
    </w:p>
    <w:p>
      <w:pPr>
        <w:jc w:val="center"/>
        <w:rPr>
          <w:rFonts w:eastAsia="黑体"/>
          <w:sz w:val="48"/>
          <w:szCs w:val="48"/>
        </w:rPr>
      </w:pPr>
      <w:r>
        <w:rPr>
          <w:rFonts w:hint="eastAsia" w:eastAsia="黑体"/>
          <w:sz w:val="48"/>
          <w:szCs w:val="48"/>
        </w:rPr>
        <w:t>价 格 标</w:t>
      </w:r>
    </w:p>
    <w:p>
      <w:pPr>
        <w:rPr>
          <w:rFonts w:eastAsia="黑体"/>
          <w:sz w:val="28"/>
          <w:szCs w:val="28"/>
        </w:rPr>
      </w:pP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pStyle w:val="20"/>
        <w:rPr>
          <w:rFonts w:eastAsia="黑体"/>
          <w:szCs w:val="28"/>
        </w:rPr>
      </w:pPr>
    </w:p>
    <w:p>
      <w:pPr>
        <w:pStyle w:val="20"/>
        <w:rPr>
          <w:rFonts w:eastAsia="黑体"/>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u w:val="single"/>
        </w:rPr>
      </w:pP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r>
        <w:br w:type="page"/>
      </w:r>
    </w:p>
    <w:p>
      <w:pPr>
        <w:pStyle w:val="28"/>
        <w:jc w:val="center"/>
      </w:pPr>
      <w:bookmarkStart w:id="316" w:name="_Toc179632807"/>
      <w:bookmarkStart w:id="317" w:name="_Toc144974856"/>
      <w:bookmarkStart w:id="318" w:name="_Toc152045787"/>
      <w:bookmarkStart w:id="319" w:name="_Toc152042576"/>
      <w:r>
        <w:rPr>
          <w:rFonts w:hint="eastAsia"/>
        </w:rPr>
        <w:t>目    录</w:t>
      </w:r>
      <w:bookmarkEnd w:id="316"/>
      <w:bookmarkEnd w:id="317"/>
      <w:bookmarkEnd w:id="318"/>
      <w:bookmarkEnd w:id="319"/>
    </w:p>
    <w:p>
      <w:pPr>
        <w:spacing w:line="540" w:lineRule="exact"/>
      </w:pPr>
    </w:p>
    <w:p>
      <w:pPr>
        <w:spacing w:line="540" w:lineRule="exact"/>
      </w:pPr>
    </w:p>
    <w:p>
      <w:pPr>
        <w:numPr>
          <w:ilvl w:val="0"/>
          <w:numId w:val="4"/>
        </w:numPr>
        <w:spacing w:line="540" w:lineRule="exact"/>
      </w:pPr>
      <w:r>
        <w:rPr>
          <w:rFonts w:hint="eastAsia"/>
        </w:rPr>
        <w:t>投标函</w:t>
      </w:r>
    </w:p>
    <w:p>
      <w:pPr>
        <w:numPr>
          <w:ilvl w:val="0"/>
          <w:numId w:val="4"/>
        </w:numPr>
        <w:spacing w:line="540" w:lineRule="exact"/>
      </w:pPr>
      <w:r>
        <w:rPr>
          <w:rFonts w:hint="eastAsia"/>
        </w:rPr>
        <w:t>报价单</w:t>
      </w:r>
    </w:p>
    <w:p>
      <w:pPr>
        <w:spacing w:line="540" w:lineRule="exact"/>
      </w:pPr>
      <w:r>
        <w:rPr>
          <w:rFonts w:hint="eastAsia"/>
        </w:rPr>
        <w:t>三、其他资料</w:t>
      </w:r>
    </w:p>
    <w:p>
      <w:pPr>
        <w:spacing w:line="540" w:lineRule="exact"/>
      </w:pPr>
      <w:r>
        <w:t xml:space="preserve"> </w:t>
      </w:r>
    </w:p>
    <w:p>
      <w:pPr>
        <w:spacing w:line="540" w:lineRule="exact"/>
        <w:rPr>
          <w:rFonts w:eastAsia="黑体"/>
          <w:sz w:val="20"/>
          <w:szCs w:val="20"/>
        </w:rPr>
      </w:pPr>
      <w:r>
        <w:br w:type="page"/>
      </w:r>
    </w:p>
    <w:p>
      <w:pPr>
        <w:spacing w:before="240" w:beforeLines="100" w:line="510" w:lineRule="exact"/>
        <w:jc w:val="center"/>
        <w:rPr>
          <w:rFonts w:ascii="黑体" w:hAnsi="宋体" w:eastAsia="黑体"/>
          <w:sz w:val="28"/>
          <w:szCs w:val="28"/>
        </w:rPr>
      </w:pPr>
      <w:bookmarkStart w:id="320" w:name="_Toc7624"/>
      <w:bookmarkStart w:id="321" w:name="_Toc353448532"/>
      <w:bookmarkStart w:id="322" w:name="_Toc24007"/>
      <w:bookmarkStart w:id="323" w:name="_Toc144974857"/>
      <w:bookmarkStart w:id="324" w:name="_Toc152045788"/>
      <w:bookmarkStart w:id="325" w:name="_Toc179632808"/>
      <w:bookmarkStart w:id="326" w:name="_Toc152042577"/>
      <w:r>
        <w:rPr>
          <w:rFonts w:hint="eastAsia" w:ascii="黑体" w:hAnsi="宋体" w:eastAsia="黑体"/>
          <w:sz w:val="28"/>
          <w:szCs w:val="28"/>
        </w:rPr>
        <w:t>一、投标函</w:t>
      </w:r>
      <w:bookmarkEnd w:id="320"/>
      <w:bookmarkEnd w:id="321"/>
      <w:bookmarkEnd w:id="322"/>
    </w:p>
    <w:p>
      <w:pPr>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（项目名称）（以下简称“本工程”）施工招标文件的全部内容后，我方兹以：</w:t>
      </w:r>
    </w:p>
    <w:p>
      <w:pPr>
        <w:spacing w:line="48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u w:val="single"/>
        </w:rPr>
        <w:t xml:space="preserve">                                          </w:t>
      </w:r>
    </w:p>
    <w:p>
      <w:pPr>
        <w:spacing w:line="480" w:lineRule="exact"/>
        <w:ind w:firstLine="1050" w:firstLineChars="500"/>
        <w:rPr>
          <w:rFonts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ascii="宋体" w:hAnsi="宋体"/>
          <w:szCs w:val="21"/>
        </w:rPr>
      </w:pPr>
      <w:r>
        <w:rPr>
          <w:rFonts w:hint="eastAsia" w:ascii="宋体" w:hAnsi="宋体"/>
          <w:szCs w:val="21"/>
        </w:rPr>
        <w:t>工程并维修其中的任何缺陷。</w:t>
      </w:r>
    </w:p>
    <w:p>
      <w:pPr>
        <w:spacing w:line="480" w:lineRule="exact"/>
        <w:ind w:firstLine="420" w:firstLineChars="200"/>
        <w:rPr>
          <w:rFonts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480" w:lineRule="exact"/>
        <w:ind w:firstLine="420" w:firstLineChars="200"/>
        <w:rPr>
          <w:rFonts w:ascii="宋体" w:hAnsi="宋体"/>
          <w:szCs w:val="21"/>
        </w:rPr>
      </w:pPr>
      <w:r>
        <w:rPr>
          <w:rFonts w:hint="eastAsia" w:ascii="宋体" w:hAnsi="宋体"/>
          <w:szCs w:val="21"/>
        </w:rPr>
        <w:t>投标人（盖章）：</w:t>
      </w:r>
    </w:p>
    <w:p>
      <w:pPr>
        <w:spacing w:line="480" w:lineRule="exact"/>
        <w:ind w:firstLine="420" w:firstLineChars="200"/>
        <w:rPr>
          <w:rFonts w:ascii="宋体" w:hAnsi="宋体"/>
          <w:szCs w:val="21"/>
        </w:rPr>
      </w:pPr>
      <w:r>
        <w:rPr>
          <w:rFonts w:hint="eastAsia" w:ascii="宋体" w:hAnsi="宋体"/>
          <w:szCs w:val="21"/>
        </w:rPr>
        <w:t>法人代表或委托代理人（签字或盖章）：</w:t>
      </w:r>
    </w:p>
    <w:p>
      <w:pPr>
        <w:spacing w:line="48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line="510" w:lineRule="exact"/>
        <w:jc w:val="center"/>
        <w:rPr>
          <w:rFonts w:ascii="黑体" w:hAnsi="宋体" w:eastAsia="黑体"/>
          <w:szCs w:val="21"/>
        </w:rPr>
        <w:sectPr>
          <w:pgSz w:w="11906" w:h="16838"/>
          <w:pgMar w:top="1588" w:right="1701" w:bottom="1418" w:left="1701" w:header="851" w:footer="851" w:gutter="0"/>
          <w:cols w:space="720" w:num="1"/>
          <w:docGrid w:linePitch="312" w:charSpace="0"/>
        </w:sectPr>
      </w:pPr>
    </w:p>
    <w:p>
      <w:pPr>
        <w:pStyle w:val="28"/>
        <w:jc w:val="center"/>
      </w:pPr>
      <w:r>
        <w:rPr>
          <w:rFonts w:hint="eastAsia"/>
        </w:rPr>
        <w:t>二</w:t>
      </w:r>
      <w:r>
        <w:t>、</w:t>
      </w:r>
      <w:bookmarkEnd w:id="323"/>
      <w:bookmarkEnd w:id="324"/>
      <w:bookmarkEnd w:id="325"/>
      <w:bookmarkEnd w:id="326"/>
      <w:r>
        <w:rPr>
          <w:rFonts w:hint="eastAsia"/>
        </w:rPr>
        <w:t>报价单</w:t>
      </w:r>
    </w:p>
    <w:p>
      <w:pPr>
        <w:pStyle w:val="28"/>
        <w:ind w:left="760"/>
        <w:rPr>
          <w:sz w:val="24"/>
          <w:szCs w:val="18"/>
        </w:rPr>
      </w:pPr>
      <w:r>
        <w:rPr>
          <w:rFonts w:hint="eastAsia"/>
        </w:rPr>
        <w:t xml:space="preserve">                                        </w:t>
      </w:r>
      <w:r>
        <w:rPr>
          <w:rFonts w:hint="eastAsia"/>
          <w:sz w:val="24"/>
          <w:szCs w:val="18"/>
        </w:rPr>
        <w:t>单位：元</w:t>
      </w:r>
    </w:p>
    <w:p>
      <w:pPr>
        <w:pStyle w:val="21"/>
        <w:ind w:firstLine="0" w:firstLineChars="0"/>
        <w:rPr>
          <w:sz w:val="24"/>
          <w:szCs w:val="24"/>
        </w:rPr>
      </w:pPr>
    </w:p>
    <w:p>
      <w:pPr>
        <w:pStyle w:val="21"/>
        <w:ind w:firstLine="0" w:firstLineChars="0"/>
        <w:jc w:val="left"/>
        <w:rPr>
          <w:sz w:val="24"/>
          <w:szCs w:val="24"/>
        </w:rPr>
      </w:pPr>
      <w:r>
        <w:rPr>
          <w:rFonts w:hint="eastAsia"/>
          <w:sz w:val="24"/>
          <w:szCs w:val="24"/>
        </w:rPr>
        <w:t>一、报价说明</w:t>
      </w:r>
    </w:p>
    <w:p>
      <w:pPr>
        <w:pStyle w:val="21"/>
        <w:ind w:firstLine="0" w:firstLineChars="0"/>
        <w:rPr>
          <w:sz w:val="24"/>
          <w:szCs w:val="24"/>
        </w:rPr>
      </w:pPr>
      <w:r>
        <w:rPr>
          <w:rFonts w:hint="eastAsia"/>
          <w:sz w:val="24"/>
          <w:szCs w:val="24"/>
        </w:rPr>
        <w:t>1、根据工程量清单填写报价。</w:t>
      </w:r>
    </w:p>
    <w:p>
      <w:pPr>
        <w:spacing w:line="440" w:lineRule="exact"/>
        <w:jc w:val="left"/>
        <w:rPr>
          <w:color w:val="FF0000"/>
          <w:sz w:val="24"/>
        </w:rPr>
      </w:pPr>
      <w:r>
        <w:rPr>
          <w:rFonts w:hint="eastAsia"/>
          <w:sz w:val="24"/>
        </w:rPr>
        <w:t>2、招标文件中提供的工程量仅供投标单位参考，报价方式采用固定综合单价、暂估总价形式，结算时以实际发生工程量作为结算依据。</w:t>
      </w:r>
    </w:p>
    <w:p>
      <w:pPr>
        <w:spacing w:line="440" w:lineRule="exact"/>
        <w:jc w:val="left"/>
        <w:rPr>
          <w:sz w:val="24"/>
        </w:rPr>
      </w:pPr>
      <w:r>
        <w:rPr>
          <w:rFonts w:hint="eastAsia"/>
          <w:sz w:val="24"/>
        </w:rPr>
        <w:t>3、各分项须单独报价且说明各分项综合单价、暂估总价的构成明细。</w:t>
      </w:r>
    </w:p>
    <w:p>
      <w:pPr>
        <w:pStyle w:val="20"/>
        <w:ind w:firstLine="0"/>
        <w:rPr>
          <w:rFonts w:hint="eastAsia"/>
          <w:sz w:val="24"/>
          <w:u w:val="none"/>
        </w:rPr>
      </w:pPr>
      <w:r>
        <w:rPr>
          <w:rFonts w:hint="eastAsia"/>
          <w:sz w:val="24"/>
          <w:u w:val="none"/>
        </w:rPr>
        <w:t>4、综合单价包括但不限于人工费、机械费、材料费、管理费、规费、利润、税金、风险、协调费用、验收费用等同项目有关的所有费用。</w:t>
      </w:r>
    </w:p>
    <w:p>
      <w:pPr>
        <w:pStyle w:val="20"/>
        <w:ind w:firstLine="0"/>
        <w:rPr>
          <w:rFonts w:hint="eastAsia"/>
          <w:sz w:val="24"/>
          <w:u w:val="none"/>
        </w:rPr>
      </w:pPr>
      <w:r>
        <w:rPr>
          <w:rFonts w:hint="eastAsia"/>
          <w:sz w:val="24"/>
          <w:u w:val="none"/>
        </w:rPr>
        <w:t>5、安全文明施工费单独列项。</w:t>
      </w:r>
    </w:p>
    <w:p>
      <w:pPr>
        <w:pStyle w:val="20"/>
        <w:ind w:firstLine="0"/>
        <w:rPr>
          <w:rFonts w:hint="default"/>
          <w:sz w:val="24"/>
          <w:u w:val="none"/>
          <w:lang w:val="en-US" w:eastAsia="zh-CN"/>
        </w:rPr>
      </w:pPr>
    </w:p>
    <w:p>
      <w:pPr>
        <w:pStyle w:val="20"/>
        <w:ind w:firstLine="0"/>
        <w:rPr>
          <w:rFonts w:hint="default"/>
          <w:sz w:val="24"/>
          <w:u w:val="none"/>
          <w:lang w:val="en-US" w:eastAsia="zh-CN"/>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pStyle w:val="21"/>
        <w:ind w:firstLine="400"/>
        <w:rPr>
          <w:rFonts w:eastAsia="黑体"/>
          <w:sz w:val="20"/>
        </w:rPr>
      </w:pPr>
    </w:p>
    <w:p>
      <w:pPr>
        <w:spacing w:line="440" w:lineRule="exact"/>
        <w:ind w:firstLine="8400" w:firstLineChars="4200"/>
        <w:jc w:val="left"/>
        <w:rPr>
          <w:rFonts w:ascii="宋体" w:hAnsi="宋体" w:eastAsia="仿宋_GB2312" w:cs="宋体"/>
          <w:b/>
          <w:sz w:val="32"/>
          <w:szCs w:val="32"/>
        </w:rPr>
      </w:pPr>
      <w:r>
        <w:rPr>
          <w:rFonts w:hint="eastAsia" w:eastAsia="黑体"/>
          <w:sz w:val="20"/>
        </w:rPr>
        <w:t xml:space="preserve">     </w:t>
      </w: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rFonts w:hint="eastAsia" w:eastAsia="黑体"/>
          <w:sz w:val="28"/>
          <w:szCs w:val="28"/>
        </w:rPr>
      </w:pPr>
    </w:p>
    <w:p>
      <w:pPr>
        <w:pStyle w:val="21"/>
        <w:ind w:firstLine="560"/>
        <w:jc w:val="center"/>
        <w:rPr>
          <w:sz w:val="24"/>
          <w:szCs w:val="18"/>
        </w:rPr>
      </w:pPr>
      <w:r>
        <w:rPr>
          <w:rFonts w:hint="eastAsia" w:eastAsia="黑体"/>
          <w:sz w:val="28"/>
          <w:szCs w:val="28"/>
        </w:rPr>
        <w:t>2</w:t>
      </w:r>
      <w:r>
        <w:rPr>
          <w:rFonts w:eastAsia="黑体"/>
          <w:sz w:val="28"/>
          <w:szCs w:val="28"/>
        </w:rPr>
        <w:t>.</w:t>
      </w:r>
      <w:r>
        <w:rPr>
          <w:rFonts w:hint="eastAsia" w:eastAsia="黑体"/>
          <w:sz w:val="28"/>
          <w:szCs w:val="28"/>
        </w:rPr>
        <w:t>工程量清单报价单</w:t>
      </w:r>
    </w:p>
    <w:p>
      <w:pPr>
        <w:pStyle w:val="7"/>
        <w:ind w:firstLine="0"/>
        <w:rPr>
          <w:rFonts w:ascii="宋体" w:hAnsi="宋体" w:cs="宋体"/>
          <w:b/>
          <w:sz w:val="32"/>
          <w:szCs w:val="32"/>
        </w:rPr>
      </w:pPr>
      <w:r>
        <w:rPr>
          <w:rFonts w:hint="eastAsia"/>
          <w:sz w:val="24"/>
          <w:szCs w:val="18"/>
        </w:rPr>
        <w:t>单位：元</w:t>
      </w:r>
    </w:p>
    <w:p>
      <w:pPr>
        <w:widowControl/>
        <w:jc w:val="center"/>
        <w:rPr>
          <w:b/>
          <w:bCs/>
          <w:color w:val="000000"/>
        </w:rPr>
      </w:pPr>
    </w:p>
    <w:tbl>
      <w:tblPr>
        <w:tblStyle w:val="22"/>
        <w:tblW w:w="10515" w:type="dxa"/>
        <w:jc w:val="center"/>
        <w:shd w:val="clear" w:color="auto" w:fill="auto"/>
        <w:tblLayout w:type="autofit"/>
        <w:tblCellMar>
          <w:top w:w="0" w:type="dxa"/>
          <w:left w:w="0" w:type="dxa"/>
          <w:bottom w:w="0" w:type="dxa"/>
          <w:right w:w="0" w:type="dxa"/>
        </w:tblCellMar>
      </w:tblPr>
      <w:tblGrid>
        <w:gridCol w:w="615"/>
        <w:gridCol w:w="1800"/>
        <w:gridCol w:w="615"/>
        <w:gridCol w:w="1305"/>
        <w:gridCol w:w="1080"/>
        <w:gridCol w:w="1080"/>
        <w:gridCol w:w="4020"/>
      </w:tblGrid>
      <w:tr>
        <w:tblPrEx>
          <w:shd w:val="clear" w:color="auto" w:fill="auto"/>
          <w:tblCellMar>
            <w:top w:w="0" w:type="dxa"/>
            <w:left w:w="0" w:type="dxa"/>
            <w:bottom w:w="0" w:type="dxa"/>
            <w:right w:w="0" w:type="dxa"/>
          </w:tblCellMar>
        </w:tblPrEx>
        <w:trPr>
          <w:trHeight w:val="390" w:hRule="atLeast"/>
          <w:jc w:val="center"/>
        </w:trPr>
        <w:tc>
          <w:tcPr>
            <w:tcW w:w="105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矿山卸料坑口沉降治理计价表</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0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1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3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暂估工程量</w:t>
            </w:r>
          </w:p>
        </w:tc>
        <w:tc>
          <w:tcPr>
            <w:tcW w:w="108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08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合价（元）</w:t>
            </w:r>
          </w:p>
        </w:tc>
        <w:tc>
          <w:tcPr>
            <w:tcW w:w="226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540"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注浆</w:t>
            </w:r>
          </w:p>
        </w:tc>
        <w:tc>
          <w:tcPr>
            <w:tcW w:w="6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w:t>
            </w:r>
          </w:p>
        </w:tc>
        <w:tc>
          <w:tcPr>
            <w:tcW w:w="13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162.5</w:t>
            </w:r>
          </w:p>
        </w:tc>
        <w:tc>
          <w:tcPr>
            <w:tcW w:w="108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（水泥甲供，含运费、设备、人工等）</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砼面硬化</w:t>
            </w:r>
          </w:p>
        </w:tc>
        <w:tc>
          <w:tcPr>
            <w:tcW w:w="6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m³</w:t>
            </w:r>
          </w:p>
        </w:tc>
        <w:tc>
          <w:tcPr>
            <w:tcW w:w="13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08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20*20*0.3</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混凝土拆除</w:t>
            </w:r>
          </w:p>
        </w:tc>
        <w:tc>
          <w:tcPr>
            <w:tcW w:w="6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m³</w:t>
            </w:r>
          </w:p>
        </w:tc>
        <w:tc>
          <w:tcPr>
            <w:tcW w:w="130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彩板更换</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m2</w:t>
            </w:r>
          </w:p>
        </w:tc>
        <w:tc>
          <w:tcPr>
            <w:tcW w:w="13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混凝土排水沟</w:t>
            </w:r>
          </w:p>
        </w:tc>
        <w:tc>
          <w:tcPr>
            <w:tcW w:w="6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3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含沟盖板600*500</w:t>
            </w:r>
          </w:p>
        </w:tc>
      </w:tr>
      <w:tr>
        <w:tblPrEx>
          <w:shd w:val="clear" w:color="auto" w:fill="auto"/>
          <w:tblCellMar>
            <w:top w:w="0" w:type="dxa"/>
            <w:left w:w="0" w:type="dxa"/>
            <w:bottom w:w="0" w:type="dxa"/>
            <w:right w:w="0" w:type="dxa"/>
          </w:tblCellMar>
        </w:tblPrEx>
        <w:trPr>
          <w:trHeight w:val="55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灰土垫层</w:t>
            </w:r>
          </w:p>
        </w:tc>
        <w:tc>
          <w:tcPr>
            <w:tcW w:w="6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m³</w:t>
            </w:r>
          </w:p>
        </w:tc>
        <w:tc>
          <w:tcPr>
            <w:tcW w:w="13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（300mm厚，3:7灰土）</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挖土方（含平整）</w:t>
            </w:r>
          </w:p>
        </w:tc>
        <w:tc>
          <w:tcPr>
            <w:tcW w:w="6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m³</w:t>
            </w:r>
          </w:p>
        </w:tc>
        <w:tc>
          <w:tcPr>
            <w:tcW w:w="13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文明施工费</w:t>
            </w:r>
          </w:p>
        </w:tc>
        <w:tc>
          <w:tcPr>
            <w:tcW w:w="6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3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不低于总报价的2%</w:t>
            </w:r>
          </w:p>
        </w:tc>
      </w:tr>
      <w:tr>
        <w:tblPrEx>
          <w:shd w:val="clear" w:color="auto" w:fill="auto"/>
          <w:tblCellMar>
            <w:top w:w="0" w:type="dxa"/>
            <w:left w:w="0" w:type="dxa"/>
            <w:bottom w:w="0" w:type="dxa"/>
            <w:right w:w="0" w:type="dxa"/>
          </w:tblCellMar>
        </w:tblPrEx>
        <w:trPr>
          <w:trHeight w:val="285" w:hRule="atLeast"/>
          <w:jc w:val="center"/>
        </w:trPr>
        <w:tc>
          <w:tcPr>
            <w:tcW w:w="61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6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27"/>
        <w:ind w:left="0" w:leftChars="0" w:firstLine="0" w:firstLineChars="0"/>
      </w:pPr>
    </w:p>
    <w:p>
      <w:pPr>
        <w:spacing w:line="440" w:lineRule="exact"/>
        <w:ind w:firstLine="13493" w:firstLineChars="4200"/>
        <w:jc w:val="left"/>
        <w:rPr>
          <w:rFonts w:hint="eastAsia" w:eastAsia="黑体"/>
          <w:sz w:val="20"/>
          <w:szCs w:val="20"/>
          <w:lang w:val="en-US" w:eastAsia="zh-CN"/>
        </w:rPr>
      </w:pPr>
      <w:r>
        <w:rPr>
          <w:rFonts w:hint="eastAsia" w:ascii="宋体" w:hAnsi="宋体" w:eastAsia="仿宋_GB2312" w:cs="宋体"/>
          <w:b/>
          <w:sz w:val="32"/>
          <w:szCs w:val="32"/>
        </w:rPr>
        <w:t xml:space="preserve">                                                   </w:t>
      </w:r>
      <w:r>
        <w:rPr>
          <w:rFonts w:hint="eastAsia" w:eastAsia="黑体"/>
          <w:sz w:val="20"/>
          <w:szCs w:val="20"/>
          <w:lang w:val="en-US" w:eastAsia="zh-CN"/>
        </w:rPr>
        <w:t>付款方式：</w:t>
      </w:r>
    </w:p>
    <w:p>
      <w:pPr>
        <w:spacing w:line="440" w:lineRule="exact"/>
        <w:jc w:val="left"/>
        <w:rPr>
          <w:rFonts w:hint="default"/>
          <w:lang w:val="en-US" w:eastAsia="zh-CN"/>
        </w:rPr>
      </w:pPr>
      <w:r>
        <w:rPr>
          <w:rFonts w:hint="eastAsia" w:eastAsia="黑体"/>
          <w:sz w:val="20"/>
          <w:szCs w:val="20"/>
          <w:lang w:val="en-US" w:eastAsia="zh-CN"/>
        </w:rPr>
        <w:t>税率：</w:t>
      </w:r>
    </w:p>
    <w:p>
      <w:pPr>
        <w:spacing w:line="440" w:lineRule="exact"/>
        <w:jc w:val="left"/>
        <w:rPr>
          <w:rFonts w:eastAsia="黑体"/>
          <w:sz w:val="20"/>
          <w:szCs w:val="20"/>
        </w:rPr>
      </w:pPr>
      <w:r>
        <w:rPr>
          <w:rFonts w:hint="eastAsia" w:eastAsia="黑体"/>
          <w:sz w:val="20"/>
          <w:szCs w:val="20"/>
        </w:rPr>
        <w:t>投标单位全称：</w:t>
      </w:r>
    </w:p>
    <w:p>
      <w:pPr>
        <w:spacing w:line="440" w:lineRule="exact"/>
        <w:jc w:val="left"/>
        <w:rPr>
          <w:rFonts w:hint="eastAsia" w:eastAsia="黑体"/>
          <w:sz w:val="20"/>
          <w:szCs w:val="20"/>
        </w:rPr>
      </w:pPr>
      <w:r>
        <w:rPr>
          <w:rFonts w:hint="eastAsia" w:eastAsia="黑体"/>
          <w:sz w:val="20"/>
          <w:szCs w:val="20"/>
        </w:rPr>
        <w:t>法定代表人或授权委托人：</w:t>
      </w:r>
      <w:r>
        <w:rPr>
          <w:rFonts w:hint="eastAsia" w:eastAsia="黑体"/>
          <w:sz w:val="20"/>
          <w:szCs w:val="20"/>
          <w:u w:val="single"/>
        </w:rPr>
        <w:t xml:space="preserve">                   </w:t>
      </w:r>
      <w:r>
        <w:rPr>
          <w:rFonts w:hint="eastAsia" w:eastAsia="黑体"/>
          <w:sz w:val="20"/>
          <w:szCs w:val="20"/>
        </w:rPr>
        <w:t>（签字）</w:t>
      </w:r>
    </w:p>
    <w:p>
      <w:pPr>
        <w:pStyle w:val="7"/>
        <w:rPr>
          <w:rFonts w:eastAsia="黑体"/>
          <w:sz w:val="20"/>
        </w:rPr>
      </w:pPr>
    </w:p>
    <w:p>
      <w:pPr>
        <w:spacing w:line="440" w:lineRule="exact"/>
        <w:jc w:val="left"/>
        <w:rPr>
          <w:rFonts w:eastAsia="黑体"/>
          <w:sz w:val="20"/>
          <w:szCs w:val="20"/>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jc w:val="center"/>
        <w:rPr>
          <w:rFonts w:ascii="Times New Roman" w:hAnsi="Times New Roman" w:eastAsia="黑体" w:cs="宋体"/>
          <w:sz w:val="28"/>
          <w:szCs w:val="28"/>
        </w:rPr>
      </w:pPr>
    </w:p>
    <w:p>
      <w:pPr>
        <w:pStyle w:val="7"/>
      </w:pPr>
    </w:p>
    <w:p>
      <w:pPr>
        <w:jc w:val="both"/>
        <w:rPr>
          <w:rFonts w:hint="eastAsia" w:ascii="Times New Roman" w:hAnsi="Times New Roman" w:eastAsia="黑体" w:cs="宋体"/>
          <w:sz w:val="28"/>
          <w:szCs w:val="28"/>
        </w:rPr>
      </w:pPr>
    </w:p>
    <w:p>
      <w:pPr>
        <w:jc w:val="both"/>
        <w:rPr>
          <w:rFonts w:hint="eastAsia" w:ascii="Times New Roman" w:hAnsi="Times New Roman" w:eastAsia="黑体" w:cs="宋体"/>
          <w:sz w:val="28"/>
          <w:szCs w:val="28"/>
        </w:rPr>
      </w:pPr>
    </w:p>
    <w:p>
      <w:pPr>
        <w:jc w:val="center"/>
        <w:rPr>
          <w:rFonts w:hint="eastAsia" w:ascii="Times New Roman" w:hAnsi="Times New Roman" w:eastAsia="黑体" w:cs="宋体"/>
          <w:sz w:val="28"/>
          <w:szCs w:val="28"/>
        </w:rPr>
      </w:pPr>
    </w:p>
    <w:p>
      <w:pPr>
        <w:jc w:val="center"/>
        <w:rPr>
          <w:rFonts w:ascii="Times New Roman" w:hAnsi="Times New Roman" w:eastAsia="黑体" w:cs="宋体"/>
          <w:sz w:val="28"/>
          <w:szCs w:val="28"/>
        </w:rPr>
      </w:pPr>
      <w:r>
        <w:rPr>
          <w:rFonts w:hint="eastAsia" w:ascii="Times New Roman" w:hAnsi="Times New Roman" w:eastAsia="黑体" w:cs="宋体"/>
          <w:sz w:val="28"/>
          <w:szCs w:val="28"/>
        </w:rPr>
        <w:t>三、其他资料（保证金电汇底单）</w:t>
      </w:r>
    </w:p>
    <w:p>
      <w:pPr>
        <w:ind w:left="760"/>
        <w:jc w:val="center"/>
      </w:pPr>
      <w:r>
        <w:rPr>
          <w:rFonts w:hint="eastAsia"/>
        </w:rPr>
        <w:t xml:space="preserve"> （如有）</w:t>
      </w:r>
      <w:r>
        <w:br w:type="page"/>
      </w:r>
      <w:bookmarkStart w:id="327" w:name="_Toc144974860"/>
      <w:bookmarkStart w:id="328" w:name="_Toc152045791"/>
      <w:bookmarkStart w:id="329" w:name="_Toc179632811"/>
      <w:bookmarkStart w:id="330" w:name="_Toc152042580"/>
    </w:p>
    <w:p>
      <w:pPr>
        <w:ind w:left="760"/>
        <w:jc w:val="center"/>
      </w:pPr>
    </w:p>
    <w:p>
      <w:pPr>
        <w:ind w:left="760"/>
        <w:jc w:val="center"/>
      </w:pPr>
    </w:p>
    <w:p>
      <w:pPr>
        <w:ind w:left="760"/>
        <w:jc w:val="center"/>
      </w:pPr>
    </w:p>
    <w:p>
      <w:pPr>
        <w:ind w:left="760"/>
        <w:jc w:val="center"/>
        <w:rPr>
          <w:rFonts w:eastAsia="黑体"/>
          <w:sz w:val="28"/>
          <w:szCs w:val="28"/>
        </w:rPr>
      </w:pPr>
      <w:r>
        <w:rPr>
          <w:rFonts w:hint="eastAsia" w:eastAsia="黑体"/>
          <w:sz w:val="28"/>
          <w:szCs w:val="28"/>
          <w:u w:val="single"/>
        </w:rPr>
        <w:t xml:space="preserve">                   </w:t>
      </w:r>
      <w:r>
        <w:rPr>
          <w:rFonts w:eastAsia="黑体"/>
          <w:sz w:val="28"/>
          <w:szCs w:val="28"/>
        </w:rPr>
        <w:t>（项目名称）</w:t>
      </w:r>
    </w:p>
    <w:p>
      <w:pPr>
        <w:rPr>
          <w:rFonts w:eastAsia="黑体"/>
          <w:sz w:val="20"/>
          <w:szCs w:val="20"/>
        </w:rPr>
      </w:pPr>
    </w:p>
    <w:p>
      <w:pPr>
        <w:rPr>
          <w:rFonts w:eastAsia="黑体"/>
          <w:sz w:val="20"/>
          <w:szCs w:val="20"/>
        </w:rPr>
      </w:pPr>
    </w:p>
    <w:p>
      <w:pPr>
        <w:jc w:val="center"/>
        <w:rPr>
          <w:rFonts w:ascii="黑体" w:eastAsia="黑体"/>
          <w:sz w:val="28"/>
          <w:szCs w:val="28"/>
        </w:rPr>
      </w:pPr>
      <w:r>
        <w:rPr>
          <w:rFonts w:eastAsia="黑体"/>
          <w:sz w:val="44"/>
          <w:szCs w:val="44"/>
        </w:rPr>
        <w:t>投  标  文  件</w:t>
      </w:r>
    </w:p>
    <w:p>
      <w:pPr>
        <w:jc w:val="center"/>
        <w:rPr>
          <w:rFonts w:ascii="黑体" w:eastAsia="黑体"/>
          <w:sz w:val="28"/>
          <w:szCs w:val="28"/>
        </w:rPr>
      </w:pPr>
      <w:r>
        <w:rPr>
          <w:rFonts w:hint="eastAsia" w:ascii="黑体" w:eastAsia="黑体"/>
          <w:sz w:val="28"/>
          <w:szCs w:val="28"/>
        </w:rPr>
        <w:t>招标编号：</w:t>
      </w:r>
    </w:p>
    <w:p>
      <w:pPr>
        <w:pStyle w:val="20"/>
        <w:ind w:firstLine="0"/>
        <w:rPr>
          <w:rFonts w:ascii="黑体" w:eastAsia="黑体"/>
          <w:szCs w:val="28"/>
        </w:rPr>
      </w:pPr>
    </w:p>
    <w:p>
      <w:pPr>
        <w:jc w:val="center"/>
        <w:rPr>
          <w:rFonts w:eastAsia="黑体"/>
          <w:sz w:val="48"/>
          <w:szCs w:val="48"/>
        </w:rPr>
      </w:pPr>
      <w:r>
        <w:rPr>
          <w:rFonts w:hint="eastAsia" w:eastAsia="黑体"/>
          <w:sz w:val="48"/>
          <w:szCs w:val="48"/>
        </w:rPr>
        <w:t>商 务 技 术 标</w:t>
      </w:r>
    </w:p>
    <w:p>
      <w:pPr>
        <w:rPr>
          <w:rFonts w:eastAsia="黑体"/>
          <w:sz w:val="28"/>
          <w:szCs w:val="28"/>
        </w:rPr>
      </w:pPr>
    </w:p>
    <w:p>
      <w:pPr>
        <w:jc w:val="center"/>
        <w:rPr>
          <w:rFonts w:eastAsia="黑体"/>
          <w:sz w:val="28"/>
          <w:szCs w:val="28"/>
        </w:rPr>
      </w:pPr>
      <w:r>
        <w:rPr>
          <w:rFonts w:hint="eastAsia" w:eastAsia="黑体"/>
          <w:sz w:val="28"/>
          <w:szCs w:val="28"/>
        </w:rPr>
        <w:t>（注：价格标与商务技术标分开胶装成册）</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rPr>
        <w:t xml:space="preserve">     </w:t>
      </w: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pPr>
      <w:r>
        <w:br w:type="page"/>
      </w:r>
    </w:p>
    <w:p>
      <w:pPr>
        <w:pStyle w:val="28"/>
        <w:jc w:val="center"/>
      </w:pPr>
      <w:r>
        <w:rPr>
          <w:rFonts w:hint="eastAsia"/>
        </w:rPr>
        <w:t>目    录</w:t>
      </w:r>
    </w:p>
    <w:p>
      <w:pPr>
        <w:spacing w:line="540" w:lineRule="exact"/>
      </w:pPr>
    </w:p>
    <w:p>
      <w:pPr>
        <w:spacing w:line="540" w:lineRule="exact"/>
      </w:pPr>
      <w:r>
        <w:rPr>
          <w:rFonts w:hint="eastAsia"/>
        </w:rPr>
        <w:t>一、法定代表人身份证明</w:t>
      </w:r>
    </w:p>
    <w:p>
      <w:pPr>
        <w:spacing w:line="540" w:lineRule="exact"/>
      </w:pPr>
      <w:r>
        <w:rPr>
          <w:rFonts w:hint="eastAsia"/>
        </w:rPr>
        <w:t>二、授权委托书</w:t>
      </w:r>
    </w:p>
    <w:p>
      <w:pPr>
        <w:spacing w:line="540" w:lineRule="exact"/>
      </w:pPr>
      <w:r>
        <w:rPr>
          <w:rFonts w:hint="eastAsia"/>
        </w:rPr>
        <w:t>三、施工组织设计</w:t>
      </w:r>
    </w:p>
    <w:p>
      <w:pPr>
        <w:spacing w:line="540" w:lineRule="exact"/>
      </w:pPr>
      <w:r>
        <w:rPr>
          <w:rFonts w:hint="eastAsia"/>
        </w:rPr>
        <w:t>四、项目管理机构</w:t>
      </w:r>
    </w:p>
    <w:p>
      <w:pPr>
        <w:spacing w:line="540" w:lineRule="exact"/>
      </w:pPr>
      <w:r>
        <w:rPr>
          <w:rFonts w:hint="eastAsia"/>
        </w:rPr>
        <w:t>五、拟分包项目情况表</w:t>
      </w:r>
    </w:p>
    <w:p>
      <w:pPr>
        <w:spacing w:line="540" w:lineRule="exact"/>
      </w:pPr>
      <w:r>
        <w:rPr>
          <w:rFonts w:hint="eastAsia"/>
        </w:rPr>
        <w:t>六、资格审查资料</w:t>
      </w:r>
    </w:p>
    <w:p>
      <w:pPr>
        <w:spacing w:line="540" w:lineRule="exact"/>
      </w:pPr>
      <w:r>
        <w:rPr>
          <w:rFonts w:hint="eastAsia"/>
        </w:rPr>
        <w:t>七、其他材料</w:t>
      </w:r>
    </w:p>
    <w:p>
      <w:pPr>
        <w:spacing w:line="540" w:lineRule="exact"/>
      </w:pPr>
      <w:r>
        <w:t xml:space="preserve"> </w:t>
      </w:r>
    </w:p>
    <w:p>
      <w:pPr>
        <w:spacing w:line="540" w:lineRule="exact"/>
      </w:pPr>
      <w:r>
        <w:br w:type="page"/>
      </w:r>
    </w:p>
    <w:p>
      <w:pPr>
        <w:pStyle w:val="28"/>
        <w:jc w:val="center"/>
      </w:pPr>
      <w:r>
        <w:rPr>
          <w:rFonts w:hint="eastAsia"/>
        </w:rPr>
        <w:t>一</w:t>
      </w:r>
      <w:r>
        <w:t>、法定代表人身份证明</w:t>
      </w:r>
      <w:bookmarkEnd w:id="327"/>
      <w:bookmarkEnd w:id="328"/>
      <w:bookmarkEnd w:id="329"/>
      <w:bookmarkEnd w:id="330"/>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left"/>
        <w:rPr>
          <w:rFonts w:eastAsia="黑体"/>
          <w:sz w:val="20"/>
          <w:szCs w:val="20"/>
        </w:rPr>
      </w:pPr>
    </w:p>
    <w:p>
      <w:pPr>
        <w:spacing w:line="440" w:lineRule="exact"/>
        <w:jc w:val="left"/>
        <w:rPr>
          <w:rFonts w:eastAsia="黑体"/>
          <w:sz w:val="20"/>
          <w:szCs w:val="20"/>
        </w:rPr>
      </w:pPr>
      <w:r>
        <w:rPr>
          <w:rFonts w:hint="eastAsia" w:eastAsia="黑体"/>
          <w:sz w:val="20"/>
          <w:szCs w:val="20"/>
        </w:rPr>
        <w:t>注：附法定代表人身份证复印件。</w:t>
      </w:r>
      <w:r>
        <w:rPr>
          <w:rFonts w:eastAsia="黑体"/>
          <w:sz w:val="20"/>
          <w:szCs w:val="20"/>
        </w:rPr>
        <w:br w:type="page"/>
      </w:r>
    </w:p>
    <w:p>
      <w:pPr>
        <w:pStyle w:val="28"/>
        <w:jc w:val="center"/>
      </w:pPr>
      <w:bookmarkStart w:id="331" w:name="_Toc152042581"/>
      <w:bookmarkStart w:id="332" w:name="_Toc179632812"/>
      <w:bookmarkStart w:id="333" w:name="_Toc144974861"/>
      <w:bookmarkStart w:id="334" w:name="_Toc152045792"/>
      <w:r>
        <w:t>二、授权委托书</w:t>
      </w:r>
      <w:bookmarkEnd w:id="331"/>
      <w:bookmarkEnd w:id="332"/>
      <w:bookmarkEnd w:id="333"/>
      <w:bookmarkEnd w:id="334"/>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自投标人提交投标文件截止之日起计算90天</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ind w:firstLine="2310" w:firstLineChars="1100"/>
        <w:rPr>
          <w:szCs w:val="21"/>
        </w:rPr>
      </w:pPr>
    </w:p>
    <w:p>
      <w:pPr>
        <w:spacing w:line="440" w:lineRule="exact"/>
        <w:ind w:firstLine="2310" w:firstLineChars="1100"/>
        <w:rPr>
          <w:szCs w:val="21"/>
        </w:rPr>
      </w:pPr>
    </w:p>
    <w:p>
      <w:pPr>
        <w:spacing w:line="400" w:lineRule="exact"/>
        <w:rPr>
          <w:rFonts w:eastAsia="黑体"/>
          <w:sz w:val="20"/>
          <w:szCs w:val="20"/>
        </w:rPr>
      </w:pPr>
      <w:r>
        <w:rPr>
          <w:rFonts w:hint="eastAsia" w:eastAsia="黑体"/>
          <w:sz w:val="20"/>
          <w:szCs w:val="20"/>
        </w:rPr>
        <w:t>注：1.附授权委托人身份证复印件；</w:t>
      </w:r>
    </w:p>
    <w:p>
      <w:pPr>
        <w:spacing w:line="400" w:lineRule="exact"/>
        <w:rPr>
          <w:rFonts w:eastAsia="黑体"/>
          <w:sz w:val="20"/>
          <w:szCs w:val="20"/>
        </w:rPr>
      </w:pPr>
      <w:r>
        <w:rPr>
          <w:rFonts w:eastAsia="黑体"/>
          <w:sz w:val="20"/>
          <w:szCs w:val="20"/>
        </w:rPr>
        <w:br w:type="page"/>
      </w:r>
    </w:p>
    <w:p>
      <w:pPr>
        <w:pStyle w:val="28"/>
        <w:jc w:val="center"/>
      </w:pPr>
      <w:bookmarkStart w:id="335" w:name="_Toc152042585"/>
      <w:bookmarkStart w:id="336" w:name="_Toc179632816"/>
      <w:bookmarkStart w:id="337" w:name="_Toc152045796"/>
      <w:bookmarkStart w:id="338" w:name="_Toc144974864"/>
      <w:r>
        <w:rPr>
          <w:rFonts w:hint="eastAsia"/>
        </w:rPr>
        <w:t>三</w:t>
      </w:r>
      <w:r>
        <w:t>、施工组织设计</w:t>
      </w:r>
      <w:bookmarkEnd w:id="335"/>
      <w:bookmarkEnd w:id="336"/>
      <w:bookmarkEnd w:id="337"/>
      <w:bookmarkEnd w:id="338"/>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szCs w:val="21"/>
        </w:rPr>
      </w:pPr>
      <w:r>
        <w:rPr>
          <w:szCs w:val="21"/>
        </w:rPr>
        <w:t>附表三  劳动力计划表</w:t>
      </w:r>
    </w:p>
    <w:p>
      <w:pPr>
        <w:tabs>
          <w:tab w:val="left" w:pos="720"/>
        </w:tabs>
        <w:spacing w:line="440" w:lineRule="exact"/>
        <w:ind w:firstLine="756" w:firstLineChars="360"/>
        <w:rPr>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szCs w:val="21"/>
        </w:rPr>
      </w:pPr>
      <w:r>
        <w:rPr>
          <w:szCs w:val="21"/>
        </w:rPr>
        <w:t>附表五  施工总平面图</w:t>
      </w:r>
    </w:p>
    <w:p>
      <w:pPr>
        <w:tabs>
          <w:tab w:val="left" w:pos="720"/>
        </w:tabs>
        <w:spacing w:line="440" w:lineRule="exact"/>
        <w:ind w:firstLine="756" w:firstLineChars="360"/>
        <w:rPr>
          <w:szCs w:val="21"/>
        </w:rPr>
      </w:pPr>
      <w:r>
        <w:rPr>
          <w:szCs w:val="21"/>
        </w:rPr>
        <w:t>附表六  临时用地表</w:t>
      </w:r>
    </w:p>
    <w:p>
      <w:pPr>
        <w:spacing w:line="440" w:lineRule="exact"/>
        <w:rPr>
          <w:sz w:val="20"/>
          <w:szCs w:val="20"/>
        </w:rPr>
      </w:pPr>
      <w:r>
        <w:rPr>
          <w:rFonts w:eastAsia="黑体"/>
          <w:sz w:val="20"/>
          <w:szCs w:val="20"/>
        </w:rPr>
        <w:br w:type="page"/>
      </w:r>
    </w:p>
    <w:p>
      <w:pPr>
        <w:pStyle w:val="29"/>
        <w:rPr>
          <w:szCs w:val="23"/>
        </w:rPr>
      </w:pPr>
      <w:bookmarkStart w:id="339" w:name="_Toc179632817"/>
      <w:bookmarkStart w:id="340" w:name="_Toc144974865"/>
      <w:bookmarkStart w:id="341" w:name="_Toc152045797"/>
      <w:bookmarkStart w:id="342" w:name="_Toc152042586"/>
      <w:r>
        <w:t>附表一：</w:t>
      </w:r>
      <w:r>
        <w:rPr>
          <w:szCs w:val="23"/>
        </w:rPr>
        <w:t>拟投入本标段的主要施工设备表</w:t>
      </w:r>
      <w:bookmarkEnd w:id="339"/>
      <w:bookmarkEnd w:id="340"/>
      <w:bookmarkEnd w:id="341"/>
      <w:bookmarkEnd w:id="342"/>
    </w:p>
    <w:p>
      <w:pPr>
        <w:spacing w:line="440" w:lineRule="exact"/>
        <w:rPr>
          <w:sz w:val="20"/>
          <w:szCs w:val="20"/>
        </w:rPr>
      </w:pPr>
    </w:p>
    <w:tbl>
      <w:tblPr>
        <w:tblStyle w:val="2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textAlignment w:val="baseline"/>
              <w:rPr>
                <w:szCs w:val="21"/>
              </w:rPr>
            </w:pPr>
            <w:r>
              <w:rPr>
                <w:szCs w:val="21"/>
              </w:rPr>
              <w:t>序号</w:t>
            </w:r>
          </w:p>
        </w:tc>
        <w:tc>
          <w:tcPr>
            <w:tcW w:w="1086" w:type="dxa"/>
            <w:vAlign w:val="center"/>
          </w:tcPr>
          <w:p>
            <w:pPr>
              <w:adjustRightInd w:val="0"/>
              <w:spacing w:line="440" w:lineRule="exact"/>
              <w:jc w:val="center"/>
              <w:textAlignment w:val="baseline"/>
              <w:rPr>
                <w:szCs w:val="21"/>
              </w:rPr>
            </w:pPr>
            <w:r>
              <w:rPr>
                <w:szCs w:val="21"/>
              </w:rPr>
              <w:t>设备名称</w:t>
            </w:r>
          </w:p>
        </w:tc>
        <w:tc>
          <w:tcPr>
            <w:tcW w:w="761"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0"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额定功率（</w:t>
            </w:r>
            <w:r>
              <w:rPr>
                <w:rFonts w:hint="eastAsia"/>
                <w:szCs w:val="21"/>
              </w:rPr>
              <w:t>K</w:t>
            </w:r>
            <w:r>
              <w:rPr>
                <w:szCs w:val="21"/>
              </w:rPr>
              <w:t>W）</w:t>
            </w:r>
          </w:p>
        </w:tc>
        <w:tc>
          <w:tcPr>
            <w:tcW w:w="874" w:type="dxa"/>
            <w:vAlign w:val="center"/>
          </w:tcPr>
          <w:p>
            <w:pPr>
              <w:adjustRightInd w:val="0"/>
              <w:spacing w:line="440" w:lineRule="exact"/>
              <w:jc w:val="center"/>
              <w:textAlignment w:val="baseline"/>
              <w:rPr>
                <w:szCs w:val="21"/>
              </w:rPr>
            </w:pPr>
            <w:r>
              <w:rPr>
                <w:szCs w:val="21"/>
              </w:rPr>
              <w:t>生产</w:t>
            </w:r>
          </w:p>
          <w:p>
            <w:pPr>
              <w:adjustRightInd w:val="0"/>
              <w:spacing w:line="440" w:lineRule="exact"/>
              <w:jc w:val="center"/>
              <w:textAlignment w:val="baseline"/>
              <w:rPr>
                <w:szCs w:val="21"/>
              </w:rPr>
            </w:pPr>
            <w:r>
              <w:rPr>
                <w:szCs w:val="21"/>
              </w:rPr>
              <w:t>能力</w:t>
            </w:r>
          </w:p>
        </w:tc>
        <w:tc>
          <w:tcPr>
            <w:tcW w:w="1055" w:type="dxa"/>
            <w:vAlign w:val="center"/>
          </w:tcPr>
          <w:p>
            <w:pPr>
              <w:adjustRightInd w:val="0"/>
              <w:spacing w:line="440" w:lineRule="exact"/>
              <w:jc w:val="center"/>
              <w:textAlignment w:val="baseline"/>
              <w:rPr>
                <w:szCs w:val="21"/>
              </w:rPr>
            </w:pPr>
            <w:r>
              <w:rPr>
                <w:szCs w:val="21"/>
              </w:rPr>
              <w:t>用于施工部位</w:t>
            </w:r>
          </w:p>
        </w:tc>
        <w:tc>
          <w:tcPr>
            <w:tcW w:w="691"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pacing w:line="440" w:lineRule="exact"/>
              <w:jc w:val="center"/>
              <w:textAlignment w:val="baseline"/>
              <w:rPr>
                <w:szCs w:val="21"/>
              </w:rPr>
            </w:pPr>
          </w:p>
        </w:tc>
        <w:tc>
          <w:tcPr>
            <w:tcW w:w="1086" w:type="dxa"/>
            <w:vAlign w:val="center"/>
          </w:tcPr>
          <w:p>
            <w:pPr>
              <w:adjustRightInd w:val="0"/>
              <w:spacing w:line="440" w:lineRule="exact"/>
              <w:jc w:val="center"/>
              <w:textAlignment w:val="baseline"/>
              <w:rPr>
                <w:szCs w:val="21"/>
              </w:rPr>
            </w:pPr>
          </w:p>
        </w:tc>
        <w:tc>
          <w:tcPr>
            <w:tcW w:w="761" w:type="dxa"/>
            <w:vAlign w:val="center"/>
          </w:tcPr>
          <w:p>
            <w:pPr>
              <w:adjustRightInd w:val="0"/>
              <w:spacing w:line="440" w:lineRule="exact"/>
              <w:jc w:val="center"/>
              <w:textAlignment w:val="baseline"/>
              <w:rPr>
                <w:szCs w:val="21"/>
              </w:rPr>
            </w:pPr>
          </w:p>
        </w:tc>
        <w:tc>
          <w:tcPr>
            <w:tcW w:w="990"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874" w:type="dxa"/>
            <w:vAlign w:val="center"/>
          </w:tcPr>
          <w:p>
            <w:pPr>
              <w:adjustRightInd w:val="0"/>
              <w:spacing w:line="440" w:lineRule="exact"/>
              <w:jc w:val="center"/>
              <w:textAlignment w:val="baseline"/>
              <w:rPr>
                <w:szCs w:val="21"/>
              </w:rPr>
            </w:pPr>
          </w:p>
        </w:tc>
        <w:tc>
          <w:tcPr>
            <w:tcW w:w="1055" w:type="dxa"/>
            <w:vAlign w:val="center"/>
          </w:tcPr>
          <w:p>
            <w:pPr>
              <w:adjustRightInd w:val="0"/>
              <w:spacing w:line="440" w:lineRule="exact"/>
              <w:jc w:val="center"/>
              <w:textAlignment w:val="baseline"/>
              <w:rPr>
                <w:szCs w:val="21"/>
              </w:rPr>
            </w:pPr>
          </w:p>
        </w:tc>
        <w:tc>
          <w:tcPr>
            <w:tcW w:w="691"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pacing w:line="440" w:lineRule="exact"/>
              <w:jc w:val="center"/>
              <w:textAlignment w:val="baseline"/>
              <w:rPr>
                <w:szCs w:val="21"/>
              </w:rPr>
            </w:pPr>
          </w:p>
        </w:tc>
        <w:tc>
          <w:tcPr>
            <w:tcW w:w="1086" w:type="dxa"/>
          </w:tcPr>
          <w:p>
            <w:pPr>
              <w:adjustRightInd w:val="0"/>
              <w:spacing w:line="440" w:lineRule="exact"/>
              <w:jc w:val="center"/>
              <w:textAlignment w:val="baseline"/>
              <w:rPr>
                <w:szCs w:val="21"/>
              </w:rPr>
            </w:pPr>
          </w:p>
        </w:tc>
        <w:tc>
          <w:tcPr>
            <w:tcW w:w="761" w:type="dxa"/>
          </w:tcPr>
          <w:p>
            <w:pPr>
              <w:adjustRightInd w:val="0"/>
              <w:spacing w:line="440" w:lineRule="exact"/>
              <w:jc w:val="center"/>
              <w:textAlignment w:val="baseline"/>
              <w:rPr>
                <w:szCs w:val="21"/>
              </w:rPr>
            </w:pPr>
          </w:p>
        </w:tc>
        <w:tc>
          <w:tcPr>
            <w:tcW w:w="990"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874" w:type="dxa"/>
          </w:tcPr>
          <w:p>
            <w:pPr>
              <w:adjustRightInd w:val="0"/>
              <w:spacing w:line="440" w:lineRule="exact"/>
              <w:jc w:val="center"/>
              <w:textAlignment w:val="baseline"/>
              <w:rPr>
                <w:szCs w:val="21"/>
              </w:rPr>
            </w:pPr>
          </w:p>
        </w:tc>
        <w:tc>
          <w:tcPr>
            <w:tcW w:w="1055" w:type="dxa"/>
          </w:tcPr>
          <w:p>
            <w:pPr>
              <w:adjustRightInd w:val="0"/>
              <w:spacing w:line="440" w:lineRule="exact"/>
              <w:jc w:val="center"/>
              <w:textAlignment w:val="baseline"/>
              <w:rPr>
                <w:szCs w:val="21"/>
              </w:rPr>
            </w:pPr>
          </w:p>
        </w:tc>
        <w:tc>
          <w:tcPr>
            <w:tcW w:w="691"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343" w:name="_Toc179632818"/>
      <w:bookmarkStart w:id="344" w:name="_Toc144974866"/>
      <w:bookmarkStart w:id="345" w:name="_Toc152045798"/>
      <w:bookmarkStart w:id="346" w:name="_Toc152042587"/>
      <w:r>
        <w:t>附表二：拟配备本标段的试验和检测仪器设备表</w:t>
      </w:r>
      <w:bookmarkEnd w:id="343"/>
      <w:bookmarkEnd w:id="344"/>
      <w:bookmarkEnd w:id="345"/>
      <w:bookmarkEnd w:id="346"/>
    </w:p>
    <w:p>
      <w:pPr>
        <w:spacing w:line="440" w:lineRule="exact"/>
        <w:rPr>
          <w:sz w:val="20"/>
          <w:szCs w:val="20"/>
        </w:rPr>
      </w:pPr>
    </w:p>
    <w:tbl>
      <w:tblPr>
        <w:tblStyle w:val="22"/>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textAlignment w:val="baseline"/>
              <w:rPr>
                <w:szCs w:val="21"/>
              </w:rPr>
            </w:pPr>
            <w:r>
              <w:rPr>
                <w:szCs w:val="21"/>
              </w:rPr>
              <w:t>序号</w:t>
            </w:r>
          </w:p>
        </w:tc>
        <w:tc>
          <w:tcPr>
            <w:tcW w:w="1087" w:type="dxa"/>
            <w:vAlign w:val="center"/>
          </w:tcPr>
          <w:p>
            <w:pPr>
              <w:adjustRightInd w:val="0"/>
              <w:spacing w:line="440" w:lineRule="exact"/>
              <w:jc w:val="center"/>
              <w:textAlignment w:val="baseline"/>
              <w:rPr>
                <w:szCs w:val="21"/>
              </w:rPr>
            </w:pPr>
            <w:r>
              <w:rPr>
                <w:szCs w:val="21"/>
              </w:rPr>
              <w:t>仪器设备名称</w:t>
            </w:r>
          </w:p>
        </w:tc>
        <w:tc>
          <w:tcPr>
            <w:tcW w:w="760" w:type="dxa"/>
            <w:vAlign w:val="center"/>
          </w:tcPr>
          <w:p>
            <w:pPr>
              <w:adjustRightInd w:val="0"/>
              <w:spacing w:line="440" w:lineRule="exact"/>
              <w:jc w:val="center"/>
              <w:textAlignment w:val="baseline"/>
              <w:rPr>
                <w:szCs w:val="21"/>
              </w:rPr>
            </w:pPr>
            <w:r>
              <w:rPr>
                <w:szCs w:val="21"/>
              </w:rPr>
              <w:t>型号</w:t>
            </w:r>
          </w:p>
          <w:p>
            <w:pPr>
              <w:adjustRightInd w:val="0"/>
              <w:spacing w:line="440" w:lineRule="exact"/>
              <w:jc w:val="center"/>
              <w:textAlignment w:val="baseline"/>
              <w:rPr>
                <w:szCs w:val="21"/>
              </w:rPr>
            </w:pPr>
            <w:r>
              <w:rPr>
                <w:szCs w:val="21"/>
              </w:rPr>
              <w:t>规格</w:t>
            </w:r>
          </w:p>
        </w:tc>
        <w:tc>
          <w:tcPr>
            <w:tcW w:w="991" w:type="dxa"/>
            <w:vAlign w:val="center"/>
          </w:tcPr>
          <w:p>
            <w:pPr>
              <w:adjustRightInd w:val="0"/>
              <w:spacing w:line="440" w:lineRule="exact"/>
              <w:jc w:val="center"/>
              <w:textAlignment w:val="baseline"/>
              <w:rPr>
                <w:szCs w:val="21"/>
              </w:rPr>
            </w:pPr>
            <w:r>
              <w:rPr>
                <w:szCs w:val="21"/>
              </w:rPr>
              <w:t>数量</w:t>
            </w:r>
          </w:p>
        </w:tc>
        <w:tc>
          <w:tcPr>
            <w:tcW w:w="672" w:type="dxa"/>
            <w:vAlign w:val="center"/>
          </w:tcPr>
          <w:p>
            <w:pPr>
              <w:adjustRightInd w:val="0"/>
              <w:spacing w:line="440" w:lineRule="exact"/>
              <w:jc w:val="center"/>
              <w:textAlignment w:val="baseline"/>
              <w:rPr>
                <w:szCs w:val="21"/>
              </w:rPr>
            </w:pPr>
            <w:r>
              <w:rPr>
                <w:szCs w:val="21"/>
              </w:rPr>
              <w:t>国别</w:t>
            </w:r>
          </w:p>
          <w:p>
            <w:pPr>
              <w:adjustRightInd w:val="0"/>
              <w:spacing w:line="440" w:lineRule="exact"/>
              <w:jc w:val="center"/>
              <w:textAlignment w:val="baseline"/>
              <w:rPr>
                <w:szCs w:val="21"/>
              </w:rPr>
            </w:pPr>
            <w:r>
              <w:rPr>
                <w:szCs w:val="21"/>
              </w:rPr>
              <w:t>产地</w:t>
            </w:r>
          </w:p>
        </w:tc>
        <w:tc>
          <w:tcPr>
            <w:tcW w:w="738" w:type="dxa"/>
            <w:vAlign w:val="center"/>
          </w:tcPr>
          <w:p>
            <w:pPr>
              <w:adjustRightInd w:val="0"/>
              <w:spacing w:line="440" w:lineRule="exact"/>
              <w:jc w:val="center"/>
              <w:textAlignment w:val="baseline"/>
              <w:rPr>
                <w:szCs w:val="21"/>
              </w:rPr>
            </w:pPr>
            <w:r>
              <w:rPr>
                <w:szCs w:val="21"/>
              </w:rPr>
              <w:t>制造</w:t>
            </w:r>
          </w:p>
          <w:p>
            <w:pPr>
              <w:adjustRightInd w:val="0"/>
              <w:spacing w:line="440" w:lineRule="exact"/>
              <w:jc w:val="center"/>
              <w:textAlignment w:val="baseline"/>
              <w:rPr>
                <w:szCs w:val="21"/>
              </w:rPr>
            </w:pPr>
            <w:r>
              <w:rPr>
                <w:szCs w:val="21"/>
              </w:rPr>
              <w:t>年份</w:t>
            </w:r>
          </w:p>
        </w:tc>
        <w:tc>
          <w:tcPr>
            <w:tcW w:w="1212" w:type="dxa"/>
            <w:vAlign w:val="center"/>
          </w:tcPr>
          <w:p>
            <w:pPr>
              <w:adjustRightInd w:val="0"/>
              <w:spacing w:line="440" w:lineRule="exact"/>
              <w:jc w:val="center"/>
              <w:textAlignment w:val="baseline"/>
              <w:rPr>
                <w:szCs w:val="21"/>
              </w:rPr>
            </w:pPr>
            <w:r>
              <w:rPr>
                <w:szCs w:val="21"/>
              </w:rPr>
              <w:t>已使用台时数</w:t>
            </w:r>
          </w:p>
        </w:tc>
        <w:tc>
          <w:tcPr>
            <w:tcW w:w="1653" w:type="dxa"/>
            <w:vAlign w:val="center"/>
          </w:tcPr>
          <w:p>
            <w:pPr>
              <w:adjustRightInd w:val="0"/>
              <w:spacing w:line="440" w:lineRule="exact"/>
              <w:jc w:val="center"/>
              <w:textAlignment w:val="baseline"/>
              <w:rPr>
                <w:szCs w:val="21"/>
              </w:rPr>
            </w:pPr>
            <w:r>
              <w:rPr>
                <w:szCs w:val="21"/>
              </w:rPr>
              <w:t>用途</w:t>
            </w:r>
          </w:p>
        </w:tc>
        <w:tc>
          <w:tcPr>
            <w:tcW w:w="688"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pacing w:line="440" w:lineRule="exact"/>
              <w:jc w:val="center"/>
              <w:textAlignment w:val="baseline"/>
              <w:rPr>
                <w:szCs w:val="21"/>
              </w:rPr>
            </w:pPr>
          </w:p>
        </w:tc>
        <w:tc>
          <w:tcPr>
            <w:tcW w:w="1087" w:type="dxa"/>
            <w:vAlign w:val="center"/>
          </w:tcPr>
          <w:p>
            <w:pPr>
              <w:adjustRightInd w:val="0"/>
              <w:spacing w:line="440" w:lineRule="exact"/>
              <w:jc w:val="center"/>
              <w:textAlignment w:val="baseline"/>
              <w:rPr>
                <w:szCs w:val="21"/>
              </w:rPr>
            </w:pPr>
          </w:p>
        </w:tc>
        <w:tc>
          <w:tcPr>
            <w:tcW w:w="760" w:type="dxa"/>
            <w:vAlign w:val="center"/>
          </w:tcPr>
          <w:p>
            <w:pPr>
              <w:adjustRightInd w:val="0"/>
              <w:spacing w:line="440" w:lineRule="exact"/>
              <w:jc w:val="center"/>
              <w:textAlignment w:val="baseline"/>
              <w:rPr>
                <w:szCs w:val="21"/>
              </w:rPr>
            </w:pPr>
          </w:p>
        </w:tc>
        <w:tc>
          <w:tcPr>
            <w:tcW w:w="991"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c>
          <w:tcPr>
            <w:tcW w:w="738" w:type="dxa"/>
            <w:vAlign w:val="center"/>
          </w:tcPr>
          <w:p>
            <w:pPr>
              <w:adjustRightInd w:val="0"/>
              <w:spacing w:line="440" w:lineRule="exact"/>
              <w:jc w:val="center"/>
              <w:textAlignment w:val="baseline"/>
              <w:rPr>
                <w:szCs w:val="21"/>
              </w:rPr>
            </w:pPr>
          </w:p>
        </w:tc>
        <w:tc>
          <w:tcPr>
            <w:tcW w:w="1212" w:type="dxa"/>
            <w:vAlign w:val="center"/>
          </w:tcPr>
          <w:p>
            <w:pPr>
              <w:adjustRightInd w:val="0"/>
              <w:spacing w:line="440" w:lineRule="exact"/>
              <w:jc w:val="center"/>
              <w:textAlignment w:val="baseline"/>
              <w:rPr>
                <w:szCs w:val="21"/>
              </w:rPr>
            </w:pPr>
          </w:p>
        </w:tc>
        <w:tc>
          <w:tcPr>
            <w:tcW w:w="1653" w:type="dxa"/>
            <w:vAlign w:val="center"/>
          </w:tcPr>
          <w:p>
            <w:pPr>
              <w:adjustRightInd w:val="0"/>
              <w:spacing w:line="440" w:lineRule="exact"/>
              <w:jc w:val="center"/>
              <w:textAlignment w:val="baseline"/>
              <w:rPr>
                <w:szCs w:val="21"/>
              </w:rPr>
            </w:pPr>
          </w:p>
        </w:tc>
        <w:tc>
          <w:tcPr>
            <w:tcW w:w="688"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pacing w:line="440" w:lineRule="exact"/>
              <w:jc w:val="center"/>
              <w:textAlignment w:val="baseline"/>
              <w:rPr>
                <w:szCs w:val="21"/>
              </w:rPr>
            </w:pPr>
          </w:p>
        </w:tc>
        <w:tc>
          <w:tcPr>
            <w:tcW w:w="1087" w:type="dxa"/>
          </w:tcPr>
          <w:p>
            <w:pPr>
              <w:adjustRightInd w:val="0"/>
              <w:spacing w:line="440" w:lineRule="exact"/>
              <w:jc w:val="center"/>
              <w:textAlignment w:val="baseline"/>
              <w:rPr>
                <w:szCs w:val="21"/>
              </w:rPr>
            </w:pPr>
          </w:p>
        </w:tc>
        <w:tc>
          <w:tcPr>
            <w:tcW w:w="760" w:type="dxa"/>
          </w:tcPr>
          <w:p>
            <w:pPr>
              <w:adjustRightInd w:val="0"/>
              <w:spacing w:line="440" w:lineRule="exact"/>
              <w:jc w:val="center"/>
              <w:textAlignment w:val="baseline"/>
              <w:rPr>
                <w:szCs w:val="21"/>
              </w:rPr>
            </w:pPr>
          </w:p>
        </w:tc>
        <w:tc>
          <w:tcPr>
            <w:tcW w:w="991"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c>
          <w:tcPr>
            <w:tcW w:w="738" w:type="dxa"/>
          </w:tcPr>
          <w:p>
            <w:pPr>
              <w:adjustRightInd w:val="0"/>
              <w:spacing w:line="440" w:lineRule="exact"/>
              <w:jc w:val="center"/>
              <w:textAlignment w:val="baseline"/>
              <w:rPr>
                <w:szCs w:val="21"/>
              </w:rPr>
            </w:pPr>
          </w:p>
        </w:tc>
        <w:tc>
          <w:tcPr>
            <w:tcW w:w="1212" w:type="dxa"/>
          </w:tcPr>
          <w:p>
            <w:pPr>
              <w:adjustRightInd w:val="0"/>
              <w:spacing w:line="440" w:lineRule="exact"/>
              <w:jc w:val="center"/>
              <w:textAlignment w:val="baseline"/>
              <w:rPr>
                <w:szCs w:val="21"/>
              </w:rPr>
            </w:pPr>
          </w:p>
        </w:tc>
        <w:tc>
          <w:tcPr>
            <w:tcW w:w="1653" w:type="dxa"/>
          </w:tcPr>
          <w:p>
            <w:pPr>
              <w:adjustRightInd w:val="0"/>
              <w:spacing w:line="440" w:lineRule="exact"/>
              <w:jc w:val="center"/>
              <w:textAlignment w:val="baseline"/>
              <w:rPr>
                <w:szCs w:val="21"/>
              </w:rPr>
            </w:pPr>
          </w:p>
        </w:tc>
        <w:tc>
          <w:tcPr>
            <w:tcW w:w="688" w:type="dxa"/>
          </w:tcPr>
          <w:p>
            <w:pPr>
              <w:adjustRightInd w:val="0"/>
              <w:spacing w:line="440" w:lineRule="exact"/>
              <w:jc w:val="center"/>
              <w:textAlignment w:val="baseline"/>
              <w:rPr>
                <w:szCs w:val="21"/>
              </w:rPr>
            </w:pPr>
          </w:p>
        </w:tc>
      </w:tr>
    </w:tbl>
    <w:p>
      <w:pPr>
        <w:spacing w:line="440" w:lineRule="exact"/>
        <w:rPr>
          <w:rFonts w:eastAsia="黑体"/>
          <w:sz w:val="20"/>
          <w:szCs w:val="20"/>
        </w:rPr>
      </w:pPr>
      <w:r>
        <w:rPr>
          <w:rFonts w:eastAsia="黑体"/>
          <w:sz w:val="20"/>
          <w:szCs w:val="20"/>
        </w:rPr>
        <w:br w:type="page"/>
      </w:r>
    </w:p>
    <w:p>
      <w:pPr>
        <w:pStyle w:val="29"/>
      </w:pPr>
      <w:bookmarkStart w:id="347" w:name="_Toc152045799"/>
      <w:bookmarkStart w:id="348" w:name="_Toc179632819"/>
      <w:bookmarkStart w:id="349" w:name="_Toc144974867"/>
      <w:bookmarkStart w:id="350" w:name="_Toc152042588"/>
      <w:r>
        <w:t>附表三：劳动力计划表</w:t>
      </w:r>
      <w:bookmarkEnd w:id="347"/>
      <w:bookmarkEnd w:id="348"/>
      <w:bookmarkEnd w:id="349"/>
      <w:bookmarkEnd w:id="350"/>
    </w:p>
    <w:p>
      <w:pPr>
        <w:spacing w:line="440" w:lineRule="exact"/>
        <w:ind w:right="200"/>
        <w:jc w:val="right"/>
        <w:rPr>
          <w:rFonts w:eastAsia="黑体"/>
          <w:szCs w:val="21"/>
        </w:rPr>
      </w:pPr>
      <w:r>
        <w:rPr>
          <w:rFonts w:eastAsia="黑体"/>
          <w:szCs w:val="21"/>
        </w:rPr>
        <w:t>单位：人</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r>
              <w:rPr>
                <w:szCs w:val="21"/>
              </w:rPr>
              <w:t>工种</w:t>
            </w:r>
          </w:p>
        </w:tc>
        <w:tc>
          <w:tcPr>
            <w:tcW w:w="7693" w:type="dxa"/>
            <w:gridSpan w:val="7"/>
            <w:vAlign w:val="center"/>
          </w:tcPr>
          <w:p>
            <w:pPr>
              <w:adjustRightInd w:val="0"/>
              <w:spacing w:line="440" w:lineRule="exact"/>
              <w:jc w:val="center"/>
              <w:textAlignment w:val="baseline"/>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pacing w:line="440" w:lineRule="exact"/>
              <w:jc w:val="center"/>
              <w:textAlignment w:val="baseline"/>
              <w:rPr>
                <w:szCs w:val="21"/>
              </w:rPr>
            </w:pPr>
          </w:p>
        </w:tc>
        <w:tc>
          <w:tcPr>
            <w:tcW w:w="1304"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5" w:type="dxa"/>
            <w:vAlign w:val="center"/>
          </w:tcPr>
          <w:p>
            <w:pPr>
              <w:adjustRightInd w:val="0"/>
              <w:spacing w:line="440" w:lineRule="exact"/>
              <w:jc w:val="center"/>
              <w:textAlignment w:val="baseline"/>
              <w:rPr>
                <w:szCs w:val="21"/>
              </w:rPr>
            </w:pPr>
          </w:p>
        </w:tc>
        <w:tc>
          <w:tcPr>
            <w:tcW w:w="1064"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pacing w:line="440" w:lineRule="exact"/>
              <w:jc w:val="center"/>
              <w:textAlignment w:val="baseline"/>
              <w:rPr>
                <w:szCs w:val="21"/>
              </w:rPr>
            </w:pPr>
          </w:p>
        </w:tc>
        <w:tc>
          <w:tcPr>
            <w:tcW w:w="1304"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5" w:type="dxa"/>
          </w:tcPr>
          <w:p>
            <w:pPr>
              <w:adjustRightInd w:val="0"/>
              <w:spacing w:line="440" w:lineRule="exact"/>
              <w:jc w:val="center"/>
              <w:textAlignment w:val="baseline"/>
              <w:rPr>
                <w:szCs w:val="21"/>
              </w:rPr>
            </w:pPr>
          </w:p>
        </w:tc>
        <w:tc>
          <w:tcPr>
            <w:tcW w:w="1064" w:type="dxa"/>
          </w:tcPr>
          <w:p>
            <w:pPr>
              <w:adjustRightInd w:val="0"/>
              <w:spacing w:line="440" w:lineRule="exact"/>
              <w:jc w:val="center"/>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pPr>
    </w:p>
    <w:p>
      <w:pPr>
        <w:pStyle w:val="29"/>
      </w:pPr>
      <w:bookmarkStart w:id="351" w:name="_Toc152042589"/>
      <w:bookmarkStart w:id="352" w:name="_Toc179632820"/>
      <w:bookmarkStart w:id="353" w:name="_Toc152045800"/>
      <w:bookmarkStart w:id="354" w:name="_Toc144974868"/>
      <w:r>
        <w:t>附表四：计划开、</w:t>
      </w:r>
      <w:r>
        <w:rPr>
          <w:rFonts w:hint="eastAsia"/>
        </w:rPr>
        <w:t>竣工</w:t>
      </w:r>
      <w:r>
        <w:t>日期和施工进度网络图</w:t>
      </w:r>
      <w:bookmarkEnd w:id="351"/>
      <w:bookmarkEnd w:id="352"/>
      <w:bookmarkEnd w:id="353"/>
      <w:bookmarkEnd w:id="354"/>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pPr>
      <w:bookmarkStart w:id="355" w:name="_Toc152045801"/>
      <w:bookmarkStart w:id="356" w:name="_Toc144974869"/>
      <w:bookmarkStart w:id="357" w:name="_Toc152042590"/>
      <w:bookmarkStart w:id="358" w:name="_Toc179632821"/>
      <w:r>
        <w:t>附表五：施工总平面图</w:t>
      </w:r>
      <w:bookmarkEnd w:id="355"/>
      <w:bookmarkEnd w:id="356"/>
      <w:bookmarkEnd w:id="357"/>
      <w:bookmarkEnd w:id="358"/>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rFonts w:hint="eastAsia"/>
          <w:szCs w:val="21"/>
        </w:rPr>
        <w:t>暂无</w:t>
      </w:r>
    </w:p>
    <w:p>
      <w:pPr>
        <w:pStyle w:val="29"/>
        <w:rPr>
          <w:szCs w:val="23"/>
        </w:rPr>
      </w:pPr>
      <w:bookmarkStart w:id="359" w:name="_Toc152042591"/>
      <w:bookmarkStart w:id="360" w:name="_Toc179632822"/>
      <w:bookmarkStart w:id="361" w:name="_Toc144974870"/>
      <w:bookmarkStart w:id="362" w:name="_Toc152045802"/>
      <w:r>
        <w:rPr>
          <w:szCs w:val="23"/>
        </w:rPr>
        <w:t>附表六</w:t>
      </w:r>
      <w:r>
        <w:rPr>
          <w:rFonts w:hint="eastAsia"/>
          <w:szCs w:val="23"/>
        </w:rPr>
        <w:t>：</w:t>
      </w:r>
      <w:r>
        <w:rPr>
          <w:szCs w:val="23"/>
        </w:rPr>
        <w:t>临时用地表</w:t>
      </w:r>
      <w:bookmarkEnd w:id="359"/>
      <w:bookmarkEnd w:id="360"/>
      <w:bookmarkEnd w:id="361"/>
      <w:bookmarkEnd w:id="362"/>
    </w:p>
    <w:p>
      <w:pPr>
        <w:spacing w:line="440" w:lineRule="exact"/>
        <w:jc w:val="center"/>
        <w:rPr>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jc w:val="center"/>
              <w:textAlignment w:val="baseline"/>
              <w:rPr>
                <w:szCs w:val="21"/>
              </w:rPr>
            </w:pPr>
            <w:r>
              <w:rPr>
                <w:szCs w:val="21"/>
              </w:rPr>
              <w:t>用 途</w:t>
            </w:r>
          </w:p>
        </w:tc>
        <w:tc>
          <w:tcPr>
            <w:tcW w:w="2130" w:type="dxa"/>
          </w:tcPr>
          <w:p>
            <w:pPr>
              <w:adjustRightInd w:val="0"/>
              <w:spacing w:line="440" w:lineRule="exact"/>
              <w:jc w:val="center"/>
              <w:textAlignment w:val="baseline"/>
              <w:rPr>
                <w:szCs w:val="21"/>
              </w:rPr>
            </w:pPr>
            <w:r>
              <w:rPr>
                <w:szCs w:val="21"/>
              </w:rPr>
              <w:t>面 积（平方米）</w:t>
            </w:r>
          </w:p>
        </w:tc>
        <w:tc>
          <w:tcPr>
            <w:tcW w:w="2131" w:type="dxa"/>
          </w:tcPr>
          <w:p>
            <w:pPr>
              <w:adjustRightInd w:val="0"/>
              <w:spacing w:line="440" w:lineRule="exact"/>
              <w:jc w:val="center"/>
              <w:textAlignment w:val="baseline"/>
              <w:rPr>
                <w:szCs w:val="21"/>
              </w:rPr>
            </w:pPr>
            <w:r>
              <w:rPr>
                <w:szCs w:val="21"/>
              </w:rPr>
              <w:t>位 置</w:t>
            </w:r>
          </w:p>
        </w:tc>
        <w:tc>
          <w:tcPr>
            <w:tcW w:w="2131" w:type="dxa"/>
          </w:tcPr>
          <w:p>
            <w:pPr>
              <w:adjustRightInd w:val="0"/>
              <w:spacing w:line="440" w:lineRule="exact"/>
              <w:jc w:val="center"/>
              <w:textAlignment w:val="baseline"/>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440" w:lineRule="exact"/>
              <w:textAlignment w:val="baseline"/>
              <w:rPr>
                <w:szCs w:val="21"/>
              </w:rPr>
            </w:pPr>
          </w:p>
        </w:tc>
        <w:tc>
          <w:tcPr>
            <w:tcW w:w="2130"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c>
          <w:tcPr>
            <w:tcW w:w="2131" w:type="dxa"/>
          </w:tcPr>
          <w:p>
            <w:pPr>
              <w:adjustRightInd w:val="0"/>
              <w:spacing w:line="440" w:lineRule="exact"/>
              <w:textAlignment w:val="baseline"/>
              <w:rPr>
                <w:szCs w:val="21"/>
              </w:rPr>
            </w:pPr>
          </w:p>
        </w:tc>
      </w:tr>
    </w:tbl>
    <w:p>
      <w:pPr>
        <w:topLinePunct/>
        <w:spacing w:line="440" w:lineRule="exact"/>
      </w:pPr>
    </w:p>
    <w:p>
      <w:pPr>
        <w:pStyle w:val="28"/>
        <w:jc w:val="center"/>
      </w:pPr>
      <w:bookmarkStart w:id="363" w:name="_Toc144974871"/>
      <w:bookmarkStart w:id="364" w:name="_Toc179632823"/>
      <w:bookmarkStart w:id="365" w:name="_Toc152045803"/>
      <w:bookmarkStart w:id="366" w:name="_Toc152042592"/>
      <w:r>
        <w:rPr>
          <w:rFonts w:hint="eastAsia"/>
        </w:rPr>
        <w:t>四</w:t>
      </w:r>
      <w:r>
        <w:t>、项目管理机构</w:t>
      </w:r>
      <w:bookmarkEnd w:id="363"/>
      <w:bookmarkEnd w:id="364"/>
      <w:bookmarkEnd w:id="365"/>
      <w:bookmarkEnd w:id="366"/>
    </w:p>
    <w:p>
      <w:pPr>
        <w:spacing w:line="440" w:lineRule="exact"/>
        <w:jc w:val="center"/>
        <w:rPr>
          <w:rFonts w:eastAsia="黑体"/>
          <w:sz w:val="23"/>
          <w:szCs w:val="23"/>
        </w:rPr>
      </w:pPr>
    </w:p>
    <w:p>
      <w:pPr>
        <w:pStyle w:val="29"/>
        <w:rPr>
          <w:szCs w:val="23"/>
        </w:rPr>
      </w:pPr>
      <w:bookmarkStart w:id="367" w:name="_Toc144974872"/>
      <w:bookmarkStart w:id="368" w:name="_Toc179632824"/>
      <w:bookmarkStart w:id="369" w:name="_Toc152042593"/>
      <w:bookmarkStart w:id="370" w:name="_Toc152045804"/>
      <w:r>
        <w:rPr>
          <w:szCs w:val="23"/>
        </w:rPr>
        <w:t>（一）项目管理机构组成表</w:t>
      </w:r>
      <w:bookmarkEnd w:id="367"/>
      <w:bookmarkEnd w:id="368"/>
      <w:bookmarkEnd w:id="369"/>
      <w:bookmarkEnd w:id="370"/>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vAlign w:val="center"/>
          </w:tcPr>
          <w:p>
            <w:pPr>
              <w:adjustRightInd w:val="0"/>
              <w:spacing w:line="440" w:lineRule="exact"/>
              <w:jc w:val="center"/>
              <w:textAlignment w:val="baseline"/>
              <w:rPr>
                <w:szCs w:val="21"/>
              </w:rPr>
            </w:pPr>
            <w:r>
              <w:rPr>
                <w:szCs w:val="21"/>
              </w:rPr>
              <w:t>职务</w:t>
            </w:r>
          </w:p>
        </w:tc>
        <w:tc>
          <w:tcPr>
            <w:tcW w:w="721" w:type="dxa"/>
            <w:vMerge w:val="restart"/>
            <w:vAlign w:val="center"/>
          </w:tcPr>
          <w:p>
            <w:pPr>
              <w:adjustRightInd w:val="0"/>
              <w:spacing w:line="440" w:lineRule="exact"/>
              <w:jc w:val="center"/>
              <w:textAlignment w:val="baseline"/>
              <w:rPr>
                <w:szCs w:val="21"/>
              </w:rPr>
            </w:pPr>
            <w:r>
              <w:rPr>
                <w:szCs w:val="21"/>
              </w:rPr>
              <w:t>姓名</w:t>
            </w:r>
          </w:p>
        </w:tc>
        <w:tc>
          <w:tcPr>
            <w:tcW w:w="719" w:type="dxa"/>
            <w:vMerge w:val="restart"/>
            <w:vAlign w:val="center"/>
          </w:tcPr>
          <w:p>
            <w:pPr>
              <w:adjustRightInd w:val="0"/>
              <w:spacing w:line="440" w:lineRule="exact"/>
              <w:jc w:val="center"/>
              <w:textAlignment w:val="baseline"/>
              <w:rPr>
                <w:szCs w:val="21"/>
              </w:rPr>
            </w:pPr>
            <w:r>
              <w:rPr>
                <w:szCs w:val="21"/>
              </w:rPr>
              <w:t>职称</w:t>
            </w:r>
          </w:p>
        </w:tc>
        <w:tc>
          <w:tcPr>
            <w:tcW w:w="5763" w:type="dxa"/>
            <w:gridSpan w:val="5"/>
            <w:vAlign w:val="center"/>
          </w:tcPr>
          <w:p>
            <w:pPr>
              <w:adjustRightInd w:val="0"/>
              <w:spacing w:line="440" w:lineRule="exact"/>
              <w:jc w:val="center"/>
              <w:textAlignment w:val="baseline"/>
              <w:rPr>
                <w:szCs w:val="21"/>
              </w:rPr>
            </w:pPr>
            <w:r>
              <w:rPr>
                <w:szCs w:val="21"/>
              </w:rPr>
              <w:t>执业或职业资格证明</w:t>
            </w:r>
          </w:p>
        </w:tc>
        <w:tc>
          <w:tcPr>
            <w:tcW w:w="672" w:type="dxa"/>
            <w:vAlign w:val="center"/>
          </w:tcPr>
          <w:p>
            <w:pPr>
              <w:adjustRightInd w:val="0"/>
              <w:spacing w:line="440" w:lineRule="exact"/>
              <w:jc w:val="center"/>
              <w:textAlignment w:val="baseline"/>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vAlign w:val="center"/>
          </w:tcPr>
          <w:p>
            <w:pPr>
              <w:adjustRightInd w:val="0"/>
              <w:spacing w:line="440" w:lineRule="exact"/>
              <w:jc w:val="center"/>
              <w:textAlignment w:val="baseline"/>
              <w:rPr>
                <w:szCs w:val="21"/>
              </w:rPr>
            </w:pPr>
          </w:p>
        </w:tc>
        <w:tc>
          <w:tcPr>
            <w:tcW w:w="721" w:type="dxa"/>
            <w:vMerge w:val="continue"/>
            <w:vAlign w:val="center"/>
          </w:tcPr>
          <w:p>
            <w:pPr>
              <w:adjustRightInd w:val="0"/>
              <w:spacing w:line="440" w:lineRule="exact"/>
              <w:jc w:val="center"/>
              <w:textAlignment w:val="baseline"/>
              <w:rPr>
                <w:szCs w:val="21"/>
              </w:rPr>
            </w:pPr>
          </w:p>
        </w:tc>
        <w:tc>
          <w:tcPr>
            <w:tcW w:w="719" w:type="dxa"/>
            <w:vMerge w:val="continue"/>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r>
              <w:rPr>
                <w:szCs w:val="21"/>
              </w:rPr>
              <w:t>证书名称</w:t>
            </w:r>
          </w:p>
        </w:tc>
        <w:tc>
          <w:tcPr>
            <w:tcW w:w="719" w:type="dxa"/>
            <w:vAlign w:val="center"/>
          </w:tcPr>
          <w:p>
            <w:pPr>
              <w:adjustRightInd w:val="0"/>
              <w:spacing w:line="440" w:lineRule="exact"/>
              <w:jc w:val="center"/>
              <w:textAlignment w:val="baseline"/>
              <w:rPr>
                <w:szCs w:val="21"/>
              </w:rPr>
            </w:pPr>
            <w:r>
              <w:rPr>
                <w:szCs w:val="21"/>
              </w:rPr>
              <w:t>级别</w:t>
            </w:r>
          </w:p>
        </w:tc>
        <w:tc>
          <w:tcPr>
            <w:tcW w:w="721" w:type="dxa"/>
            <w:vAlign w:val="center"/>
          </w:tcPr>
          <w:p>
            <w:pPr>
              <w:adjustRightInd w:val="0"/>
              <w:spacing w:line="440" w:lineRule="exact"/>
              <w:jc w:val="center"/>
              <w:textAlignment w:val="baseline"/>
              <w:rPr>
                <w:szCs w:val="21"/>
              </w:rPr>
            </w:pPr>
            <w:r>
              <w:rPr>
                <w:szCs w:val="21"/>
              </w:rPr>
              <w:t>证号</w:t>
            </w:r>
          </w:p>
        </w:tc>
        <w:tc>
          <w:tcPr>
            <w:tcW w:w="719" w:type="dxa"/>
            <w:vAlign w:val="center"/>
          </w:tcPr>
          <w:p>
            <w:pPr>
              <w:adjustRightInd w:val="0"/>
              <w:spacing w:line="440" w:lineRule="exact"/>
              <w:jc w:val="center"/>
              <w:textAlignment w:val="baseline"/>
              <w:rPr>
                <w:szCs w:val="21"/>
              </w:rPr>
            </w:pPr>
            <w:r>
              <w:rPr>
                <w:szCs w:val="21"/>
              </w:rPr>
              <w:t>专业</w:t>
            </w:r>
          </w:p>
        </w:tc>
        <w:tc>
          <w:tcPr>
            <w:tcW w:w="2523" w:type="dxa"/>
            <w:vAlign w:val="center"/>
          </w:tcPr>
          <w:p>
            <w:pPr>
              <w:adjustRightInd w:val="0"/>
              <w:spacing w:line="440" w:lineRule="exact"/>
              <w:jc w:val="center"/>
              <w:textAlignment w:val="baseline"/>
              <w:rPr>
                <w:szCs w:val="21"/>
              </w:rPr>
            </w:pPr>
            <w:r>
              <w:rPr>
                <w:szCs w:val="21"/>
              </w:rPr>
              <w:t>养老保险</w:t>
            </w: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108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721" w:type="dxa"/>
            <w:vAlign w:val="center"/>
          </w:tcPr>
          <w:p>
            <w:pPr>
              <w:adjustRightInd w:val="0"/>
              <w:spacing w:line="440" w:lineRule="exact"/>
              <w:jc w:val="center"/>
              <w:textAlignment w:val="baseline"/>
              <w:rPr>
                <w:szCs w:val="21"/>
              </w:rPr>
            </w:pPr>
          </w:p>
        </w:tc>
        <w:tc>
          <w:tcPr>
            <w:tcW w:w="719" w:type="dxa"/>
            <w:vAlign w:val="center"/>
          </w:tcPr>
          <w:p>
            <w:pPr>
              <w:adjustRightInd w:val="0"/>
              <w:spacing w:line="440" w:lineRule="exact"/>
              <w:jc w:val="center"/>
              <w:textAlignment w:val="baseline"/>
              <w:rPr>
                <w:szCs w:val="21"/>
              </w:rPr>
            </w:pPr>
          </w:p>
        </w:tc>
        <w:tc>
          <w:tcPr>
            <w:tcW w:w="2523" w:type="dxa"/>
            <w:vAlign w:val="center"/>
          </w:tcPr>
          <w:p>
            <w:pPr>
              <w:adjustRightInd w:val="0"/>
              <w:spacing w:line="440" w:lineRule="exact"/>
              <w:jc w:val="center"/>
              <w:textAlignment w:val="baseline"/>
              <w:rPr>
                <w:szCs w:val="21"/>
              </w:rPr>
            </w:pPr>
          </w:p>
        </w:tc>
        <w:tc>
          <w:tcPr>
            <w:tcW w:w="672"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108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721" w:type="dxa"/>
          </w:tcPr>
          <w:p>
            <w:pPr>
              <w:adjustRightInd w:val="0"/>
              <w:spacing w:line="440" w:lineRule="exact"/>
              <w:jc w:val="center"/>
              <w:textAlignment w:val="baseline"/>
              <w:rPr>
                <w:szCs w:val="21"/>
              </w:rPr>
            </w:pPr>
          </w:p>
        </w:tc>
        <w:tc>
          <w:tcPr>
            <w:tcW w:w="719" w:type="dxa"/>
          </w:tcPr>
          <w:p>
            <w:pPr>
              <w:adjustRightInd w:val="0"/>
              <w:spacing w:line="440" w:lineRule="exact"/>
              <w:jc w:val="center"/>
              <w:textAlignment w:val="baseline"/>
              <w:rPr>
                <w:szCs w:val="21"/>
              </w:rPr>
            </w:pPr>
          </w:p>
        </w:tc>
        <w:tc>
          <w:tcPr>
            <w:tcW w:w="2523" w:type="dxa"/>
          </w:tcPr>
          <w:p>
            <w:pPr>
              <w:adjustRightInd w:val="0"/>
              <w:spacing w:line="440" w:lineRule="exact"/>
              <w:jc w:val="center"/>
              <w:textAlignment w:val="baseline"/>
              <w:rPr>
                <w:szCs w:val="21"/>
              </w:rPr>
            </w:pPr>
          </w:p>
        </w:tc>
        <w:tc>
          <w:tcPr>
            <w:tcW w:w="672" w:type="dxa"/>
          </w:tcPr>
          <w:p>
            <w:pPr>
              <w:adjustRightInd w:val="0"/>
              <w:spacing w:line="440" w:lineRule="exact"/>
              <w:jc w:val="center"/>
              <w:textAlignment w:val="baseline"/>
              <w:rPr>
                <w:szCs w:val="21"/>
              </w:rPr>
            </w:pPr>
          </w:p>
        </w:tc>
      </w:tr>
    </w:tbl>
    <w:p>
      <w:pPr>
        <w:spacing w:line="440" w:lineRule="exact"/>
        <w:ind w:left="210" w:leftChars="100"/>
        <w:jc w:val="center"/>
        <w:rPr>
          <w:rFonts w:eastAsia="黑体"/>
          <w:sz w:val="20"/>
          <w:szCs w:val="20"/>
        </w:rPr>
      </w:pPr>
    </w:p>
    <w:p>
      <w:pPr>
        <w:topLinePunct/>
        <w:spacing w:line="440" w:lineRule="exact"/>
        <w:jc w:val="center"/>
        <w:rPr>
          <w:sz w:val="20"/>
        </w:rPr>
      </w:pPr>
      <w:r>
        <w:rPr>
          <w:sz w:val="20"/>
        </w:rPr>
        <w:br w:type="page"/>
      </w:r>
    </w:p>
    <w:p>
      <w:pPr>
        <w:pStyle w:val="29"/>
        <w:rPr>
          <w:szCs w:val="23"/>
        </w:rPr>
      </w:pPr>
      <w:bookmarkStart w:id="371" w:name="_Toc152045805"/>
      <w:bookmarkStart w:id="372" w:name="_Toc144974873"/>
      <w:bookmarkStart w:id="373" w:name="_Toc152042594"/>
      <w:bookmarkStart w:id="374" w:name="_Toc179632825"/>
      <w:r>
        <w:rPr>
          <w:szCs w:val="23"/>
        </w:rPr>
        <w:t>（二）主要人员简历表</w:t>
      </w:r>
      <w:bookmarkEnd w:id="371"/>
      <w:bookmarkEnd w:id="372"/>
      <w:bookmarkEnd w:id="373"/>
      <w:bookmarkEnd w:id="374"/>
    </w:p>
    <w:p>
      <w:pPr>
        <w:spacing w:line="400" w:lineRule="exact"/>
        <w:ind w:firstLine="420" w:firstLineChars="200"/>
      </w:pPr>
    </w:p>
    <w:p>
      <w:pPr>
        <w:spacing w:line="400" w:lineRule="exact"/>
        <w:ind w:firstLine="420" w:firstLineChars="200"/>
      </w:pPr>
      <w:r>
        <w:rPr>
          <w:rFonts w:hint="eastAsia"/>
        </w:rPr>
        <w:t>“主要人员简历表”中的项目经理</w:t>
      </w:r>
      <w:r>
        <w:rPr>
          <w:rFonts w:hint="eastAsia" w:ascii="宋体" w:hAnsi="宋体"/>
          <w:szCs w:val="21"/>
        </w:rPr>
        <w:t>应附注册证书、安全生产考核合格证书、</w:t>
      </w:r>
      <w:r>
        <w:rPr>
          <w:rFonts w:hint="eastAsia"/>
        </w:rPr>
        <w:t>身份证、职称证复印件；技术负责人应附身份证、职称证复印件；其他主要人员应附职称证（执业证或上岗证书）复印件。</w:t>
      </w:r>
    </w:p>
    <w:p>
      <w:pPr>
        <w:topLinePunct/>
        <w:spacing w:line="440" w:lineRule="exact"/>
        <w:jc w:val="center"/>
        <w:rPr>
          <w:rFonts w:eastAsia="黑体"/>
          <w:sz w:val="23"/>
          <w:szCs w:val="23"/>
        </w:rPr>
      </w:pP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姓  名</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年 龄</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学历</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职  称</w:t>
            </w:r>
          </w:p>
        </w:tc>
        <w:tc>
          <w:tcPr>
            <w:tcW w:w="1079" w:type="dxa"/>
            <w:gridSpan w:val="2"/>
            <w:vAlign w:val="center"/>
          </w:tcPr>
          <w:p>
            <w:pPr>
              <w:spacing w:line="440" w:lineRule="exact"/>
              <w:rPr>
                <w:rFonts w:ascii="宋体" w:hAnsi="宋体"/>
                <w:szCs w:val="21"/>
              </w:rPr>
            </w:pPr>
          </w:p>
        </w:tc>
        <w:tc>
          <w:tcPr>
            <w:tcW w:w="927" w:type="dxa"/>
            <w:vAlign w:val="center"/>
          </w:tcPr>
          <w:p>
            <w:pPr>
              <w:spacing w:line="440" w:lineRule="exact"/>
              <w:rPr>
                <w:rFonts w:ascii="宋体" w:hAnsi="宋体"/>
                <w:szCs w:val="21"/>
              </w:rPr>
            </w:pPr>
            <w:r>
              <w:rPr>
                <w:rFonts w:ascii="宋体" w:hAnsi="宋体"/>
                <w:szCs w:val="21"/>
              </w:rPr>
              <w:t>职 务</w:t>
            </w:r>
          </w:p>
        </w:tc>
        <w:tc>
          <w:tcPr>
            <w:tcW w:w="1065" w:type="dxa"/>
            <w:vAlign w:val="center"/>
          </w:tcPr>
          <w:p>
            <w:pPr>
              <w:spacing w:line="440" w:lineRule="exact"/>
              <w:rPr>
                <w:rFonts w:ascii="宋体" w:hAnsi="宋体"/>
                <w:szCs w:val="21"/>
              </w:rPr>
            </w:pPr>
          </w:p>
        </w:tc>
        <w:tc>
          <w:tcPr>
            <w:tcW w:w="2130" w:type="dxa"/>
            <w:gridSpan w:val="3"/>
            <w:vAlign w:val="center"/>
          </w:tcPr>
          <w:p>
            <w:pPr>
              <w:spacing w:line="440" w:lineRule="exact"/>
              <w:rPr>
                <w:rFonts w:ascii="宋体" w:hAnsi="宋体"/>
                <w:szCs w:val="21"/>
              </w:rPr>
            </w:pPr>
            <w:r>
              <w:rPr>
                <w:rFonts w:ascii="宋体" w:hAnsi="宋体"/>
                <w:szCs w:val="21"/>
              </w:rPr>
              <w:t>拟在本合同任职</w:t>
            </w:r>
          </w:p>
        </w:tc>
        <w:tc>
          <w:tcPr>
            <w:tcW w:w="2135" w:type="dxa"/>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hAnsi="宋体"/>
                <w:szCs w:val="21"/>
              </w:rPr>
            </w:pPr>
            <w:r>
              <w:rPr>
                <w:rFonts w:ascii="宋体" w:hAnsi="宋体"/>
                <w:szCs w:val="21"/>
              </w:rPr>
              <w:t>毕业学校</w:t>
            </w:r>
          </w:p>
        </w:tc>
        <w:tc>
          <w:tcPr>
            <w:tcW w:w="7336" w:type="dxa"/>
            <w:gridSpan w:val="8"/>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rPr>
                <w:rFonts w:ascii="宋体" w:hAnsi="宋体"/>
                <w:szCs w:val="21"/>
              </w:rPr>
            </w:pPr>
            <w:r>
              <w:rPr>
                <w:rFonts w:ascii="宋体" w:hAnsi="宋体"/>
                <w:szCs w:val="21"/>
              </w:rPr>
              <w:t>时  间</w:t>
            </w:r>
          </w:p>
        </w:tc>
        <w:tc>
          <w:tcPr>
            <w:tcW w:w="3420" w:type="dxa"/>
            <w:gridSpan w:val="4"/>
            <w:vAlign w:val="center"/>
          </w:tcPr>
          <w:p>
            <w:pPr>
              <w:spacing w:line="440" w:lineRule="exact"/>
              <w:rPr>
                <w:rFonts w:ascii="宋体" w:hAnsi="宋体"/>
                <w:szCs w:val="21"/>
              </w:rPr>
            </w:pPr>
            <w:r>
              <w:rPr>
                <w:rFonts w:ascii="宋体" w:hAnsi="宋体"/>
                <w:szCs w:val="21"/>
              </w:rPr>
              <w:t>参加过的类似项目</w:t>
            </w:r>
          </w:p>
        </w:tc>
        <w:tc>
          <w:tcPr>
            <w:tcW w:w="1261" w:type="dxa"/>
            <w:vAlign w:val="center"/>
          </w:tcPr>
          <w:p>
            <w:pPr>
              <w:spacing w:line="440" w:lineRule="exact"/>
              <w:rPr>
                <w:rFonts w:ascii="宋体" w:hAnsi="宋体"/>
                <w:szCs w:val="21"/>
              </w:rPr>
            </w:pPr>
            <w:r>
              <w:rPr>
                <w:rFonts w:ascii="宋体" w:hAnsi="宋体"/>
                <w:szCs w:val="21"/>
              </w:rPr>
              <w:t>担任职务</w:t>
            </w:r>
          </w:p>
        </w:tc>
        <w:tc>
          <w:tcPr>
            <w:tcW w:w="2296" w:type="dxa"/>
            <w:gridSpan w:val="2"/>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6"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6" w:type="dxa"/>
            <w:gridSpan w:val="2"/>
            <w:vAlign w:val="center"/>
          </w:tcPr>
          <w:p>
            <w:pPr>
              <w:spacing w:line="440" w:lineRule="exact"/>
              <w:rPr>
                <w:rFonts w:eastAsia="黑体"/>
                <w:szCs w:val="21"/>
              </w:rPr>
            </w:pPr>
          </w:p>
        </w:tc>
      </w:tr>
    </w:tbl>
    <w:p>
      <w:pPr>
        <w:spacing w:line="440" w:lineRule="exact"/>
        <w:rPr>
          <w:rFonts w:eastAsia="黑体"/>
          <w:sz w:val="20"/>
          <w:szCs w:val="20"/>
        </w:rPr>
      </w:pPr>
    </w:p>
    <w:p>
      <w:pPr>
        <w:topLinePunct/>
        <w:spacing w:line="440" w:lineRule="exact"/>
        <w:jc w:val="center"/>
      </w:pPr>
      <w:r>
        <w:br w:type="page"/>
      </w:r>
    </w:p>
    <w:p>
      <w:pPr>
        <w:pStyle w:val="28"/>
        <w:jc w:val="center"/>
      </w:pPr>
      <w:bookmarkStart w:id="375" w:name="_Toc152045806"/>
      <w:bookmarkStart w:id="376" w:name="_Toc144974874"/>
      <w:bookmarkStart w:id="377" w:name="_Toc152042595"/>
      <w:bookmarkStart w:id="378" w:name="_Toc179632826"/>
      <w:r>
        <w:rPr>
          <w:rFonts w:hint="eastAsia"/>
        </w:rPr>
        <w:t>五</w:t>
      </w:r>
      <w:r>
        <w:t>、拟分包项目情况表</w:t>
      </w:r>
      <w:bookmarkEnd w:id="375"/>
      <w:bookmarkEnd w:id="376"/>
      <w:bookmarkEnd w:id="377"/>
      <w:bookmarkEnd w:id="378"/>
    </w:p>
    <w:p>
      <w:pPr>
        <w:spacing w:line="440" w:lineRule="exact"/>
        <w:rPr>
          <w:rFonts w:eastAsia="黑体"/>
          <w:sz w:val="20"/>
          <w:szCs w:val="20"/>
        </w:rPr>
      </w:pPr>
      <w:r>
        <w:rPr>
          <w:rFonts w:eastAsia="黑体"/>
          <w:sz w:val="20"/>
          <w:szCs w:val="20"/>
        </w:rPr>
        <w:t xml:space="preserve">                          </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分包人名称</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地 址</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法定代表人</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r>
              <w:rPr>
                <w:szCs w:val="21"/>
              </w:rPr>
              <w:t>电</w:t>
            </w:r>
            <w:r>
              <w:rPr>
                <w:rFonts w:hint="eastAsia"/>
                <w:szCs w:val="21"/>
              </w:rPr>
              <w:t xml:space="preserve"> </w:t>
            </w:r>
            <w:r>
              <w:rPr>
                <w:szCs w:val="21"/>
              </w:rPr>
              <w:t>话</w:t>
            </w: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营业执照号码</w:t>
            </w: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adjustRightInd w:val="0"/>
              <w:spacing w:line="440" w:lineRule="exact"/>
              <w:jc w:val="center"/>
              <w:textAlignment w:val="baseline"/>
              <w:rPr>
                <w:szCs w:val="21"/>
              </w:rPr>
            </w:pPr>
            <w:r>
              <w:rPr>
                <w:szCs w:val="21"/>
              </w:rPr>
              <w:t>拟分包的工程项目</w:t>
            </w:r>
          </w:p>
        </w:tc>
        <w:tc>
          <w:tcPr>
            <w:tcW w:w="2354" w:type="dxa"/>
            <w:vAlign w:val="center"/>
          </w:tcPr>
          <w:p>
            <w:pPr>
              <w:adjustRightInd w:val="0"/>
              <w:spacing w:line="440" w:lineRule="exact"/>
              <w:jc w:val="center"/>
              <w:textAlignment w:val="baseline"/>
              <w:rPr>
                <w:szCs w:val="21"/>
              </w:rPr>
            </w:pPr>
            <w:r>
              <w:rPr>
                <w:szCs w:val="21"/>
              </w:rPr>
              <w:t>主 要 内 容</w:t>
            </w:r>
          </w:p>
        </w:tc>
        <w:tc>
          <w:tcPr>
            <w:tcW w:w="1786" w:type="dxa"/>
            <w:vAlign w:val="center"/>
          </w:tcPr>
          <w:p>
            <w:pPr>
              <w:adjustRightInd w:val="0"/>
              <w:spacing w:line="440" w:lineRule="exact"/>
              <w:jc w:val="center"/>
              <w:textAlignment w:val="baseline"/>
              <w:rPr>
                <w:szCs w:val="21"/>
              </w:rPr>
            </w:pPr>
            <w:r>
              <w:rPr>
                <w:szCs w:val="21"/>
              </w:rPr>
              <w:t>预计造价（万元）</w:t>
            </w:r>
          </w:p>
        </w:tc>
        <w:tc>
          <w:tcPr>
            <w:tcW w:w="2475" w:type="dxa"/>
            <w:vAlign w:val="center"/>
          </w:tcPr>
          <w:p>
            <w:pPr>
              <w:adjustRightInd w:val="0"/>
              <w:spacing w:line="440" w:lineRule="exact"/>
              <w:jc w:val="center"/>
              <w:textAlignment w:val="baseline"/>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restart"/>
            <w:vAlign w:val="center"/>
          </w:tcPr>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7" w:type="dxa"/>
            <w:vAlign w:val="center"/>
          </w:tcPr>
          <w:p>
            <w:pPr>
              <w:adjustRightInd w:val="0"/>
              <w:spacing w:line="440" w:lineRule="exact"/>
              <w:jc w:val="center"/>
              <w:textAlignment w:val="baseline"/>
              <w:rPr>
                <w:szCs w:val="21"/>
              </w:rPr>
            </w:pPr>
          </w:p>
        </w:tc>
        <w:tc>
          <w:tcPr>
            <w:tcW w:w="2354" w:type="dxa"/>
            <w:vAlign w:val="center"/>
          </w:tcPr>
          <w:p>
            <w:pPr>
              <w:adjustRightInd w:val="0"/>
              <w:spacing w:line="440" w:lineRule="exact"/>
              <w:jc w:val="center"/>
              <w:textAlignment w:val="baseline"/>
              <w:rPr>
                <w:szCs w:val="21"/>
              </w:rPr>
            </w:pPr>
          </w:p>
        </w:tc>
        <w:tc>
          <w:tcPr>
            <w:tcW w:w="1786" w:type="dxa"/>
            <w:vAlign w:val="center"/>
          </w:tcPr>
          <w:p>
            <w:pPr>
              <w:adjustRightInd w:val="0"/>
              <w:spacing w:line="440" w:lineRule="exact"/>
              <w:jc w:val="center"/>
              <w:textAlignment w:val="baseline"/>
              <w:rPr>
                <w:szCs w:val="21"/>
              </w:rPr>
            </w:pPr>
          </w:p>
        </w:tc>
        <w:tc>
          <w:tcPr>
            <w:tcW w:w="2475" w:type="dxa"/>
            <w:vMerge w:val="continue"/>
            <w:vAlign w:val="center"/>
          </w:tcPr>
          <w:p>
            <w:pPr>
              <w:adjustRightInd w:val="0"/>
              <w:spacing w:line="440" w:lineRule="exact"/>
              <w:jc w:val="center"/>
              <w:textAlignment w:val="baseline"/>
              <w:rPr>
                <w:szCs w:val="21"/>
              </w:rPr>
            </w:pPr>
          </w:p>
        </w:tc>
      </w:tr>
    </w:tbl>
    <w:p>
      <w:pPr>
        <w:spacing w:line="440" w:lineRule="exact"/>
        <w:jc w:val="left"/>
        <w:rPr>
          <w:rFonts w:ascii="黑体" w:hAnsi="宋体" w:eastAsia="黑体"/>
          <w:szCs w:val="21"/>
        </w:rPr>
      </w:pPr>
      <w:r>
        <w:rPr>
          <w:rFonts w:hint="eastAsia" w:ascii="黑体" w:hAnsi="宋体" w:eastAsia="黑体"/>
          <w:szCs w:val="21"/>
        </w:rPr>
        <w:t>备注：</w:t>
      </w:r>
    </w:p>
    <w:p>
      <w:pPr>
        <w:pStyle w:val="21"/>
        <w:ind w:firstLine="420"/>
      </w:pPr>
    </w:p>
    <w:p>
      <w:pPr>
        <w:spacing w:line="440" w:lineRule="exact"/>
        <w:jc w:val="left"/>
        <w:rPr>
          <w:rFonts w:ascii="宋体" w:hAnsi="宋体"/>
          <w:szCs w:val="21"/>
        </w:rPr>
      </w:pPr>
      <w:r>
        <w:rPr>
          <w:rFonts w:hint="eastAsia" w:ascii="黑体" w:hAnsi="宋体" w:eastAsia="黑体"/>
          <w:szCs w:val="21"/>
        </w:rPr>
        <w:t>1、</w:t>
      </w:r>
      <w:r>
        <w:rPr>
          <w:rFonts w:hint="eastAsia" w:ascii="宋体" w:hAnsi="宋体"/>
          <w:szCs w:val="21"/>
        </w:rPr>
        <w:t>本表所列分包仅限于承包人自行施工范围内的非主体、非关键工程。</w:t>
      </w:r>
    </w:p>
    <w:p>
      <w:pPr>
        <w:spacing w:line="440" w:lineRule="exact"/>
        <w:jc w:val="right"/>
        <w:rPr>
          <w:rFonts w:ascii="宋体" w:hAnsi="宋体"/>
          <w:szCs w:val="21"/>
        </w:rPr>
      </w:pPr>
      <w:r>
        <w:rPr>
          <w:rFonts w:hint="eastAsia" w:ascii="宋体" w:hAnsi="宋体"/>
          <w:szCs w:val="21"/>
        </w:rPr>
        <w:t>日    期：       年     月     日</w:t>
      </w:r>
    </w:p>
    <w:p>
      <w:pPr>
        <w:spacing w:line="440" w:lineRule="exact"/>
        <w:jc w:val="center"/>
        <w:rPr>
          <w:rFonts w:eastAsia="黑体"/>
          <w:sz w:val="27"/>
          <w:szCs w:val="27"/>
        </w:rPr>
      </w:pPr>
      <w:r>
        <w:rPr>
          <w:rFonts w:eastAsia="黑体"/>
          <w:sz w:val="27"/>
          <w:szCs w:val="27"/>
        </w:rPr>
        <w:br w:type="page"/>
      </w:r>
    </w:p>
    <w:p>
      <w:pPr>
        <w:pStyle w:val="28"/>
        <w:jc w:val="center"/>
      </w:pPr>
      <w:bookmarkStart w:id="379" w:name="_Toc152042596"/>
      <w:bookmarkStart w:id="380" w:name="_Toc144974875"/>
      <w:bookmarkStart w:id="381" w:name="_Toc152045807"/>
      <w:bookmarkStart w:id="382" w:name="_Toc179632827"/>
      <w:r>
        <w:rPr>
          <w:rFonts w:hint="eastAsia"/>
        </w:rPr>
        <w:t>六</w:t>
      </w:r>
      <w:r>
        <w:t>、资格审查资料</w:t>
      </w:r>
      <w:bookmarkEnd w:id="379"/>
      <w:bookmarkEnd w:id="380"/>
      <w:bookmarkEnd w:id="381"/>
      <w:bookmarkEnd w:id="382"/>
    </w:p>
    <w:p>
      <w:pPr>
        <w:topLinePunct/>
        <w:spacing w:line="440" w:lineRule="exact"/>
        <w:jc w:val="center"/>
        <w:rPr>
          <w:rFonts w:eastAsia="黑体"/>
          <w:sz w:val="23"/>
          <w:szCs w:val="23"/>
        </w:rPr>
      </w:pPr>
    </w:p>
    <w:p>
      <w:pPr>
        <w:pStyle w:val="29"/>
        <w:rPr>
          <w:szCs w:val="23"/>
        </w:rPr>
      </w:pPr>
      <w:bookmarkStart w:id="383" w:name="_Toc152042597"/>
      <w:bookmarkStart w:id="384" w:name="_Toc179632828"/>
      <w:bookmarkStart w:id="385" w:name="_Toc144974876"/>
      <w:bookmarkStart w:id="386" w:name="_Toc152045808"/>
      <w:r>
        <w:rPr>
          <w:szCs w:val="23"/>
        </w:rPr>
        <w:t>（一）投标人基本情况表</w:t>
      </w:r>
      <w:bookmarkEnd w:id="383"/>
      <w:bookmarkEnd w:id="384"/>
      <w:bookmarkEnd w:id="385"/>
      <w:bookmarkEnd w:id="386"/>
    </w:p>
    <w:p>
      <w:pPr>
        <w:topLinePunct/>
        <w:spacing w:line="440" w:lineRule="exact"/>
        <w:jc w:val="center"/>
        <w:rPr>
          <w:rFonts w:eastAsia="黑体"/>
          <w:sz w:val="23"/>
          <w:szCs w:val="23"/>
        </w:rPr>
      </w:pPr>
    </w:p>
    <w:tbl>
      <w:tblPr>
        <w:tblStyle w:val="22"/>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6"/>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440" w:lineRule="exact"/>
        <w:jc w:val="left"/>
        <w:rPr>
          <w:rFonts w:eastAsia="黑体"/>
          <w:sz w:val="20"/>
          <w:szCs w:val="20"/>
        </w:rPr>
      </w:pPr>
      <w:r>
        <w:rPr>
          <w:rFonts w:hint="eastAsia" w:ascii="黑体" w:hAnsi="宋体" w:eastAsia="黑体"/>
          <w:szCs w:val="21"/>
        </w:rPr>
        <w:t>备注：</w:t>
      </w:r>
      <w:r>
        <w:rPr>
          <w:rFonts w:hint="eastAsia" w:ascii="宋体" w:hAnsi="宋体"/>
          <w:szCs w:val="21"/>
        </w:rPr>
        <w:t>本表后应附企业法人营业执照、资质证书、开户许可证、投标保证金转账或电汇凭证等材料的复印件。</w:t>
      </w:r>
    </w:p>
    <w:p>
      <w:pPr>
        <w:topLinePunct/>
        <w:spacing w:line="440" w:lineRule="exact"/>
        <w:jc w:val="center"/>
        <w:rPr>
          <w:sz w:val="20"/>
        </w:rPr>
      </w:pPr>
      <w:r>
        <w:rPr>
          <w:sz w:val="20"/>
        </w:rPr>
        <w:br w:type="page"/>
      </w:r>
    </w:p>
    <w:p>
      <w:pPr>
        <w:pStyle w:val="29"/>
        <w:rPr>
          <w:szCs w:val="23"/>
        </w:rPr>
      </w:pPr>
      <w:bookmarkStart w:id="387" w:name="_Toc144974877"/>
      <w:bookmarkStart w:id="388" w:name="_Toc152045809"/>
      <w:bookmarkStart w:id="389" w:name="_Toc179632829"/>
      <w:bookmarkStart w:id="390" w:name="_Toc152042598"/>
      <w:r>
        <w:rPr>
          <w:szCs w:val="23"/>
        </w:rPr>
        <w:t>（二）近年财务状况表</w:t>
      </w:r>
      <w:bookmarkEnd w:id="387"/>
      <w:bookmarkEnd w:id="388"/>
      <w:bookmarkEnd w:id="389"/>
      <w:bookmarkEnd w:id="390"/>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9"/>
        <w:rPr>
          <w:szCs w:val="23"/>
        </w:rPr>
      </w:pPr>
      <w:bookmarkStart w:id="391" w:name="_Toc152042599"/>
      <w:bookmarkStart w:id="392" w:name="_Toc144974878"/>
      <w:bookmarkStart w:id="393" w:name="_Toc179632830"/>
      <w:bookmarkStart w:id="394" w:name="_Toc152045810"/>
      <w:r>
        <w:rPr>
          <w:szCs w:val="23"/>
        </w:rPr>
        <w:t>（三）近年</w:t>
      </w:r>
      <w:r>
        <w:rPr>
          <w:rFonts w:hint="eastAsia"/>
          <w:szCs w:val="23"/>
        </w:rPr>
        <w:t>（2018年3月）至今</w:t>
      </w:r>
      <w:r>
        <w:rPr>
          <w:szCs w:val="23"/>
        </w:rPr>
        <w:t>完成的类似项目情况表</w:t>
      </w:r>
      <w:bookmarkEnd w:id="391"/>
      <w:bookmarkEnd w:id="392"/>
      <w:bookmarkEnd w:id="393"/>
      <w:bookmarkEnd w:id="394"/>
    </w:p>
    <w:p>
      <w:pPr>
        <w:spacing w:line="440" w:lineRule="exact"/>
        <w:jc w:val="center"/>
        <w:rPr>
          <w:rFonts w:eastAsia="黑体"/>
          <w:sz w:val="23"/>
          <w:szCs w:val="23"/>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adjustRightInd w:val="0"/>
              <w:spacing w:line="440" w:lineRule="exact"/>
              <w:jc w:val="center"/>
              <w:textAlignment w:val="baseline"/>
              <w:rPr>
                <w:szCs w:val="21"/>
              </w:rPr>
            </w:pPr>
            <w:r>
              <w:rPr>
                <w:szCs w:val="21"/>
              </w:rPr>
              <w:t>项目名称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adjustRightInd w:val="0"/>
              <w:spacing w:line="440" w:lineRule="exact"/>
              <w:jc w:val="center"/>
              <w:textAlignment w:val="baseline"/>
              <w:rPr>
                <w:szCs w:val="21"/>
              </w:rPr>
            </w:pPr>
            <w:r>
              <w:rPr>
                <w:szCs w:val="21"/>
              </w:rPr>
              <w:t>项目所在地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adjustRightInd w:val="0"/>
              <w:spacing w:line="440" w:lineRule="exact"/>
              <w:jc w:val="center"/>
              <w:textAlignment w:val="baseline"/>
              <w:rPr>
                <w:szCs w:val="21"/>
              </w:rPr>
            </w:pPr>
            <w:r>
              <w:rPr>
                <w:szCs w:val="21"/>
              </w:rPr>
              <w:t>发包人名称</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adjustRightInd w:val="0"/>
              <w:spacing w:line="440" w:lineRule="exact"/>
              <w:jc w:val="center"/>
              <w:textAlignment w:val="baseline"/>
              <w:rPr>
                <w:szCs w:val="21"/>
              </w:rPr>
            </w:pPr>
            <w:r>
              <w:rPr>
                <w:szCs w:val="21"/>
              </w:rPr>
              <w:t>发包人地址</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adjustRightInd w:val="0"/>
              <w:spacing w:line="440" w:lineRule="exact"/>
              <w:jc w:val="center"/>
              <w:textAlignment w:val="baseline"/>
              <w:rPr>
                <w:szCs w:val="21"/>
              </w:rPr>
            </w:pPr>
            <w:r>
              <w:rPr>
                <w:szCs w:val="21"/>
              </w:rPr>
              <w:t>发包人电话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合同价格</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开工日期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adjustRightInd w:val="0"/>
              <w:spacing w:line="440" w:lineRule="exact"/>
              <w:jc w:val="center"/>
              <w:textAlignment w:val="baseline"/>
              <w:rPr>
                <w:szCs w:val="21"/>
              </w:rPr>
            </w:pPr>
            <w:r>
              <w:rPr>
                <w:rFonts w:hint="eastAsia"/>
              </w:rPr>
              <w:t>竣工</w:t>
            </w:r>
            <w:r>
              <w:rPr>
                <w:szCs w:val="21"/>
              </w:rPr>
              <w:t>日期</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adjustRightInd w:val="0"/>
              <w:spacing w:line="440" w:lineRule="exact"/>
              <w:jc w:val="center"/>
              <w:textAlignment w:val="baseline"/>
              <w:rPr>
                <w:szCs w:val="21"/>
              </w:rPr>
            </w:pPr>
            <w:r>
              <w:rPr>
                <w:szCs w:val="21"/>
              </w:rPr>
              <w:t>承担的工作</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adjustRightInd w:val="0"/>
              <w:spacing w:line="440" w:lineRule="exact"/>
              <w:jc w:val="center"/>
              <w:textAlignment w:val="baseline"/>
              <w:rPr>
                <w:szCs w:val="21"/>
              </w:rPr>
            </w:pPr>
            <w:r>
              <w:rPr>
                <w:szCs w:val="21"/>
              </w:rPr>
              <w:t>工程质量</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adjustRightInd w:val="0"/>
              <w:spacing w:line="440" w:lineRule="exact"/>
              <w:jc w:val="center"/>
              <w:textAlignment w:val="baseline"/>
              <w:rPr>
                <w:szCs w:val="21"/>
              </w:rPr>
            </w:pPr>
            <w:r>
              <w:rPr>
                <w:szCs w:val="21"/>
              </w:rPr>
              <w:t>项目经理</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adjustRightInd w:val="0"/>
              <w:spacing w:line="440" w:lineRule="exact"/>
              <w:jc w:val="center"/>
              <w:textAlignment w:val="baseline"/>
              <w:rPr>
                <w:szCs w:val="21"/>
              </w:rPr>
            </w:pPr>
            <w:r>
              <w:rPr>
                <w:szCs w:val="21"/>
              </w:rPr>
              <w:t>技术负责人</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adjustRightInd w:val="0"/>
              <w:spacing w:line="440" w:lineRule="exact"/>
              <w:jc w:val="center"/>
              <w:textAlignment w:val="baseline"/>
              <w:rPr>
                <w:szCs w:val="21"/>
              </w:rPr>
            </w:pPr>
            <w:r>
              <w:rPr>
                <w:szCs w:val="21"/>
              </w:rPr>
              <w:t>总监理工程师及电话</w:t>
            </w:r>
          </w:p>
        </w:tc>
        <w:tc>
          <w:tcPr>
            <w:tcW w:w="625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adjustRightInd w:val="0"/>
              <w:spacing w:line="440" w:lineRule="exact"/>
              <w:jc w:val="center"/>
              <w:textAlignment w:val="baseline"/>
              <w:rPr>
                <w:szCs w:val="21"/>
              </w:rPr>
            </w:pPr>
            <w:r>
              <w:rPr>
                <w:szCs w:val="21"/>
              </w:rPr>
              <w:t>项目描述</w:t>
            </w:r>
          </w:p>
        </w:tc>
        <w:tc>
          <w:tcPr>
            <w:tcW w:w="625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rPr>
                <w:szCs w:val="21"/>
              </w:rPr>
            </w:pPr>
            <w:r>
              <w:rPr>
                <w:szCs w:val="21"/>
              </w:rPr>
              <w:t>备注</w:t>
            </w:r>
          </w:p>
        </w:tc>
        <w:tc>
          <w:tcPr>
            <w:tcW w:w="6253" w:type="dxa"/>
          </w:tcPr>
          <w:p>
            <w:pPr>
              <w:topLinePunct/>
              <w:adjustRightInd w:val="0"/>
              <w:spacing w:line="440" w:lineRule="exact"/>
              <w:textAlignment w:val="baseline"/>
              <w:rPr>
                <w:szCs w:val="21"/>
              </w:rPr>
            </w:pPr>
          </w:p>
        </w:tc>
      </w:tr>
    </w:tbl>
    <w:p>
      <w:pPr>
        <w:spacing w:line="440" w:lineRule="exact"/>
        <w:rPr>
          <w:sz w:val="23"/>
          <w:szCs w:val="23"/>
        </w:rPr>
      </w:pPr>
      <w:r>
        <w:rPr>
          <w:rFonts w:hint="eastAsia" w:ascii="黑体" w:hAnsi="宋体" w:eastAsia="黑体"/>
          <w:szCs w:val="21"/>
        </w:rPr>
        <w:t>备注：</w:t>
      </w:r>
      <w:r>
        <w:rPr>
          <w:rFonts w:hint="eastAsia" w:ascii="宋体" w:hAnsi="宋体"/>
          <w:szCs w:val="21"/>
        </w:rPr>
        <w:t>本表后应附合同复印件。</w:t>
      </w:r>
    </w:p>
    <w:p>
      <w:pPr>
        <w:spacing w:line="440" w:lineRule="exact"/>
        <w:jc w:val="center"/>
        <w:rPr>
          <w:rFonts w:eastAsia="黑体"/>
          <w:sz w:val="23"/>
          <w:szCs w:val="23"/>
        </w:rPr>
      </w:pPr>
      <w:r>
        <w:rPr>
          <w:rFonts w:eastAsia="黑体"/>
          <w:sz w:val="23"/>
          <w:szCs w:val="23"/>
        </w:rPr>
        <w:br w:type="page"/>
      </w:r>
    </w:p>
    <w:p>
      <w:pPr>
        <w:pStyle w:val="29"/>
        <w:rPr>
          <w:szCs w:val="23"/>
        </w:rPr>
      </w:pPr>
      <w:bookmarkStart w:id="395" w:name="_Toc179632831"/>
      <w:bookmarkStart w:id="396" w:name="_Toc152045811"/>
      <w:bookmarkStart w:id="397" w:name="_Toc152042600"/>
      <w:bookmarkStart w:id="398" w:name="_Toc144974879"/>
      <w:r>
        <w:rPr>
          <w:szCs w:val="23"/>
        </w:rPr>
        <w:t>（四）正在施工的和新承接的项目情况表</w:t>
      </w:r>
      <w:bookmarkEnd w:id="395"/>
      <w:bookmarkEnd w:id="396"/>
      <w:bookmarkEnd w:id="397"/>
      <w:bookmarkEnd w:id="398"/>
    </w:p>
    <w:p>
      <w:pPr>
        <w:spacing w:line="440" w:lineRule="exact"/>
        <w:rPr>
          <w:rFonts w:eastAsia="黑体"/>
          <w:sz w:val="20"/>
          <w:szCs w:val="20"/>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vAlign w:val="center"/>
          </w:tcPr>
          <w:p>
            <w:pPr>
              <w:topLinePunct/>
              <w:adjustRightInd w:val="0"/>
              <w:spacing w:line="440" w:lineRule="exact"/>
              <w:jc w:val="center"/>
              <w:textAlignment w:val="baseline"/>
              <w:rPr>
                <w:szCs w:val="21"/>
              </w:rPr>
            </w:pPr>
            <w:r>
              <w:rPr>
                <w:szCs w:val="21"/>
              </w:rPr>
              <w:t>项目名称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vAlign w:val="center"/>
          </w:tcPr>
          <w:p>
            <w:pPr>
              <w:topLinePunct/>
              <w:adjustRightInd w:val="0"/>
              <w:spacing w:line="440" w:lineRule="exact"/>
              <w:jc w:val="center"/>
              <w:textAlignment w:val="baseline"/>
              <w:rPr>
                <w:szCs w:val="21"/>
              </w:rPr>
            </w:pPr>
            <w:r>
              <w:rPr>
                <w:szCs w:val="21"/>
              </w:rPr>
              <w:t>项目所在地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vAlign w:val="center"/>
          </w:tcPr>
          <w:p>
            <w:pPr>
              <w:topLinePunct/>
              <w:adjustRightInd w:val="0"/>
              <w:spacing w:line="440" w:lineRule="exact"/>
              <w:jc w:val="center"/>
              <w:textAlignment w:val="baseline"/>
              <w:rPr>
                <w:szCs w:val="21"/>
              </w:rPr>
            </w:pPr>
            <w:r>
              <w:rPr>
                <w:szCs w:val="21"/>
              </w:rPr>
              <w:t>发包人名称</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vAlign w:val="center"/>
          </w:tcPr>
          <w:p>
            <w:pPr>
              <w:topLinePunct/>
              <w:adjustRightInd w:val="0"/>
              <w:spacing w:line="440" w:lineRule="exact"/>
              <w:jc w:val="center"/>
              <w:textAlignment w:val="baseline"/>
              <w:rPr>
                <w:szCs w:val="21"/>
              </w:rPr>
            </w:pPr>
            <w:r>
              <w:rPr>
                <w:szCs w:val="21"/>
              </w:rPr>
              <w:t>发包人地址</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vAlign w:val="center"/>
          </w:tcPr>
          <w:p>
            <w:pPr>
              <w:topLinePunct/>
              <w:adjustRightInd w:val="0"/>
              <w:spacing w:line="440" w:lineRule="exact"/>
              <w:jc w:val="center"/>
              <w:textAlignment w:val="baseline"/>
              <w:rPr>
                <w:szCs w:val="21"/>
              </w:rPr>
            </w:pPr>
            <w:r>
              <w:rPr>
                <w:szCs w:val="21"/>
              </w:rPr>
              <w:t>发包人电话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vAlign w:val="center"/>
          </w:tcPr>
          <w:p>
            <w:pPr>
              <w:topLinePunct/>
              <w:adjustRightInd w:val="0"/>
              <w:spacing w:line="440" w:lineRule="exact"/>
              <w:jc w:val="center"/>
              <w:textAlignment w:val="baseline"/>
              <w:rPr>
                <w:szCs w:val="21"/>
              </w:rPr>
            </w:pPr>
            <w:r>
              <w:rPr>
                <w:szCs w:val="21"/>
              </w:rPr>
              <w:t>签约合同价</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vAlign w:val="center"/>
          </w:tcPr>
          <w:p>
            <w:pPr>
              <w:topLinePunct/>
              <w:adjustRightInd w:val="0"/>
              <w:spacing w:line="440" w:lineRule="exact"/>
              <w:jc w:val="center"/>
              <w:textAlignment w:val="baseline"/>
              <w:rPr>
                <w:szCs w:val="21"/>
              </w:rPr>
            </w:pPr>
            <w:r>
              <w:rPr>
                <w:szCs w:val="21"/>
              </w:rPr>
              <w:t>开工日期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vAlign w:val="center"/>
          </w:tcPr>
          <w:p>
            <w:pPr>
              <w:topLinePunct/>
              <w:adjustRightInd w:val="0"/>
              <w:spacing w:line="440" w:lineRule="exact"/>
              <w:jc w:val="center"/>
              <w:textAlignment w:val="baseline"/>
              <w:rPr>
                <w:szCs w:val="21"/>
              </w:rPr>
            </w:pPr>
            <w:r>
              <w:rPr>
                <w:szCs w:val="21"/>
              </w:rPr>
              <w:t>计划</w:t>
            </w:r>
            <w:r>
              <w:rPr>
                <w:rFonts w:hint="eastAsia"/>
              </w:rPr>
              <w:t>竣工</w:t>
            </w:r>
            <w:r>
              <w:rPr>
                <w:szCs w:val="21"/>
              </w:rPr>
              <w:t>日期</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vAlign w:val="center"/>
          </w:tcPr>
          <w:p>
            <w:pPr>
              <w:topLinePunct/>
              <w:adjustRightInd w:val="0"/>
              <w:spacing w:line="440" w:lineRule="exact"/>
              <w:jc w:val="center"/>
              <w:textAlignment w:val="baseline"/>
              <w:rPr>
                <w:szCs w:val="21"/>
              </w:rPr>
            </w:pPr>
            <w:r>
              <w:rPr>
                <w:szCs w:val="21"/>
              </w:rPr>
              <w:t>承担的工作</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vAlign w:val="center"/>
          </w:tcPr>
          <w:p>
            <w:pPr>
              <w:topLinePunct/>
              <w:adjustRightInd w:val="0"/>
              <w:spacing w:line="440" w:lineRule="exact"/>
              <w:jc w:val="center"/>
              <w:textAlignment w:val="baseline"/>
              <w:rPr>
                <w:szCs w:val="21"/>
              </w:rPr>
            </w:pPr>
            <w:r>
              <w:rPr>
                <w:szCs w:val="21"/>
              </w:rPr>
              <w:t>工程质量</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vAlign w:val="center"/>
          </w:tcPr>
          <w:p>
            <w:pPr>
              <w:topLinePunct/>
              <w:adjustRightInd w:val="0"/>
              <w:spacing w:line="440" w:lineRule="exact"/>
              <w:jc w:val="center"/>
              <w:textAlignment w:val="baseline"/>
              <w:rPr>
                <w:szCs w:val="21"/>
              </w:rPr>
            </w:pPr>
            <w:r>
              <w:rPr>
                <w:szCs w:val="21"/>
              </w:rPr>
              <w:t>项目经理</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vAlign w:val="center"/>
          </w:tcPr>
          <w:p>
            <w:pPr>
              <w:topLinePunct/>
              <w:adjustRightInd w:val="0"/>
              <w:spacing w:line="440" w:lineRule="exact"/>
              <w:jc w:val="center"/>
              <w:textAlignment w:val="baseline"/>
              <w:rPr>
                <w:szCs w:val="21"/>
              </w:rPr>
            </w:pPr>
            <w:r>
              <w:rPr>
                <w:szCs w:val="21"/>
              </w:rPr>
              <w:t>技术负责人</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19" w:type="dxa"/>
            <w:vAlign w:val="center"/>
          </w:tcPr>
          <w:p>
            <w:pPr>
              <w:topLinePunct/>
              <w:adjustRightInd w:val="0"/>
              <w:spacing w:line="440" w:lineRule="exact"/>
              <w:jc w:val="center"/>
              <w:textAlignment w:val="baseline"/>
              <w:rPr>
                <w:szCs w:val="21"/>
              </w:rPr>
            </w:pPr>
            <w:r>
              <w:rPr>
                <w:szCs w:val="21"/>
              </w:rPr>
              <w:t>总监理工程师及电话</w:t>
            </w:r>
          </w:p>
        </w:tc>
        <w:tc>
          <w:tcPr>
            <w:tcW w:w="6403" w:type="dxa"/>
          </w:tcPr>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topLinePunct/>
              <w:adjustRightInd w:val="0"/>
              <w:spacing w:line="440" w:lineRule="exact"/>
              <w:jc w:val="center"/>
              <w:textAlignment w:val="baseline"/>
              <w:rPr>
                <w:szCs w:val="21"/>
              </w:rPr>
            </w:pPr>
            <w:r>
              <w:rPr>
                <w:szCs w:val="21"/>
              </w:rPr>
              <w:t>项目描述</w:t>
            </w:r>
          </w:p>
        </w:tc>
        <w:tc>
          <w:tcPr>
            <w:tcW w:w="6403" w:type="dxa"/>
          </w:tcPr>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p>
            <w:pPr>
              <w:topLinePunct/>
              <w:adjustRightInd w:val="0"/>
              <w:spacing w:line="440" w:lineRule="exac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vAlign w:val="center"/>
          </w:tcPr>
          <w:p>
            <w:pPr>
              <w:rPr>
                <w:szCs w:val="21"/>
              </w:rPr>
            </w:pPr>
            <w:r>
              <w:rPr>
                <w:szCs w:val="21"/>
              </w:rPr>
              <w:t>备注</w:t>
            </w:r>
          </w:p>
        </w:tc>
        <w:tc>
          <w:tcPr>
            <w:tcW w:w="6403" w:type="dxa"/>
          </w:tcPr>
          <w:p>
            <w:pPr>
              <w:topLinePunct/>
              <w:adjustRightInd w:val="0"/>
              <w:spacing w:line="440" w:lineRule="exact"/>
              <w:textAlignment w:val="baseline"/>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9"/>
        <w:rPr>
          <w:szCs w:val="23"/>
        </w:rPr>
      </w:pPr>
      <w:bookmarkStart w:id="399" w:name="_Toc152045812"/>
      <w:bookmarkStart w:id="400" w:name="_Toc152042601"/>
      <w:bookmarkStart w:id="401" w:name="_Toc144974880"/>
      <w:bookmarkStart w:id="402" w:name="_Toc179632832"/>
      <w:r>
        <w:rPr>
          <w:szCs w:val="23"/>
        </w:rPr>
        <w:t>（五）近年发生的诉讼及仲裁情况</w:t>
      </w:r>
      <w:bookmarkEnd w:id="399"/>
      <w:bookmarkEnd w:id="400"/>
      <w:bookmarkEnd w:id="401"/>
      <w:bookmarkEnd w:id="402"/>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8"/>
        <w:jc w:val="center"/>
      </w:pPr>
      <w:bookmarkStart w:id="403" w:name="_Toc152042602"/>
      <w:bookmarkStart w:id="404" w:name="_Toc179632833"/>
      <w:bookmarkStart w:id="405" w:name="_Toc152045813"/>
      <w:bookmarkStart w:id="406" w:name="_Toc144974881"/>
      <w:r>
        <w:rPr>
          <w:rFonts w:hint="eastAsia"/>
        </w:rPr>
        <w:t>七</w:t>
      </w:r>
      <w:r>
        <w:t>、其他材料</w:t>
      </w:r>
      <w:bookmarkEnd w:id="403"/>
      <w:bookmarkEnd w:id="404"/>
      <w:bookmarkEnd w:id="405"/>
      <w:bookmarkEnd w:id="406"/>
    </w:p>
    <w:p>
      <w:pPr>
        <w:spacing w:line="400" w:lineRule="exact"/>
      </w:pPr>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4"/>
                  <w:jc w:val="center"/>
                </w:pPr>
                <w:r>
                  <w:fldChar w:fldCharType="begin"/>
                </w:r>
                <w:r>
                  <w:rPr>
                    <w:rStyle w:val="25"/>
                  </w:rPr>
                  <w:instrText xml:space="preserve"> PAGE </w:instrText>
                </w:r>
                <w:r>
                  <w:fldChar w:fldCharType="separate"/>
                </w:r>
                <w:r>
                  <w:rPr>
                    <w:rStyle w:val="25"/>
                  </w:rPr>
                  <w:t>50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AD0F"/>
    <w:multiLevelType w:val="singleLevel"/>
    <w:tmpl w:val="FFFEAD0F"/>
    <w:lvl w:ilvl="0" w:tentative="0">
      <w:start w:val="1"/>
      <w:numFmt w:val="chineseCounting"/>
      <w:suff w:val="nothing"/>
      <w:lvlText w:val="%1、"/>
      <w:lvlJc w:val="left"/>
      <w:rPr>
        <w:rFonts w:hint="eastAsia"/>
      </w:rPr>
    </w:lvl>
  </w:abstractNum>
  <w:abstractNum w:abstractNumId="1">
    <w:nsid w:val="05911561"/>
    <w:multiLevelType w:val="singleLevel"/>
    <w:tmpl w:val="05911561"/>
    <w:lvl w:ilvl="0" w:tentative="0">
      <w:start w:val="1"/>
      <w:numFmt w:val="chineseCounting"/>
      <w:suff w:val="space"/>
      <w:lvlText w:val="第%1节"/>
      <w:lvlJc w:val="left"/>
      <w:rPr>
        <w:rFonts w:hint="eastAsia"/>
      </w:rPr>
    </w:lvl>
  </w:abstractNum>
  <w:abstractNum w:abstractNumId="2">
    <w:nsid w:val="4D83100F"/>
    <w:multiLevelType w:val="singleLevel"/>
    <w:tmpl w:val="4D83100F"/>
    <w:lvl w:ilvl="0" w:tentative="0">
      <w:start w:val="5"/>
      <w:numFmt w:val="chineseCounting"/>
      <w:suff w:val="space"/>
      <w:lvlText w:val="第%1章"/>
      <w:lvlJc w:val="left"/>
      <w:rPr>
        <w:rFonts w:hint="eastAsia"/>
      </w:rPr>
    </w:lvl>
  </w:abstractNum>
  <w:abstractNum w:abstractNumId="3">
    <w:nsid w:val="55A631BE"/>
    <w:multiLevelType w:val="singleLevel"/>
    <w:tmpl w:val="55A631BE"/>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26A8"/>
    <w:rsid w:val="00024140"/>
    <w:rsid w:val="00031E27"/>
    <w:rsid w:val="000A723A"/>
    <w:rsid w:val="000E6E45"/>
    <w:rsid w:val="00112081"/>
    <w:rsid w:val="001200D4"/>
    <w:rsid w:val="00167A1C"/>
    <w:rsid w:val="001806DA"/>
    <w:rsid w:val="001B25FF"/>
    <w:rsid w:val="00211C5D"/>
    <w:rsid w:val="00264828"/>
    <w:rsid w:val="00277D0D"/>
    <w:rsid w:val="00292EE9"/>
    <w:rsid w:val="002B49AE"/>
    <w:rsid w:val="00324E5D"/>
    <w:rsid w:val="003A764C"/>
    <w:rsid w:val="00427889"/>
    <w:rsid w:val="00442F82"/>
    <w:rsid w:val="004746DD"/>
    <w:rsid w:val="004C1387"/>
    <w:rsid w:val="004D1208"/>
    <w:rsid w:val="00566907"/>
    <w:rsid w:val="005B4B02"/>
    <w:rsid w:val="005E3236"/>
    <w:rsid w:val="0064370E"/>
    <w:rsid w:val="006679B4"/>
    <w:rsid w:val="006F5212"/>
    <w:rsid w:val="007220BC"/>
    <w:rsid w:val="0073761F"/>
    <w:rsid w:val="007745A2"/>
    <w:rsid w:val="007A661C"/>
    <w:rsid w:val="007C0B0A"/>
    <w:rsid w:val="007C3D6B"/>
    <w:rsid w:val="00842F0F"/>
    <w:rsid w:val="008464BD"/>
    <w:rsid w:val="00883291"/>
    <w:rsid w:val="008C7C5D"/>
    <w:rsid w:val="008D16A8"/>
    <w:rsid w:val="0091028D"/>
    <w:rsid w:val="00967677"/>
    <w:rsid w:val="00A47DA6"/>
    <w:rsid w:val="00B45731"/>
    <w:rsid w:val="00B4611F"/>
    <w:rsid w:val="00C13C93"/>
    <w:rsid w:val="00C837A9"/>
    <w:rsid w:val="00CA78E2"/>
    <w:rsid w:val="00D21BAC"/>
    <w:rsid w:val="00D2719E"/>
    <w:rsid w:val="00D726A8"/>
    <w:rsid w:val="00DB0C77"/>
    <w:rsid w:val="00DB2D17"/>
    <w:rsid w:val="00DE1C6E"/>
    <w:rsid w:val="00E07BEC"/>
    <w:rsid w:val="00EB3BBB"/>
    <w:rsid w:val="00EE08F0"/>
    <w:rsid w:val="00EF2250"/>
    <w:rsid w:val="00F13D88"/>
    <w:rsid w:val="00F4521D"/>
    <w:rsid w:val="00FF4E42"/>
    <w:rsid w:val="01700A08"/>
    <w:rsid w:val="01FA087B"/>
    <w:rsid w:val="022C1CE1"/>
    <w:rsid w:val="03072AAD"/>
    <w:rsid w:val="036B6479"/>
    <w:rsid w:val="036F795F"/>
    <w:rsid w:val="048E065E"/>
    <w:rsid w:val="04A95F96"/>
    <w:rsid w:val="04D730B2"/>
    <w:rsid w:val="04ED41A7"/>
    <w:rsid w:val="04F06960"/>
    <w:rsid w:val="053D2B20"/>
    <w:rsid w:val="057B0C36"/>
    <w:rsid w:val="057D3CE2"/>
    <w:rsid w:val="05E33A9A"/>
    <w:rsid w:val="078C2235"/>
    <w:rsid w:val="07AF6F64"/>
    <w:rsid w:val="0875114B"/>
    <w:rsid w:val="089D58B2"/>
    <w:rsid w:val="08C94C62"/>
    <w:rsid w:val="093A33CA"/>
    <w:rsid w:val="09D11379"/>
    <w:rsid w:val="09FD6245"/>
    <w:rsid w:val="0D137AF4"/>
    <w:rsid w:val="0D306B28"/>
    <w:rsid w:val="0D6C1FD6"/>
    <w:rsid w:val="0E5A2E93"/>
    <w:rsid w:val="10436028"/>
    <w:rsid w:val="105B189D"/>
    <w:rsid w:val="10D05E75"/>
    <w:rsid w:val="10DC43E2"/>
    <w:rsid w:val="113420CC"/>
    <w:rsid w:val="11AC1F83"/>
    <w:rsid w:val="125239D5"/>
    <w:rsid w:val="128C1E06"/>
    <w:rsid w:val="12D55FFC"/>
    <w:rsid w:val="12F77E36"/>
    <w:rsid w:val="130E4CA0"/>
    <w:rsid w:val="13527085"/>
    <w:rsid w:val="135C01D3"/>
    <w:rsid w:val="139520CA"/>
    <w:rsid w:val="147E3DB9"/>
    <w:rsid w:val="161426FF"/>
    <w:rsid w:val="165D4D24"/>
    <w:rsid w:val="169B024C"/>
    <w:rsid w:val="16C03663"/>
    <w:rsid w:val="16EB465A"/>
    <w:rsid w:val="16FA6871"/>
    <w:rsid w:val="18190A57"/>
    <w:rsid w:val="185071DB"/>
    <w:rsid w:val="18FF7982"/>
    <w:rsid w:val="19672505"/>
    <w:rsid w:val="19D42739"/>
    <w:rsid w:val="19EA16F9"/>
    <w:rsid w:val="1AC81D4D"/>
    <w:rsid w:val="1B48009A"/>
    <w:rsid w:val="1B794854"/>
    <w:rsid w:val="1CC15FED"/>
    <w:rsid w:val="1EF06A5B"/>
    <w:rsid w:val="1F652A74"/>
    <w:rsid w:val="203820FA"/>
    <w:rsid w:val="20D361BA"/>
    <w:rsid w:val="21230A6C"/>
    <w:rsid w:val="21B328FC"/>
    <w:rsid w:val="21E81D91"/>
    <w:rsid w:val="220E6A08"/>
    <w:rsid w:val="22314093"/>
    <w:rsid w:val="22610AE0"/>
    <w:rsid w:val="22882760"/>
    <w:rsid w:val="22E51152"/>
    <w:rsid w:val="23CE7D97"/>
    <w:rsid w:val="24B74268"/>
    <w:rsid w:val="24B93D1C"/>
    <w:rsid w:val="24D21D2C"/>
    <w:rsid w:val="24FA6914"/>
    <w:rsid w:val="26240DA8"/>
    <w:rsid w:val="26757247"/>
    <w:rsid w:val="268B32D1"/>
    <w:rsid w:val="2880234F"/>
    <w:rsid w:val="28982AE1"/>
    <w:rsid w:val="28DF425E"/>
    <w:rsid w:val="292E79F8"/>
    <w:rsid w:val="295D6E46"/>
    <w:rsid w:val="2A363233"/>
    <w:rsid w:val="2A955DBE"/>
    <w:rsid w:val="2B5255EA"/>
    <w:rsid w:val="2C7C08C1"/>
    <w:rsid w:val="2D16790F"/>
    <w:rsid w:val="2D215DCA"/>
    <w:rsid w:val="2F010FF0"/>
    <w:rsid w:val="2F1B7A4F"/>
    <w:rsid w:val="2FB20E79"/>
    <w:rsid w:val="307F1CED"/>
    <w:rsid w:val="30DC526C"/>
    <w:rsid w:val="310E1980"/>
    <w:rsid w:val="31207914"/>
    <w:rsid w:val="3130265C"/>
    <w:rsid w:val="32C35F76"/>
    <w:rsid w:val="32C95EA1"/>
    <w:rsid w:val="33155A71"/>
    <w:rsid w:val="33257E78"/>
    <w:rsid w:val="338A2F9D"/>
    <w:rsid w:val="33D457CE"/>
    <w:rsid w:val="345D28C0"/>
    <w:rsid w:val="346C1F29"/>
    <w:rsid w:val="34CE3D35"/>
    <w:rsid w:val="35AB7D0E"/>
    <w:rsid w:val="35F05ABA"/>
    <w:rsid w:val="360948FA"/>
    <w:rsid w:val="38033C94"/>
    <w:rsid w:val="38FD04D7"/>
    <w:rsid w:val="395727FA"/>
    <w:rsid w:val="39647C90"/>
    <w:rsid w:val="39A07BAF"/>
    <w:rsid w:val="39ED7E7E"/>
    <w:rsid w:val="3A0815EE"/>
    <w:rsid w:val="3A0B3419"/>
    <w:rsid w:val="3A56755C"/>
    <w:rsid w:val="3CB3610E"/>
    <w:rsid w:val="3CD62496"/>
    <w:rsid w:val="3D043FDF"/>
    <w:rsid w:val="3D2F0ECE"/>
    <w:rsid w:val="3D332B76"/>
    <w:rsid w:val="3D8F4247"/>
    <w:rsid w:val="3DB94810"/>
    <w:rsid w:val="3DDE0472"/>
    <w:rsid w:val="3E807EF3"/>
    <w:rsid w:val="3EA504D0"/>
    <w:rsid w:val="3ED01AE1"/>
    <w:rsid w:val="3EF13602"/>
    <w:rsid w:val="3F974712"/>
    <w:rsid w:val="3FED4454"/>
    <w:rsid w:val="401514E5"/>
    <w:rsid w:val="40590C18"/>
    <w:rsid w:val="407F107B"/>
    <w:rsid w:val="40B63A9D"/>
    <w:rsid w:val="41FE7E90"/>
    <w:rsid w:val="42BF2FC9"/>
    <w:rsid w:val="432A2463"/>
    <w:rsid w:val="43B16800"/>
    <w:rsid w:val="446E123D"/>
    <w:rsid w:val="44F966CE"/>
    <w:rsid w:val="46195F07"/>
    <w:rsid w:val="46302E35"/>
    <w:rsid w:val="46D13DE5"/>
    <w:rsid w:val="47305D6D"/>
    <w:rsid w:val="474434C3"/>
    <w:rsid w:val="47B72B13"/>
    <w:rsid w:val="47C20080"/>
    <w:rsid w:val="48335A33"/>
    <w:rsid w:val="485D7632"/>
    <w:rsid w:val="48834621"/>
    <w:rsid w:val="48A60652"/>
    <w:rsid w:val="48A97402"/>
    <w:rsid w:val="49BB6BE4"/>
    <w:rsid w:val="4A68094E"/>
    <w:rsid w:val="4AD001CF"/>
    <w:rsid w:val="4B87119C"/>
    <w:rsid w:val="4BCA69A8"/>
    <w:rsid w:val="4BF365FC"/>
    <w:rsid w:val="4C277575"/>
    <w:rsid w:val="4C48081E"/>
    <w:rsid w:val="4DD67440"/>
    <w:rsid w:val="4E1002A3"/>
    <w:rsid w:val="4E98287F"/>
    <w:rsid w:val="4E9D1AC5"/>
    <w:rsid w:val="4ED23DBE"/>
    <w:rsid w:val="4F562937"/>
    <w:rsid w:val="4FCC0647"/>
    <w:rsid w:val="509F26DD"/>
    <w:rsid w:val="524F64F8"/>
    <w:rsid w:val="52614E59"/>
    <w:rsid w:val="528F76AF"/>
    <w:rsid w:val="52A674EA"/>
    <w:rsid w:val="52F87011"/>
    <w:rsid w:val="53074DA5"/>
    <w:rsid w:val="532A4BDE"/>
    <w:rsid w:val="5454595E"/>
    <w:rsid w:val="548067C5"/>
    <w:rsid w:val="550314A0"/>
    <w:rsid w:val="565C4DDE"/>
    <w:rsid w:val="57D0693D"/>
    <w:rsid w:val="582B112C"/>
    <w:rsid w:val="584D750B"/>
    <w:rsid w:val="58E06668"/>
    <w:rsid w:val="599C0209"/>
    <w:rsid w:val="5BCA3AD7"/>
    <w:rsid w:val="5C92090E"/>
    <w:rsid w:val="5D480F4A"/>
    <w:rsid w:val="5E104FDB"/>
    <w:rsid w:val="5FAB1452"/>
    <w:rsid w:val="5FBB462C"/>
    <w:rsid w:val="614B001F"/>
    <w:rsid w:val="618F4E92"/>
    <w:rsid w:val="61911EEA"/>
    <w:rsid w:val="61C32BD6"/>
    <w:rsid w:val="627D662F"/>
    <w:rsid w:val="631475F4"/>
    <w:rsid w:val="63AC02A0"/>
    <w:rsid w:val="642278D4"/>
    <w:rsid w:val="649E314A"/>
    <w:rsid w:val="64FA4F5B"/>
    <w:rsid w:val="65870BC4"/>
    <w:rsid w:val="662717F2"/>
    <w:rsid w:val="668F4A03"/>
    <w:rsid w:val="67402916"/>
    <w:rsid w:val="67403DB7"/>
    <w:rsid w:val="67654F94"/>
    <w:rsid w:val="67EF1E2D"/>
    <w:rsid w:val="686953E7"/>
    <w:rsid w:val="68FB3185"/>
    <w:rsid w:val="693F0663"/>
    <w:rsid w:val="69C07F49"/>
    <w:rsid w:val="6A59675A"/>
    <w:rsid w:val="6AC81BFD"/>
    <w:rsid w:val="6CC4637A"/>
    <w:rsid w:val="6E1D17B3"/>
    <w:rsid w:val="6E6558DD"/>
    <w:rsid w:val="6F4B486A"/>
    <w:rsid w:val="6F4B64A3"/>
    <w:rsid w:val="6F8638C7"/>
    <w:rsid w:val="6FFF6442"/>
    <w:rsid w:val="703C2021"/>
    <w:rsid w:val="70471064"/>
    <w:rsid w:val="70A034D9"/>
    <w:rsid w:val="70E464B7"/>
    <w:rsid w:val="7149105F"/>
    <w:rsid w:val="71556992"/>
    <w:rsid w:val="71D03AE5"/>
    <w:rsid w:val="72732E92"/>
    <w:rsid w:val="731C357F"/>
    <w:rsid w:val="740D356A"/>
    <w:rsid w:val="75096FC1"/>
    <w:rsid w:val="75FA13C9"/>
    <w:rsid w:val="75FC2B2B"/>
    <w:rsid w:val="7628028B"/>
    <w:rsid w:val="764825BF"/>
    <w:rsid w:val="76765971"/>
    <w:rsid w:val="76F42728"/>
    <w:rsid w:val="77904935"/>
    <w:rsid w:val="780D33B9"/>
    <w:rsid w:val="78855930"/>
    <w:rsid w:val="7975646B"/>
    <w:rsid w:val="79BC1483"/>
    <w:rsid w:val="79D720E7"/>
    <w:rsid w:val="79DD5637"/>
    <w:rsid w:val="79E5644B"/>
    <w:rsid w:val="7AA15F66"/>
    <w:rsid w:val="7ADD6E09"/>
    <w:rsid w:val="7B0717F9"/>
    <w:rsid w:val="7BC3687B"/>
    <w:rsid w:val="7C461CEB"/>
    <w:rsid w:val="7C526A62"/>
    <w:rsid w:val="7D190192"/>
    <w:rsid w:val="7D252E98"/>
    <w:rsid w:val="7DA32096"/>
    <w:rsid w:val="7E4370CC"/>
    <w:rsid w:val="7E7A5781"/>
    <w:rsid w:val="7F582703"/>
    <w:rsid w:val="7FC7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tabs>
        <w:tab w:val="left" w:pos="864"/>
      </w:tabs>
      <w:spacing w:line="376" w:lineRule="auto"/>
      <w:ind w:left="864" w:hanging="864"/>
      <w:jc w:val="left"/>
      <w:outlineLvl w:val="3"/>
    </w:pPr>
    <w:rPr>
      <w:rFonts w:ascii="Arial" w:hAnsi="Arial" w:eastAsia="黑体"/>
      <w:b/>
      <w:bCs/>
      <w:kern w:val="0"/>
      <w:sz w:val="28"/>
      <w:szCs w:val="28"/>
    </w:rPr>
  </w:style>
  <w:style w:type="paragraph" w:styleId="6">
    <w:name w:val="heading 5"/>
    <w:basedOn w:val="1"/>
    <w:next w:val="1"/>
    <w:qFormat/>
    <w:uiPriority w:val="0"/>
    <w:pPr>
      <w:keepNext/>
      <w:keepLines/>
      <w:spacing w:before="280" w:after="290" w:line="372" w:lineRule="auto"/>
      <w:outlineLvl w:val="4"/>
    </w:pPr>
    <w:rPr>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8">
    <w:name w:val="Body Text 3"/>
    <w:basedOn w:val="1"/>
    <w:qFormat/>
    <w:uiPriority w:val="0"/>
    <w:rPr>
      <w:rFonts w:ascii="宋体"/>
      <w:sz w:val="24"/>
      <w:szCs w:val="20"/>
    </w:rPr>
  </w:style>
  <w:style w:type="paragraph" w:styleId="9">
    <w:name w:val="Body Text"/>
    <w:basedOn w:val="1"/>
    <w:next w:val="10"/>
    <w:link w:val="41"/>
    <w:qFormat/>
    <w:uiPriority w:val="0"/>
    <w:pPr>
      <w:tabs>
        <w:tab w:val="left" w:pos="686"/>
      </w:tabs>
      <w:spacing w:line="440" w:lineRule="exact"/>
    </w:pPr>
    <w:rPr>
      <w:sz w:val="28"/>
      <w:u w:val="single"/>
    </w:rPr>
  </w:style>
  <w:style w:type="paragraph" w:styleId="10">
    <w:name w:val="Intense Quote"/>
    <w:basedOn w:val="1"/>
    <w:next w:val="1"/>
    <w:qFormat/>
    <w:uiPriority w:val="0"/>
    <w:pPr>
      <w:widowControl/>
      <w:wordWrap w:val="0"/>
      <w:spacing w:before="360" w:after="360"/>
      <w:ind w:left="950" w:right="950"/>
      <w:jc w:val="center"/>
    </w:pPr>
    <w:rPr>
      <w:rFonts w:ascii="Times New Roman" w:hAnsi="Times New Roman" w:eastAsia="宋体" w:cs="Times New Roman"/>
      <w:i/>
    </w:rPr>
  </w:style>
  <w:style w:type="paragraph" w:styleId="11">
    <w:name w:val="Body Text Indent"/>
    <w:basedOn w:val="1"/>
    <w:qFormat/>
    <w:uiPriority w:val="0"/>
    <w:pPr>
      <w:spacing w:line="300" w:lineRule="auto"/>
      <w:ind w:firstLine="420"/>
    </w:pPr>
    <w:rPr>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spacing w:line="440" w:lineRule="exact"/>
      <w:jc w:val="center"/>
    </w:pPr>
  </w:style>
  <w:style w:type="paragraph" w:styleId="17">
    <w:name w:val="Body Text Indent 3"/>
    <w:basedOn w:val="1"/>
    <w:qFormat/>
    <w:uiPriority w:val="0"/>
    <w:pPr>
      <w:spacing w:line="500" w:lineRule="atLeast"/>
      <w:ind w:firstLine="522" w:firstLineChars="163"/>
    </w:pPr>
    <w:rPr>
      <w:rFonts w:ascii="仿宋_GB2312" w:hAnsi="宋体" w:eastAsia="仿宋_GB2312" w:cs="Times New Roman"/>
      <w:sz w:val="32"/>
    </w:rPr>
  </w:style>
  <w:style w:type="paragraph" w:styleId="18">
    <w:name w:val="toc 2"/>
    <w:basedOn w:val="1"/>
    <w:next w:val="1"/>
    <w:qFormat/>
    <w:uiPriority w:val="0"/>
    <w:pPr>
      <w:ind w:left="420" w:leftChars="200"/>
    </w:pPr>
  </w:style>
  <w:style w:type="paragraph" w:styleId="19">
    <w:name w:val="index 1"/>
    <w:basedOn w:val="1"/>
    <w:next w:val="1"/>
    <w:qFormat/>
    <w:uiPriority w:val="0"/>
    <w:pPr>
      <w:autoSpaceDE w:val="0"/>
      <w:autoSpaceDN w:val="0"/>
      <w:adjustRightInd w:val="0"/>
      <w:spacing w:line="256" w:lineRule="atLeast"/>
      <w:jc w:val="left"/>
    </w:pPr>
    <w:rPr>
      <w:rFonts w:ascii="MingLiU" w:eastAsia="MingLiU"/>
      <w:spacing w:val="60"/>
      <w:kern w:val="0"/>
      <w:sz w:val="22"/>
      <w:lang w:eastAsia="zh-TW"/>
    </w:rPr>
  </w:style>
  <w:style w:type="paragraph" w:styleId="20">
    <w:name w:val="Body Text First Indent"/>
    <w:basedOn w:val="9"/>
    <w:qFormat/>
    <w:uiPriority w:val="0"/>
    <w:pPr>
      <w:spacing w:line="312" w:lineRule="auto"/>
      <w:ind w:firstLine="420"/>
    </w:pPr>
  </w:style>
  <w:style w:type="paragraph" w:styleId="21">
    <w:name w:val="Body Text First Indent 2"/>
    <w:basedOn w:val="11"/>
    <w:qFormat/>
    <w:uiPriority w:val="99"/>
    <w:pPr>
      <w:ind w:firstLine="48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paragraph" w:customStyle="1" w:styleId="27">
    <w:name w:val="正文 首行缩进:  2 字符"/>
    <w:qFormat/>
    <w:uiPriority w:val="0"/>
    <w:pPr>
      <w:widowControl w:val="0"/>
      <w:ind w:firstLine="200" w:firstLineChars="200"/>
      <w:jc w:val="both"/>
    </w:pPr>
    <w:rPr>
      <w:rFonts w:ascii="Times New Roman" w:hAnsi="Times New Roman" w:eastAsia="宋体" w:cs="宋体"/>
      <w:kern w:val="2"/>
      <w:sz w:val="24"/>
      <w:szCs w:val="22"/>
      <w:lang w:val="en-US" w:eastAsia="zh-CN" w:bidi="ar-SA"/>
    </w:rPr>
  </w:style>
  <w:style w:type="paragraph" w:customStyle="1" w:styleId="2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0">
    <w:name w:val="Blockquote"/>
    <w:basedOn w:val="1"/>
    <w:qFormat/>
    <w:uiPriority w:val="0"/>
    <w:pPr>
      <w:autoSpaceDE w:val="0"/>
      <w:autoSpaceDN w:val="0"/>
      <w:adjustRightInd w:val="0"/>
      <w:ind w:left="360" w:right="360"/>
      <w:jc w:val="left"/>
    </w:pPr>
    <w:rPr>
      <w:kern w:val="0"/>
      <w:sz w:val="24"/>
      <w:szCs w:val="20"/>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样式1"/>
    <w:basedOn w:val="1"/>
    <w:qFormat/>
    <w:uiPriority w:val="0"/>
    <w:pPr>
      <w:spacing w:line="300" w:lineRule="auto"/>
    </w:pPr>
    <w:rPr>
      <w:rFonts w:ascii="宋体" w:hAnsi="宋体"/>
      <w:b/>
      <w:sz w:val="24"/>
      <w:szCs w:val="20"/>
    </w:rPr>
  </w:style>
  <w:style w:type="paragraph" w:customStyle="1" w:styleId="33">
    <w:name w:val="纯文本 New"/>
    <w:basedOn w:val="1"/>
    <w:qFormat/>
    <w:uiPriority w:val="0"/>
    <w:rPr>
      <w:rFonts w:ascii="宋体" w:hAnsi="Courier New"/>
      <w:szCs w:val="20"/>
    </w:rPr>
  </w:style>
  <w:style w:type="paragraph" w:customStyle="1" w:styleId="34">
    <w:name w:val="表格文字"/>
    <w:basedOn w:val="1"/>
    <w:qFormat/>
    <w:uiPriority w:val="0"/>
    <w:pPr>
      <w:adjustRightInd w:val="0"/>
      <w:spacing w:line="420" w:lineRule="atLeast"/>
      <w:jc w:val="left"/>
      <w:textAlignment w:val="baseline"/>
    </w:pPr>
    <w:rPr>
      <w:kern w:val="0"/>
      <w:szCs w:val="20"/>
    </w:rPr>
  </w:style>
  <w:style w:type="character" w:customStyle="1" w:styleId="35">
    <w:name w:val="font31"/>
    <w:basedOn w:val="24"/>
    <w:qFormat/>
    <w:uiPriority w:val="0"/>
    <w:rPr>
      <w:rFonts w:hint="eastAsia" w:ascii="宋体" w:hAnsi="宋体" w:eastAsia="宋体" w:cs="宋体"/>
      <w:color w:val="000000"/>
      <w:sz w:val="20"/>
      <w:szCs w:val="20"/>
      <w:u w:val="none"/>
    </w:rPr>
  </w:style>
  <w:style w:type="character" w:customStyle="1" w:styleId="36">
    <w:name w:val="font11"/>
    <w:basedOn w:val="24"/>
    <w:qFormat/>
    <w:uiPriority w:val="0"/>
    <w:rPr>
      <w:rFonts w:hint="default" w:ascii="Times New Roman" w:hAnsi="Times New Roman" w:cs="Times New Roman"/>
      <w:color w:val="000000"/>
      <w:sz w:val="22"/>
      <w:szCs w:val="22"/>
      <w:u w:val="none"/>
    </w:rPr>
  </w:style>
  <w:style w:type="character" w:customStyle="1" w:styleId="37">
    <w:name w:val="font01"/>
    <w:basedOn w:val="24"/>
    <w:qFormat/>
    <w:uiPriority w:val="0"/>
    <w:rPr>
      <w:rFonts w:hint="eastAsia" w:ascii="宋体" w:hAnsi="宋体" w:eastAsia="宋体" w:cs="宋体"/>
      <w:color w:val="000000"/>
      <w:sz w:val="22"/>
      <w:szCs w:val="22"/>
      <w:u w:val="none"/>
    </w:rPr>
  </w:style>
  <w:style w:type="paragraph" w:styleId="38">
    <w:name w:val="List Paragraph"/>
    <w:basedOn w:val="1"/>
    <w:qFormat/>
    <w:uiPriority w:val="34"/>
    <w:pPr>
      <w:ind w:firstLine="420" w:firstLineChars="200"/>
    </w:pPr>
  </w:style>
  <w:style w:type="paragraph" w:customStyle="1" w:styleId="39">
    <w:name w:val="0正文"/>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40">
    <w:name w:val="L3"/>
    <w:next w:val="39"/>
    <w:qFormat/>
    <w:uiPriority w:val="0"/>
    <w:pPr>
      <w:spacing w:before="60" w:after="60" w:line="580" w:lineRule="exact"/>
      <w:outlineLvl w:val="2"/>
    </w:pPr>
    <w:rPr>
      <w:rFonts w:ascii="Times New Roman" w:hAnsi="Times New Roman" w:eastAsia="宋体" w:cs="Times New Roman"/>
      <w:b/>
      <w:bCs/>
      <w:kern w:val="2"/>
      <w:sz w:val="28"/>
      <w:szCs w:val="32"/>
      <w:lang w:val="en-US" w:eastAsia="zh-CN" w:bidi="ar-SA"/>
    </w:rPr>
  </w:style>
  <w:style w:type="character" w:customStyle="1" w:styleId="41">
    <w:name w:val="正文文本 字符"/>
    <w:basedOn w:val="24"/>
    <w:link w:val="9"/>
    <w:qFormat/>
    <w:uiPriority w:val="0"/>
    <w:rPr>
      <w:rFonts w:asciiTheme="minorHAnsi" w:hAnsiTheme="minorHAnsi" w:eastAsiaTheme="minorEastAsia" w:cstheme="minorBidi"/>
      <w:kern w:val="2"/>
      <w:sz w:val="28"/>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14717</Words>
  <Characters>15727</Characters>
  <Lines>149</Lines>
  <Paragraphs>41</Paragraphs>
  <TotalTime>9</TotalTime>
  <ScaleCrop>false</ScaleCrop>
  <LinksUpToDate>false</LinksUpToDate>
  <CharactersWithSpaces>17780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乔琳宏</cp:lastModifiedBy>
  <cp:lastPrinted>2022-02-17T07:36:00Z</cp:lastPrinted>
  <dcterms:modified xsi:type="dcterms:W3CDTF">2022-03-30T01:18:43Z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0A38C60BAA9C41E1BFBCB45B2BB150F1</vt:lpwstr>
  </property>
</Properties>
</file>