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7"/>
      </w:pPr>
    </w:p>
    <w:p>
      <w:pPr>
        <w:pStyle w:val="7"/>
      </w:pPr>
    </w:p>
    <w:p>
      <w:pPr>
        <w:pStyle w:val="7"/>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熟料工序保温修复施工</w:t>
      </w:r>
    </w:p>
    <w:p>
      <w:pPr>
        <w:pStyle w:val="20"/>
      </w:pPr>
    </w:p>
    <w:p>
      <w:pPr>
        <w:pStyle w:val="20"/>
      </w:pPr>
    </w:p>
    <w:p>
      <w:pPr>
        <w:pStyle w:val="20"/>
      </w:pPr>
    </w:p>
    <w:p>
      <w:pPr>
        <w:jc w:val="center"/>
        <w:rPr>
          <w:rFonts w:ascii="黑体" w:eastAsia="黑体"/>
          <w:sz w:val="84"/>
          <w:szCs w:val="84"/>
        </w:rPr>
      </w:pPr>
      <w:r>
        <w:rPr>
          <w:rFonts w:hint="eastAsia" w:ascii="黑体" w:eastAsia="黑体"/>
          <w:sz w:val="84"/>
          <w:szCs w:val="84"/>
        </w:rPr>
        <w:t>招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二</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6"/>
      </w:pPr>
    </w:p>
    <w:p>
      <w:pPr>
        <w:pStyle w:val="16"/>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6"/>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"_Toc179632527" </w:instrText>
      </w:r>
      <w:r>
        <w:fldChar w:fldCharType="separate"/>
      </w:r>
      <w:r>
        <w:rPr>
          <w:rStyle w:val="26"/>
          <w:rFonts w:hint="eastAsia" w:ascii="黑体" w:hAnsi="黑体" w:eastAsia="黑体"/>
        </w:rPr>
        <w:t>第一章</w:t>
      </w:r>
      <w:r>
        <w:rPr>
          <w:rStyle w:val="26"/>
          <w:rFonts w:ascii="黑体" w:hAnsi="黑体" w:eastAsia="黑体"/>
        </w:rPr>
        <w:t xml:space="preserve"> </w:t>
      </w:r>
      <w:r>
        <w:rPr>
          <w:rStyle w:val="26"/>
          <w:rFonts w:hint="eastAsia" w:ascii="黑体" w:hAnsi="黑体" w:eastAsia="黑体"/>
        </w:rPr>
        <w:t>招标公告</w:t>
      </w:r>
      <w:r>
        <w:tab/>
      </w:r>
      <w:r>
        <w:fldChar w:fldCharType="begin"/>
      </w:r>
      <w:r>
        <w:instrText xml:space="preserve"> PAGEREF _Toc179632527 \h </w:instrText>
      </w:r>
      <w:r>
        <w:fldChar w:fldCharType="separate"/>
      </w:r>
      <w:r>
        <w:t>4</w:t>
      </w:r>
      <w:r>
        <w:fldChar w:fldCharType="end"/>
      </w:r>
      <w:r>
        <w:fldChar w:fldCharType="end"/>
      </w:r>
    </w:p>
    <w:p>
      <w:pPr>
        <w:pStyle w:val="16"/>
        <w:tabs>
          <w:tab w:val="right" w:leader="dot" w:pos="8296"/>
        </w:tabs>
      </w:pPr>
      <w:r>
        <w:fldChar w:fldCharType="begin"/>
      </w:r>
      <w:r>
        <w:instrText xml:space="preserve"> HYPERLINK \l "_Toc179632544" </w:instrText>
      </w:r>
      <w:r>
        <w:fldChar w:fldCharType="separate"/>
      </w:r>
      <w:r>
        <w:rPr>
          <w:rStyle w:val="26"/>
          <w:rFonts w:hint="eastAsia" w:ascii="黑体" w:hAnsi="黑体" w:eastAsia="黑体"/>
        </w:rPr>
        <w:t>第二章</w:t>
      </w:r>
      <w:r>
        <w:rPr>
          <w:rStyle w:val="26"/>
          <w:rFonts w:ascii="黑体" w:hAnsi="黑体" w:eastAsia="黑体"/>
        </w:rPr>
        <w:t xml:space="preserve"> </w:t>
      </w:r>
      <w:r>
        <w:rPr>
          <w:rStyle w:val="26"/>
          <w:rFonts w:hint="eastAsia" w:ascii="黑体" w:hAnsi="黑体" w:eastAsia="黑体"/>
        </w:rPr>
        <w:t>投标人须知</w:t>
      </w:r>
      <w:r>
        <w:tab/>
      </w:r>
      <w:r>
        <w:fldChar w:fldCharType="begin"/>
      </w:r>
      <w:r>
        <w:instrText xml:space="preserve"> PAGEREF _Toc179632544 \h </w:instrText>
      </w:r>
      <w:r>
        <w:fldChar w:fldCharType="separate"/>
      </w:r>
      <w:r>
        <w:t>5</w:t>
      </w:r>
      <w:r>
        <w:fldChar w:fldCharType="end"/>
      </w:r>
      <w:r>
        <w:fldChar w:fldCharType="end"/>
      </w:r>
    </w:p>
    <w:p>
      <w:pPr>
        <w:pStyle w:val="16"/>
        <w:tabs>
          <w:tab w:val="right" w:leader="dot" w:pos="8296"/>
        </w:tabs>
      </w:pPr>
      <w:r>
        <w:fldChar w:fldCharType="begin"/>
      </w:r>
      <w:r>
        <w:instrText xml:space="preserve"> HYPERLINK \l "_Toc179632605" </w:instrText>
      </w:r>
      <w:r>
        <w:fldChar w:fldCharType="separate"/>
      </w:r>
      <w:r>
        <w:rPr>
          <w:rStyle w:val="26"/>
          <w:rFonts w:hint="eastAsia" w:ascii="黑体" w:hAnsi="黑体" w:eastAsia="黑体"/>
        </w:rPr>
        <w:t>第三章</w:t>
      </w:r>
      <w:r>
        <w:rPr>
          <w:rStyle w:val="26"/>
          <w:rFonts w:ascii="黑体" w:hAnsi="黑体" w:eastAsia="黑体"/>
        </w:rPr>
        <w:t xml:space="preserve"> </w:t>
      </w:r>
      <w:r>
        <w:rPr>
          <w:rStyle w:val="26"/>
          <w:rFonts w:hint="eastAsia" w:ascii="黑体" w:hAnsi="黑体" w:eastAsia="黑体"/>
        </w:rPr>
        <w:t>评标办法</w:t>
      </w:r>
      <w:r>
        <w:tab/>
      </w:r>
      <w:r>
        <w:rPr>
          <w:rFonts w:hint="eastAsia"/>
        </w:rPr>
        <w:t>1</w:t>
      </w:r>
      <w:r>
        <w:rPr>
          <w:rFonts w:hint="eastAsia"/>
        </w:rPr>
        <w:fldChar w:fldCharType="end"/>
      </w:r>
      <w:r>
        <w:rPr>
          <w:rFonts w:hint="eastAsia"/>
        </w:rPr>
        <w:t>8</w:t>
      </w:r>
    </w:p>
    <w:p>
      <w:pPr>
        <w:pStyle w:val="16"/>
        <w:tabs>
          <w:tab w:val="right" w:leader="dot" w:pos="8296"/>
        </w:tabs>
      </w:pPr>
      <w:r>
        <w:fldChar w:fldCharType="begin"/>
      </w:r>
      <w:r>
        <w:instrText xml:space="preserve"> HYPERLINK \l "_Toc179632627" </w:instrText>
      </w:r>
      <w:r>
        <w:fldChar w:fldCharType="separate"/>
      </w:r>
      <w:r>
        <w:rPr>
          <w:rStyle w:val="26"/>
          <w:rFonts w:hint="eastAsia" w:ascii="黑体" w:hAnsi="黑体" w:eastAsia="黑体"/>
        </w:rPr>
        <w:t>第四章</w:t>
      </w:r>
      <w:r>
        <w:rPr>
          <w:rStyle w:val="26"/>
          <w:rFonts w:ascii="黑体" w:hAnsi="黑体" w:eastAsia="黑体"/>
        </w:rPr>
        <w:t xml:space="preserve"> </w:t>
      </w:r>
      <w:r>
        <w:rPr>
          <w:rStyle w:val="26"/>
          <w:rFonts w:hint="eastAsia" w:ascii="黑体" w:hAnsi="黑体" w:eastAsia="黑体"/>
        </w:rPr>
        <w:t>合同条款及格式</w:t>
      </w:r>
      <w:r>
        <w:tab/>
      </w:r>
      <w:r>
        <w:fldChar w:fldCharType="begin"/>
      </w:r>
      <w:r>
        <w:instrText xml:space="preserve"> PAGEREF _Toc179632627 \h </w:instrText>
      </w:r>
      <w:r>
        <w:fldChar w:fldCharType="separate"/>
      </w:r>
      <w:r>
        <w:t>21</w:t>
      </w:r>
      <w:r>
        <w:fldChar w:fldCharType="end"/>
      </w:r>
      <w:r>
        <w:fldChar w:fldCharType="end"/>
      </w:r>
    </w:p>
    <w:p>
      <w:pPr>
        <w:pStyle w:val="16"/>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25</w:t>
      </w:r>
      <w:r>
        <w:fldChar w:fldCharType="end"/>
      </w:r>
      <w:r>
        <w:fldChar w:fldCharType="end"/>
      </w:r>
    </w:p>
    <w:p>
      <w:pPr>
        <w:pStyle w:val="16"/>
        <w:tabs>
          <w:tab w:val="right" w:leader="dot" w:pos="8296"/>
        </w:tabs>
      </w:pPr>
      <w:r>
        <w:fldChar w:fldCharType="begin"/>
      </w:r>
      <w:r>
        <w:instrText xml:space="preserve"> HYPERLINK \l "_Toc179632799" </w:instrText>
      </w:r>
      <w:r>
        <w:fldChar w:fldCharType="separate"/>
      </w:r>
      <w:r>
        <w:rPr>
          <w:rStyle w:val="26"/>
          <w:rFonts w:hint="eastAsia" w:ascii="黑体" w:hAnsi="黑体" w:eastAsia="黑体"/>
        </w:rPr>
        <w:t>第二卷</w:t>
      </w:r>
      <w:r>
        <w:tab/>
      </w:r>
      <w:r>
        <w:fldChar w:fldCharType="begin"/>
      </w:r>
      <w:r>
        <w:instrText xml:space="preserve"> PAGEREF _Toc179632799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"_Toc179632800" </w:instrText>
      </w:r>
      <w:r>
        <w:fldChar w:fldCharType="separate"/>
      </w:r>
      <w:r>
        <w:rPr>
          <w:rStyle w:val="26"/>
          <w:rFonts w:hint="eastAsia" w:ascii="黑体" w:hAnsi="黑体" w:eastAsia="黑体"/>
        </w:rPr>
        <w:t>第六章</w:t>
      </w:r>
      <w:r>
        <w:rPr>
          <w:rStyle w:val="26"/>
          <w:rFonts w:ascii="黑体" w:hAnsi="黑体" w:eastAsia="黑体"/>
        </w:rPr>
        <w:t xml:space="preserve">  </w:t>
      </w:r>
      <w:r>
        <w:rPr>
          <w:rStyle w:val="26"/>
          <w:rFonts w:hint="eastAsia" w:ascii="黑体" w:hAnsi="黑体" w:eastAsia="黑体"/>
        </w:rPr>
        <w:t>图</w:t>
      </w:r>
      <w:r>
        <w:rPr>
          <w:rStyle w:val="26"/>
          <w:rFonts w:ascii="黑体" w:hAnsi="黑体" w:eastAsia="黑体"/>
        </w:rPr>
        <w:t xml:space="preserve">  </w:t>
      </w:r>
      <w:r>
        <w:rPr>
          <w:rStyle w:val="26"/>
          <w:rFonts w:hint="eastAsia" w:ascii="黑体" w:hAnsi="黑体" w:eastAsia="黑体"/>
        </w:rPr>
        <w:t>纸</w:t>
      </w:r>
      <w:r>
        <w:tab/>
      </w:r>
      <w:r>
        <w:fldChar w:fldCharType="begin"/>
      </w:r>
      <w:r>
        <w:instrText xml:space="preserve"> PAGEREF _Toc179632800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"_Toc179632803" </w:instrText>
      </w:r>
      <w:r>
        <w:fldChar w:fldCharType="separate"/>
      </w:r>
      <w:r>
        <w:rPr>
          <w:rStyle w:val="26"/>
          <w:rFonts w:hint="eastAsia" w:ascii="黑体" w:hAnsi="黑体" w:eastAsia="黑体"/>
        </w:rPr>
        <w:t>第三卷</w:t>
      </w:r>
      <w:r>
        <w:tab/>
      </w:r>
      <w:r>
        <w:fldChar w:fldCharType="begin"/>
      </w:r>
      <w:r>
        <w:instrText xml:space="preserve"> PAGEREF _Toc179632803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"_Toc179632804" </w:instrText>
      </w:r>
      <w:r>
        <w:fldChar w:fldCharType="separate"/>
      </w:r>
      <w:r>
        <w:rPr>
          <w:rStyle w:val="26"/>
          <w:rFonts w:hint="eastAsia" w:ascii="黑体" w:hAnsi="黑体" w:eastAsia="黑体"/>
        </w:rPr>
        <w:t>第七章</w:t>
      </w:r>
      <w:r>
        <w:rPr>
          <w:rStyle w:val="26"/>
          <w:rFonts w:ascii="黑体" w:hAnsi="黑体" w:eastAsia="黑体"/>
        </w:rPr>
        <w:t xml:space="preserve">  </w:t>
      </w:r>
      <w:r>
        <w:rPr>
          <w:rStyle w:val="26"/>
          <w:rFonts w:hint="eastAsia" w:ascii="黑体" w:hAnsi="黑体" w:eastAsia="黑体"/>
        </w:rPr>
        <w:t>技术标准和要求</w:t>
      </w:r>
      <w:r>
        <w:tab/>
      </w:r>
      <w:r>
        <w:fldChar w:fldCharType="begin"/>
      </w:r>
      <w:r>
        <w:instrText xml:space="preserve"> PAGEREF _Toc179632804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"_Toc179632805" </w:instrText>
      </w:r>
      <w:r>
        <w:fldChar w:fldCharType="separate"/>
      </w:r>
      <w:r>
        <w:rPr>
          <w:rStyle w:val="26"/>
          <w:rFonts w:hint="eastAsia" w:ascii="黑体" w:hAnsi="黑体" w:eastAsia="黑体"/>
        </w:rPr>
        <w:t>第四卷</w:t>
      </w:r>
      <w:r>
        <w:tab/>
      </w:r>
      <w:r>
        <w:fldChar w:fldCharType="begin"/>
      </w:r>
      <w:r>
        <w:instrText xml:space="preserve"> PAGEREF _Toc179632805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"_Toc179632806" </w:instrText>
      </w:r>
      <w:r>
        <w:fldChar w:fldCharType="separate"/>
      </w:r>
      <w:r>
        <w:rPr>
          <w:rStyle w:val="26"/>
          <w:rFonts w:hint="eastAsia" w:ascii="黑体" w:hAnsi="黑体" w:eastAsia="黑体"/>
        </w:rPr>
        <w:t>第八章</w:t>
      </w:r>
      <w:r>
        <w:rPr>
          <w:rStyle w:val="26"/>
          <w:rFonts w:ascii="黑体" w:hAnsi="黑体" w:eastAsia="黑体"/>
        </w:rPr>
        <w:t xml:space="preserve">  </w:t>
      </w:r>
      <w:r>
        <w:rPr>
          <w:rStyle w:val="26"/>
          <w:rFonts w:hint="eastAsia" w:ascii="黑体" w:hAnsi="黑体" w:eastAsia="黑体"/>
        </w:rPr>
        <w:t>投标文件格式</w:t>
      </w:r>
      <w:r>
        <w:tab/>
      </w:r>
      <w:r>
        <w:fldChar w:fldCharType="begin"/>
      </w:r>
      <w:r>
        <w:instrText xml:space="preserve"> PAGEREF _Toc179632806 \h </w:instrText>
      </w:r>
      <w:r>
        <w:fldChar w:fldCharType="separate"/>
      </w:r>
      <w:r>
        <w:t>28</w:t>
      </w:r>
      <w:r>
        <w:fldChar w:fldCharType="end"/>
      </w:r>
      <w:r>
        <w:fldChar w:fldCharType="end"/>
      </w:r>
    </w:p>
    <w:p>
      <w:pPr>
        <w:pStyle w:val="18"/>
        <w:tabs>
          <w:tab w:val="right" w:leader="dot" w:pos="8296"/>
        </w:tabs>
        <w:rPr>
          <w:szCs w:val="21"/>
          <w:highlight w:val="yellow"/>
        </w:rPr>
      </w:pPr>
      <w:r>
        <w:fldChar w:fldCharType="end"/>
      </w:r>
      <w:bookmarkStart w:id="2" w:name="_Toc152045511"/>
      <w:bookmarkStart w:id="3" w:name="_Toc144974479"/>
      <w:bookmarkStart w:id="4" w:name="_Toc152042287"/>
    </w:p>
    <w:p>
      <w:pPr>
        <w:topLinePunct/>
        <w:spacing w:line="400" w:lineRule="exact"/>
        <w:ind w:firstLine="420" w:firstLineChars="200"/>
        <w:rPr>
          <w:szCs w:val="21"/>
        </w:rPr>
      </w:pPr>
    </w:p>
    <w:p>
      <w:pPr>
        <w:topLinePunct/>
        <w:spacing w:line="400" w:lineRule="exact"/>
        <w:rPr>
          <w:szCs w:val="21"/>
        </w:rPr>
      </w:pPr>
    </w:p>
    <w:p>
      <w:pPr>
        <w:pStyle w:val="2"/>
        <w:spacing w:before="120" w:after="120" w:line="400" w:lineRule="exact"/>
        <w:jc w:val="center"/>
        <w:rPr>
          <w:rFonts w:ascii="黑体" w:hAnsi="黑体" w:eastAsia="黑体"/>
          <w:b w:val="0"/>
          <w:bCs w:val="0"/>
          <w:sz w:val="52"/>
          <w:szCs w:val="52"/>
        </w:rPr>
      </w:pPr>
      <w:bookmarkStart w:id="5" w:name="_Toc179632526"/>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第一章 招标公告</w:t>
      </w:r>
      <w:bookmarkEnd w:id="2"/>
      <w:bookmarkEnd w:id="3"/>
      <w:bookmarkEnd w:id="4"/>
      <w:bookmarkEnd w:id="6"/>
    </w:p>
    <w:p>
      <w:pPr>
        <w:spacing w:line="440" w:lineRule="exact"/>
        <w:jc w:val="center"/>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熟料工序保温修复施工</w:t>
      </w:r>
      <w:r>
        <w:rPr>
          <w:rFonts w:hint="eastAsia" w:eastAsia="黑体"/>
          <w:sz w:val="28"/>
          <w:szCs w:val="28"/>
        </w:rPr>
        <w:t>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8"/>
      </w:pPr>
      <w:bookmarkStart w:id="7" w:name="_Toc152042288"/>
      <w:bookmarkStart w:id="8" w:name="_Toc144974480"/>
      <w:bookmarkStart w:id="9" w:name="_Toc179632528"/>
      <w:bookmarkStart w:id="10" w:name="_Toc152045512"/>
      <w:r>
        <w:t>1. 招标条件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熟料工序保温修复施工</w:t>
      </w:r>
      <w:r>
        <w:rPr>
          <w:rFonts w:hint="eastAsia" w:ascii="宋体" w:hAnsi="宋体" w:cs="仿宋_GB2312"/>
          <w:kern w:val="0"/>
          <w:sz w:val="22"/>
          <w:szCs w:val="22"/>
        </w:rPr>
        <w:t>，通过招标方式</w:t>
      </w:r>
      <w:r>
        <w:rPr>
          <w:rFonts w:hint="eastAsia" w:ascii="宋体" w:hAnsi="宋体" w:cs="仿宋_GB2312"/>
          <w:kern w:val="0"/>
          <w:sz w:val="22"/>
          <w:szCs w:val="22"/>
          <w:lang w:val="en-US" w:eastAsia="zh-CN"/>
        </w:rPr>
        <w:t>选择</w:t>
      </w:r>
      <w:r>
        <w:rPr>
          <w:rFonts w:hint="eastAsia" w:ascii="宋体" w:hAnsi="宋体" w:cs="仿宋_GB2312"/>
          <w:kern w:val="0"/>
          <w:sz w:val="22"/>
          <w:szCs w:val="22"/>
        </w:rPr>
        <w:t>符合条件的承包商。</w:t>
      </w:r>
    </w:p>
    <w:p>
      <w:pPr>
        <w:pStyle w:val="28"/>
      </w:pPr>
      <w:bookmarkStart w:id="11" w:name="_Toc179632529"/>
      <w:bookmarkStart w:id="12" w:name="_Toc144974481"/>
      <w:bookmarkStart w:id="13" w:name="_Toc152045513"/>
      <w:bookmarkStart w:id="14" w:name="_Toc152042289"/>
      <w:r>
        <w:t>2. 项目概况</w:t>
      </w:r>
      <w:bookmarkEnd w:id="11"/>
      <w:bookmarkEnd w:id="12"/>
      <w:bookmarkEnd w:id="13"/>
      <w:bookmarkEnd w:id="14"/>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10</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78</w:t>
      </w:r>
      <w:r>
        <w:rPr>
          <w:rFonts w:hint="eastAsia" w:ascii="宋体" w:hAnsi="宋体" w:cs="仿宋_GB2312"/>
          <w:color w:val="000000" w:themeColor="text1"/>
          <w:kern w:val="0"/>
          <w:sz w:val="22"/>
          <w:szCs w:val="22"/>
          <w:highlight w:val="yellow"/>
        </w:rPr>
        <w:t>万元。</w:t>
      </w:r>
      <w:bookmarkStart w:id="15" w:name="_Toc144974482"/>
      <w:bookmarkStart w:id="16" w:name="_Toc152042290"/>
      <w:bookmarkStart w:id="17" w:name="_Toc152045514"/>
      <w:bookmarkStart w:id="18" w:name="_Toc179632530"/>
    </w:p>
    <w:p>
      <w:pPr>
        <w:autoSpaceDE w:val="0"/>
        <w:autoSpaceDN w:val="0"/>
        <w:adjustRightInd w:val="0"/>
        <w:spacing w:line="420" w:lineRule="exact"/>
      </w:pPr>
      <w:r>
        <w:t>3. 投标人资格要求</w:t>
      </w:r>
      <w:bookmarkEnd w:id="15"/>
      <w:bookmarkEnd w:id="16"/>
      <w:bookmarkEnd w:id="17"/>
      <w:bookmarkEnd w:id="18"/>
    </w:p>
    <w:p>
      <w:pPr>
        <w:autoSpaceDE w:val="0"/>
        <w:autoSpaceDN w:val="0"/>
        <w:adjustRightInd w:val="0"/>
        <w:spacing w:line="420" w:lineRule="exact"/>
        <w:jc w:val="left"/>
        <w:rPr>
          <w:rFonts w:ascii="宋体" w:hAnsi="宋体" w:cs="仿宋_GB2312"/>
          <w:kern w:val="0"/>
          <w:sz w:val="22"/>
          <w:szCs w:val="22"/>
        </w:rPr>
      </w:pPr>
      <w:bookmarkStart w:id="19" w:name="_Toc152042291"/>
      <w:bookmarkStart w:id="20" w:name="_Toc144974483"/>
      <w:bookmarkStart w:id="21" w:name="_Toc152045515"/>
      <w:bookmarkStart w:id="22" w:name="_Toc179632531"/>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rPr>
        <w:t>。</w:t>
      </w:r>
    </w:p>
    <w:p>
      <w:pPr>
        <w:autoSpaceDE w:val="0"/>
        <w:autoSpaceDN w:val="0"/>
        <w:adjustRightInd w:val="0"/>
        <w:spacing w:line="420" w:lineRule="exact"/>
        <w:jc w:val="left"/>
        <w:rPr>
          <w:rFonts w:hint="default" w:ascii="宋体" w:hAnsi="宋体" w:cs="仿宋_GB2312" w:eastAsiaTheme="minorEastAsia"/>
          <w:kern w:val="0"/>
          <w:sz w:val="22"/>
          <w:szCs w:val="22"/>
          <w:lang w:val="en-US" w:eastAsia="zh-CN"/>
        </w:rPr>
      </w:pPr>
      <w:r>
        <w:rPr>
          <w:rFonts w:hint="eastAsia" w:ascii="宋体" w:hAnsi="宋体" w:cs="仿宋_GB2312"/>
          <w:kern w:val="0"/>
          <w:sz w:val="22"/>
          <w:szCs w:val="22"/>
        </w:rPr>
        <w:t>3.2 投标人须具备行业行政主管部门核发的建筑工程施工总承包三级及以上资质</w:t>
      </w:r>
      <w:r>
        <w:rPr>
          <w:rFonts w:hint="eastAsia" w:ascii="宋体" w:hAnsi="宋体" w:cs="仿宋_GB2312"/>
          <w:kern w:val="0"/>
          <w:sz w:val="22"/>
          <w:szCs w:val="22"/>
          <w:lang w:val="en-US" w:eastAsia="zh-CN"/>
        </w:rPr>
        <w:t>或防水防腐保温工程专业总承包壹级</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宋体" w:hAnsi="宋体" w:cs="仿宋_GB2312"/>
          <w:kern w:val="0"/>
          <w:sz w:val="22"/>
          <w:szCs w:val="22"/>
        </w:rPr>
        <w:t>。</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3.5 本项目不接受联合体投标。</w:t>
      </w:r>
    </w:p>
    <w:p>
      <w:pPr>
        <w:pStyle w:val="28"/>
      </w:pPr>
      <w:r>
        <w:t>4. 招标文件的获取</w:t>
      </w:r>
      <w:bookmarkEnd w:id="19"/>
      <w:bookmarkEnd w:id="20"/>
      <w:bookmarkEnd w:id="21"/>
      <w:bookmarkEnd w:id="22"/>
    </w:p>
    <w:p>
      <w:pPr>
        <w:tabs>
          <w:tab w:val="left" w:pos="360"/>
        </w:tabs>
        <w:spacing w:line="400" w:lineRule="exact"/>
        <w:rPr>
          <w:rFonts w:hint="default" w:eastAsiaTheme="minorEastAsia"/>
          <w:szCs w:val="21"/>
          <w:lang w:val="en-US" w:eastAsia="zh-CN"/>
        </w:rPr>
      </w:pPr>
      <w:r>
        <w:rPr>
          <w:szCs w:val="21"/>
        </w:rPr>
        <w:t>4.1</w:t>
      </w:r>
      <w:r>
        <w:rPr>
          <w:rFonts w:hint="eastAsia"/>
          <w:szCs w:val="21"/>
        </w:rPr>
        <w:t xml:space="preserve"> 凡有意参加投标者，</w:t>
      </w:r>
      <w:r>
        <w:rPr>
          <w:rFonts w:hint="eastAsia"/>
          <w:szCs w:val="21"/>
          <w:lang w:val="en-US" w:eastAsia="zh-CN"/>
        </w:rPr>
        <w:t>详见金隅冀东阳光采购平台公告。</w:t>
      </w:r>
    </w:p>
    <w:p>
      <w:pPr>
        <w:pStyle w:val="28"/>
      </w:pPr>
      <w:bookmarkStart w:id="23" w:name="_Toc144974484"/>
      <w:bookmarkStart w:id="24" w:name="_Toc152045516"/>
      <w:bookmarkStart w:id="25" w:name="_Toc152042292"/>
      <w:bookmarkStart w:id="26" w:name="_Toc179632532"/>
      <w:r>
        <w:t>5. 投标文件的递交</w:t>
      </w:r>
      <w:bookmarkEnd w:id="23"/>
      <w:bookmarkEnd w:id="24"/>
      <w:bookmarkEnd w:id="25"/>
      <w:bookmarkEnd w:id="26"/>
    </w:p>
    <w:p>
      <w:pPr>
        <w:tabs>
          <w:tab w:val="left" w:pos="360"/>
        </w:tabs>
        <w:spacing w:line="400" w:lineRule="exact"/>
        <w:rPr>
          <w:rFonts w:hint="default" w:eastAsiaTheme="minorEastAsia"/>
          <w:szCs w:val="21"/>
          <w:lang w:val="en-US" w:eastAsia="zh-CN"/>
        </w:rPr>
      </w:pPr>
      <w:bookmarkStart w:id="27" w:name="_Toc144974495"/>
      <w:bookmarkStart w:id="28" w:name="_Toc152045527"/>
      <w:bookmarkStart w:id="29" w:name="_Toc152042303"/>
      <w:bookmarkStart w:id="30" w:name="_Toc179632544"/>
      <w:r>
        <w:rPr>
          <w:rFonts w:hint="eastAsia"/>
          <w:szCs w:val="21"/>
          <w:lang w:val="en-US" w:eastAsia="zh-CN"/>
        </w:rPr>
        <w:t>金隅冀东阳光采购平台招标。</w:t>
      </w:r>
    </w:p>
    <w:p>
      <w:pPr>
        <w:rPr>
          <w:rFonts w:ascii="黑体" w:hAnsi="黑体" w:eastAsia="黑体"/>
          <w:sz w:val="32"/>
        </w:rPr>
      </w:pPr>
    </w:p>
    <w:p>
      <w:pPr>
        <w:pStyle w:val="20"/>
        <w:rPr>
          <w:rFonts w:ascii="黑体" w:hAnsi="黑体" w:eastAsia="黑体"/>
          <w:sz w:val="32"/>
        </w:rPr>
      </w:pPr>
    </w:p>
    <w:p>
      <w:pPr>
        <w:pStyle w:val="20"/>
        <w:rPr>
          <w:rFonts w:ascii="黑体" w:hAnsi="黑体" w:eastAsia="黑体"/>
          <w:sz w:val="32"/>
        </w:rPr>
      </w:pP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8"/>
      </w:pPr>
      <w:bookmarkStart w:id="31" w:name="_Toc179632545"/>
      <w:bookmarkStart w:id="32" w:name="_Toc144974496"/>
      <w:bookmarkStart w:id="33" w:name="_Toc152045528"/>
      <w:bookmarkStart w:id="34" w:name="_Toc152042304"/>
      <w:r>
        <w:rPr>
          <w:rFonts w:hint="eastAsia"/>
        </w:rPr>
        <w:t>投标人须知前附表</w:t>
      </w:r>
      <w:bookmarkEnd w:id="31"/>
      <w:bookmarkEnd w:id="32"/>
      <w:bookmarkEnd w:id="33"/>
      <w:bookmarkEnd w:id="34"/>
    </w:p>
    <w:tbl>
      <w:tblPr>
        <w:tblStyle w:val="22"/>
        <w:tblW w:w="9280" w:type="dxa"/>
        <w:tblInd w:w="0" w:type="dxa"/>
        <w:tblLayout w:type="fixed"/>
        <w:tblCellMar>
          <w:top w:w="0" w:type="dxa"/>
          <w:left w:w="108" w:type="dxa"/>
          <w:bottom w:w="0" w:type="dxa"/>
          <w:right w:w="108" w:type="dxa"/>
        </w:tblCellMar>
      </w:tblPr>
      <w:tblGrid>
        <w:gridCol w:w="675"/>
        <w:gridCol w:w="2685"/>
        <w:gridCol w:w="5920"/>
      </w:tblGrid>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b/>
                <w:szCs w:val="21"/>
              </w:rPr>
            </w:pPr>
            <w:r>
              <w:rPr>
                <w:rFonts w:hint="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  款  名  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  列  内  容</w:t>
            </w:r>
          </w:p>
        </w:tc>
      </w:tr>
      <w:tr>
        <w:tblPrEx>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名称：</w:t>
            </w:r>
            <w:r>
              <w:rPr>
                <w:rFonts w:hint="eastAsia"/>
                <w:szCs w:val="21"/>
              </w:rPr>
              <w:t>冀东海天水泥闻喜有限责任公司</w:t>
            </w:r>
          </w:p>
        </w:tc>
      </w:tr>
      <w:tr>
        <w:tblPrEx>
          <w:tblCellMar>
            <w:top w:w="0" w:type="dxa"/>
            <w:left w:w="108" w:type="dxa"/>
            <w:bottom w:w="0" w:type="dxa"/>
            <w:right w:w="108" w:type="dxa"/>
          </w:tblCellMar>
        </w:tblPrEx>
        <w:trPr>
          <w:trHeight w:val="2303"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招标人信息</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名称：冀东海天水泥闻喜有限责任公司</w:t>
            </w:r>
          </w:p>
          <w:p>
            <w:pPr>
              <w:adjustRightInd w:val="0"/>
              <w:spacing w:line="440" w:lineRule="exact"/>
              <w:textAlignment w:val="baseline"/>
              <w:rPr>
                <w:szCs w:val="21"/>
              </w:rPr>
            </w:pPr>
            <w:r>
              <w:rPr>
                <w:rFonts w:hint="eastAsia"/>
                <w:szCs w:val="21"/>
              </w:rPr>
              <w:t>地址：山西省运城市闻喜县东镇西阳村村西</w:t>
            </w:r>
          </w:p>
          <w:p>
            <w:pPr>
              <w:adjustRightInd w:val="0"/>
              <w:spacing w:line="440" w:lineRule="exact"/>
              <w:textAlignment w:val="baseline"/>
              <w:rPr>
                <w:szCs w:val="21"/>
              </w:rPr>
            </w:pPr>
            <w:r>
              <w:rPr>
                <w:rFonts w:hint="eastAsia"/>
                <w:szCs w:val="21"/>
              </w:rPr>
              <w:t>技术部分：张艳</w:t>
            </w:r>
            <w:r>
              <w:rPr>
                <w:szCs w:val="21"/>
              </w:rPr>
              <w:t>18636306880</w:t>
            </w:r>
          </w:p>
          <w:p>
            <w:pPr>
              <w:adjustRightInd w:val="0"/>
              <w:spacing w:line="440" w:lineRule="exact"/>
              <w:textAlignment w:val="baseline"/>
              <w:rPr>
                <w:szCs w:val="21"/>
              </w:rPr>
            </w:pPr>
            <w:r>
              <w:rPr>
                <w:rFonts w:hint="eastAsia"/>
                <w:szCs w:val="21"/>
              </w:rPr>
              <w:t>商务部分：乔琳宏1</w:t>
            </w:r>
            <w:r>
              <w:rPr>
                <w:szCs w:val="21"/>
              </w:rPr>
              <w:t>3466922302</w:t>
            </w:r>
          </w:p>
          <w:p>
            <w:pPr>
              <w:adjustRightInd w:val="0"/>
              <w:spacing w:line="440" w:lineRule="exact"/>
              <w:textAlignment w:val="baseline"/>
              <w:rPr>
                <w:szCs w:val="21"/>
              </w:rPr>
            </w:pPr>
            <w:r>
              <w:rPr>
                <w:rFonts w:hint="eastAsia"/>
                <w:szCs w:val="21"/>
              </w:rPr>
              <w:t>电子邮件：</w:t>
            </w:r>
            <w:r>
              <w:rPr>
                <w:szCs w:val="21"/>
              </w:rPr>
              <w:t>418554644</w:t>
            </w:r>
            <w:r>
              <w:rPr>
                <w:rFonts w:hint="eastAsia"/>
                <w:szCs w:val="21"/>
              </w:rPr>
              <w:t>@qq.com</w:t>
            </w:r>
          </w:p>
        </w:tc>
      </w:tr>
      <w:tr>
        <w:tblPrEx>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项目名称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szCs w:val="21"/>
                <w:lang w:eastAsia="zh-CN"/>
              </w:rPr>
            </w:pPr>
            <w:r>
              <w:rPr>
                <w:rFonts w:hint="eastAsia"/>
                <w:szCs w:val="21"/>
                <w:lang w:eastAsia="zh-CN"/>
              </w:rPr>
              <w:t>熟料工序保温修复施工</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建设地点</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资金来源</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企业自筹</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出资比例</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100%</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资金</w:t>
            </w:r>
            <w:r>
              <w:rPr>
                <w:szCs w:val="21"/>
              </w:rPr>
              <w:t>落实情况</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已落实</w:t>
            </w:r>
          </w:p>
        </w:tc>
      </w:tr>
      <w:tr>
        <w:tblPrEx>
          <w:tblCellMar>
            <w:top w:w="0" w:type="dxa"/>
            <w:left w:w="108" w:type="dxa"/>
            <w:bottom w:w="0" w:type="dxa"/>
            <w:right w:w="108" w:type="dxa"/>
          </w:tblCellMar>
        </w:tblPrEx>
        <w:trPr>
          <w:trHeight w:val="229"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招标范围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rPr>
              <w:t>工程量清单包含的全部内容详见工程量清单</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计划工期</w:t>
            </w:r>
          </w:p>
        </w:tc>
        <w:tc>
          <w:tcPr>
            <w:tcW w:w="5920"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szCs w:val="21"/>
              </w:rPr>
            </w:pPr>
            <w:r>
              <w:rPr>
                <w:rFonts w:hint="eastAsia"/>
                <w:szCs w:val="21"/>
                <w:lang w:val="en-US" w:eastAsia="zh-CN"/>
              </w:rPr>
              <w:t>20</w:t>
            </w:r>
            <w:r>
              <w:rPr>
                <w:rFonts w:hint="eastAsia"/>
                <w:szCs w:val="21"/>
              </w:rPr>
              <w:t>天</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质量标准：合格</w:t>
            </w:r>
          </w:p>
        </w:tc>
      </w:tr>
      <w:tr>
        <w:tblPrEx>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投标人资质条件、能力和信誉</w:t>
            </w:r>
          </w:p>
        </w:tc>
        <w:tc>
          <w:tcPr>
            <w:tcW w:w="5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imes New Roman" w:eastAsia="Times New Roman"/>
              </w:rPr>
            </w:pPr>
            <w:r>
              <w:rPr>
                <w:rFonts w:hint="eastAsia" w:ascii="宋体" w:hAnsi="宋体" w:cs="仿宋_GB2312"/>
                <w:kern w:val="0"/>
                <w:sz w:val="22"/>
                <w:szCs w:val="22"/>
              </w:rPr>
              <w:t>3</w:t>
            </w:r>
            <w:r>
              <w:rPr>
                <w:rFonts w:hint="eastAsia" w:ascii="Times New Roman" w:eastAsia="Times New Roman"/>
              </w:rPr>
              <w:t xml:space="preserve">.1 </w:t>
            </w:r>
            <w:r>
              <w:rPr>
                <w:rFonts w:hint="eastAsia" w:ascii="宋体" w:hAnsi="宋体" w:eastAsia="宋体" w:cs="宋体"/>
              </w:rPr>
              <w:t>投标人应具有中华人民共和国独立法人资格。</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3.2 </w:t>
            </w:r>
            <w:r>
              <w:rPr>
                <w:rFonts w:hint="eastAsia" w:ascii="宋体" w:hAnsi="宋体" w:eastAsia="宋体" w:cs="宋体"/>
              </w:rPr>
              <w:t>投标人须具备行业行政主管部门核发的</w:t>
            </w:r>
            <w:r>
              <w:rPr>
                <w:rFonts w:hint="eastAsia" w:ascii="Times New Roman" w:eastAsia="Times New Roman"/>
              </w:rPr>
              <w:t xml:space="preserve"> </w:t>
            </w:r>
          </w:p>
          <w:p>
            <w:pPr>
              <w:autoSpaceDE w:val="0"/>
              <w:autoSpaceDN w:val="0"/>
              <w:adjustRightInd w:val="0"/>
              <w:spacing w:line="420" w:lineRule="exact"/>
              <w:jc w:val="left"/>
              <w:rPr>
                <w:rFonts w:ascii="Times New Roman" w:eastAsia="Times New Roman"/>
              </w:rPr>
            </w:pPr>
            <w:r>
              <w:rPr>
                <w:rFonts w:hint="eastAsia" w:ascii="Times New Roman" w:eastAsia="Times New Roman"/>
              </w:rPr>
              <w:t>1</w:t>
            </w:r>
            <w:r>
              <w:rPr>
                <w:rFonts w:hint="eastAsia" w:ascii="宋体" w:hAnsi="宋体" w:eastAsia="宋体" w:cs="宋体"/>
              </w:rPr>
              <w:t>）建筑工程施工总承包三级及以上资质</w:t>
            </w:r>
            <w:r>
              <w:rPr>
                <w:rFonts w:hint="eastAsia" w:ascii="宋体" w:hAnsi="宋体" w:eastAsia="宋体" w:cs="宋体"/>
                <w:lang w:eastAsia="zh-CN"/>
              </w:rPr>
              <w:t>，</w:t>
            </w:r>
            <w:r>
              <w:rPr>
                <w:rFonts w:hint="eastAsia" w:ascii="宋体" w:hAnsi="宋体" w:cs="仿宋_GB2312"/>
                <w:kern w:val="0"/>
                <w:sz w:val="22"/>
                <w:szCs w:val="22"/>
                <w:lang w:val="en-US" w:eastAsia="zh-CN"/>
              </w:rPr>
              <w:t>或防水防腐保温工程专业总承包壹级</w:t>
            </w:r>
            <w:r>
              <w:rPr>
                <w:rFonts w:hint="eastAsia" w:ascii="Times New Roman" w:eastAsia="Times New Roman"/>
              </w:rPr>
              <w:t xml:space="preserve"> </w:t>
            </w:r>
            <w:r>
              <w:rPr>
                <w:rFonts w:hint="eastAsia" w:ascii="宋体" w:hAnsi="宋体" w:eastAsia="宋体" w:cs="宋体"/>
              </w:rPr>
              <w:t>；</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3.3 </w:t>
            </w:r>
            <w:r>
              <w:rPr>
                <w:rFonts w:hint="eastAsia" w:ascii="宋体" w:hAnsi="宋体" w:eastAsia="宋体" w:cs="宋体"/>
              </w:rPr>
              <w:t>具有有效的安全生产许可证；</w:t>
            </w:r>
          </w:p>
          <w:p>
            <w:pPr>
              <w:autoSpaceDE w:val="0"/>
              <w:autoSpaceDN w:val="0"/>
              <w:adjustRightInd w:val="0"/>
              <w:spacing w:line="420" w:lineRule="exact"/>
              <w:jc w:val="left"/>
            </w:pPr>
            <w:r>
              <w:rPr>
                <w:rFonts w:hint="eastAsia" w:ascii="宋体" w:hAnsi="宋体" w:cs="仿宋_GB2312"/>
                <w:kern w:val="0"/>
                <w:sz w:val="22"/>
                <w:szCs w:val="22"/>
              </w:rPr>
              <w:t xml:space="preserve">3.4 </w:t>
            </w:r>
            <w:r>
              <w:rPr>
                <w:rFonts w:hint="eastAsia" w:ascii="宋体" w:hAnsi="宋体" w:eastAsia="宋体" w:cs="宋体"/>
              </w:rPr>
              <w:t>拟派项目经理须具备</w:t>
            </w:r>
            <w:r>
              <w:rPr>
                <w:rFonts w:hint="eastAsia" w:ascii="Times New Roman" w:eastAsia="宋体"/>
              </w:rPr>
              <w:t>相关专业二</w:t>
            </w:r>
            <w:r>
              <w:rPr>
                <w:rFonts w:hint="eastAsia" w:ascii="宋体" w:hAnsi="宋体" w:eastAsia="宋体" w:cs="宋体"/>
              </w:rPr>
              <w:t>级</w:t>
            </w:r>
            <w:r>
              <w:rPr>
                <w:rFonts w:hint="eastAsia" w:ascii="Times New Roman" w:eastAsia="宋体"/>
              </w:rPr>
              <w:t>及以上</w:t>
            </w:r>
            <w:r>
              <w:rPr>
                <w:rFonts w:hint="eastAsia" w:ascii="宋体" w:hAnsi="宋体" w:eastAsia="宋体" w:cs="宋体"/>
              </w:rPr>
              <w:t>注册建造师资质，且具备有效的安全生产考核合格证书（</w:t>
            </w:r>
            <w:r>
              <w:rPr>
                <w:rFonts w:hint="eastAsia" w:ascii="Times New Roman" w:eastAsia="Times New Roman"/>
              </w:rPr>
              <w:t>B</w:t>
            </w:r>
            <w:r>
              <w:rPr>
                <w:rFonts w:hint="eastAsia" w:ascii="宋体" w:hAnsi="宋体" w:eastAsia="宋体" w:cs="宋体"/>
              </w:rPr>
              <w:t>证）</w:t>
            </w:r>
            <w:r>
              <w:rPr>
                <w:rFonts w:hint="eastAsia" w:ascii="宋体" w:hAnsi="宋体" w:cs="仿宋_GB2312"/>
                <w:kern w:val="0"/>
                <w:sz w:val="22"/>
                <w:szCs w:val="22"/>
              </w:rPr>
              <w:t>。</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是否接受联合体投标</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不接受</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踏勘</w:t>
            </w:r>
            <w:r>
              <w:rPr>
                <w:rFonts w:hint="eastAsia"/>
                <w:szCs w:val="21"/>
              </w:rPr>
              <w:t>现场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Theme="minorEastAsia"/>
                <w:szCs w:val="21"/>
                <w:lang w:val="en-US" w:eastAsia="zh-CN"/>
              </w:rPr>
            </w:pPr>
            <w:r>
              <w:rPr>
                <w:rFonts w:hint="eastAsia"/>
                <w:szCs w:val="21"/>
              </w:rPr>
              <w:t>组织</w:t>
            </w:r>
            <w:r>
              <w:rPr>
                <w:rFonts w:hint="eastAsia"/>
                <w:szCs w:val="21"/>
                <w:lang w:eastAsia="zh-CN"/>
              </w:rPr>
              <w:t>，</w:t>
            </w:r>
            <w:r>
              <w:rPr>
                <w:rFonts w:hint="eastAsia"/>
                <w:szCs w:val="21"/>
                <w:lang w:val="en-US" w:eastAsia="zh-CN"/>
              </w:rPr>
              <w:t>未踏勘现场投标无效</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投标预备会</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w:t>
            </w:r>
            <w:r>
              <w:rPr>
                <w:rFonts w:ascii="Times New Roman"/>
                <w:szCs w:val="21"/>
              </w:rPr>
              <w:t>召开</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投标人提出问题的截止时间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Theme="minorEastAsia"/>
                <w:szCs w:val="21"/>
                <w:lang w:val="en-US" w:eastAsia="zh-CN"/>
              </w:rPr>
            </w:pPr>
            <w:r>
              <w:rPr>
                <w:rFonts w:hint="eastAsia"/>
                <w:szCs w:val="21"/>
                <w:lang w:val="en-US" w:eastAsia="zh-CN"/>
              </w:rPr>
              <w:t>金隅冀东阳光采购平台报名截止时间</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分包</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偏离</w:t>
            </w:r>
          </w:p>
        </w:tc>
        <w:tc>
          <w:tcPr>
            <w:tcW w:w="5920" w:type="dxa"/>
            <w:tcBorders>
              <w:top w:val="single" w:color="auto" w:sz="4" w:space="0"/>
              <w:left w:val="single" w:color="auto" w:sz="4" w:space="0"/>
              <w:bottom w:val="single" w:color="auto" w:sz="4" w:space="0"/>
              <w:right w:val="single" w:color="auto" w:sz="4" w:space="0"/>
            </w:tcBorders>
            <w:vAlign w:val="center"/>
          </w:tcPr>
          <w:p>
            <w:pPr>
              <w:rPr>
                <w:rFonts w:ascii="Times New Roman"/>
                <w:szCs w:val="21"/>
              </w:rPr>
            </w:pPr>
            <w:r>
              <w:rPr>
                <w:rFonts w:hint="eastAsia" w:ascii="Times New Roman"/>
                <w:szCs w:val="21"/>
              </w:rPr>
              <w:t>不允许</w:t>
            </w:r>
          </w:p>
        </w:tc>
      </w:tr>
      <w:tr>
        <w:tblPrEx>
          <w:tblCellMar>
            <w:top w:w="0" w:type="dxa"/>
            <w:left w:w="108" w:type="dxa"/>
            <w:bottom w:w="0" w:type="dxa"/>
            <w:right w:w="108" w:type="dxa"/>
          </w:tblCellMar>
        </w:tblPrEx>
        <w:trPr>
          <w:trHeight w:val="32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构成招标文件的其他材料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bCs/>
                <w:szCs w:val="21"/>
              </w:rPr>
            </w:pPr>
            <w:r>
              <w:rPr>
                <w:b/>
                <w:bCs/>
                <w:szCs w:val="21"/>
              </w:rPr>
              <w:t>投标截止时间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b/>
                <w:bCs/>
                <w:szCs w:val="21"/>
                <w:lang w:eastAsia="zh-CN"/>
              </w:rPr>
            </w:pPr>
            <w:r>
              <w:rPr>
                <w:rFonts w:hint="eastAsia"/>
                <w:szCs w:val="21"/>
                <w:highlight w:val="yellow"/>
                <w:lang w:val="en-US" w:eastAsia="zh-CN"/>
              </w:rPr>
              <w:t>详见</w:t>
            </w:r>
            <w:r>
              <w:rPr>
                <w:rFonts w:hint="eastAsia"/>
                <w:szCs w:val="21"/>
                <w:lang w:val="en-US" w:eastAsia="zh-CN"/>
              </w:rPr>
              <w:t>金隅冀东阳光采购平台</w:t>
            </w:r>
          </w:p>
        </w:tc>
      </w:tr>
      <w:tr>
        <w:tblPrEx>
          <w:tblCellMar>
            <w:top w:w="0" w:type="dxa"/>
            <w:left w:w="108" w:type="dxa"/>
            <w:bottom w:w="0" w:type="dxa"/>
            <w:right w:w="108" w:type="dxa"/>
          </w:tblCellMar>
        </w:tblPrEx>
        <w:trPr>
          <w:trHeight w:val="30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构成投标文件的其他材料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投标有效期</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自投标人提交投标文件截止之日起计算90天</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5920"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left"/>
              <w:rPr>
                <w:szCs w:val="21"/>
              </w:rPr>
            </w:pPr>
            <w:r>
              <w:rPr>
                <w:rFonts w:hint="eastAsia"/>
                <w:szCs w:val="21"/>
              </w:rPr>
              <w:t>投标保证金的金额：</w:t>
            </w:r>
            <w:r>
              <w:rPr>
                <w:rFonts w:hint="eastAsia"/>
                <w:szCs w:val="21"/>
                <w:lang w:val="en-US" w:eastAsia="zh-CN"/>
              </w:rPr>
              <w:t>20000.00</w:t>
            </w:r>
            <w:r>
              <w:rPr>
                <w:rFonts w:hint="eastAsia"/>
                <w:b/>
                <w:bCs/>
                <w:szCs w:val="21"/>
              </w:rPr>
              <w:t>元</w:t>
            </w:r>
            <w:r>
              <w:rPr>
                <w:rFonts w:hint="eastAsia"/>
                <w:szCs w:val="21"/>
              </w:rPr>
              <w:t>；</w:t>
            </w:r>
          </w:p>
          <w:p>
            <w:pPr>
              <w:pStyle w:val="21"/>
              <w:ind w:firstLine="0" w:firstLineChars="0"/>
              <w:rPr>
                <w:szCs w:val="21"/>
              </w:rPr>
            </w:pPr>
            <w:r>
              <w:rPr>
                <w:rFonts w:hint="eastAsia"/>
                <w:szCs w:val="21"/>
              </w:rPr>
              <w:t>投标保证金的形式：银行电汇或网银转账，投标保证金的递交截止时间为：</w:t>
            </w:r>
            <w:r>
              <w:rPr>
                <w:rFonts w:hint="eastAsia"/>
                <w:b/>
                <w:bCs/>
                <w:szCs w:val="21"/>
              </w:rPr>
              <w:t>投标截止时间前</w:t>
            </w:r>
            <w:r>
              <w:rPr>
                <w:rFonts w:hint="eastAsia"/>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ascii="仿宋_GB2312" w:hAnsi="宋体"/>
                <w:b/>
                <w:bCs/>
                <w:sz w:val="24"/>
              </w:rPr>
            </w:pPr>
            <w:r>
              <w:rPr>
                <w:rFonts w:hint="eastAsia" w:ascii="仿宋_GB2312" w:hAnsi="宋体"/>
                <w:b/>
                <w:bCs/>
                <w:sz w:val="24"/>
              </w:rPr>
              <w:t>开户名称：冀东海天水泥闻喜有限责任公司</w:t>
            </w:r>
          </w:p>
          <w:p>
            <w:pPr>
              <w:spacing w:line="440" w:lineRule="exact"/>
              <w:ind w:left="1445" w:leftChars="1" w:hanging="1443" w:hangingChars="599"/>
              <w:rPr>
                <w:rFonts w:ascii="仿宋" w:hAnsi="仿宋" w:eastAsia="仿宋" w:cs="宋体"/>
                <w:sz w:val="24"/>
              </w:rPr>
            </w:pPr>
            <w:r>
              <w:rPr>
                <w:rFonts w:hint="eastAsia" w:ascii="仿宋_GB2312" w:hAnsi="宋体"/>
                <w:b/>
                <w:bCs/>
                <w:sz w:val="24"/>
              </w:rPr>
              <w:t>开 户 行：</w:t>
            </w:r>
            <w:r>
              <w:rPr>
                <w:rFonts w:hint="eastAsia" w:ascii="仿宋" w:hAnsi="仿宋" w:eastAsia="仿宋" w:cs="宋体"/>
                <w:sz w:val="24"/>
              </w:rPr>
              <w:t>工行闻喜支行</w:t>
            </w:r>
          </w:p>
          <w:p>
            <w:pPr>
              <w:pStyle w:val="7"/>
              <w:ind w:firstLine="0"/>
            </w:pPr>
            <w:r>
              <w:rPr>
                <w:rFonts w:hint="eastAsia" w:hAnsi="宋体" w:eastAsiaTheme="minorEastAsia"/>
                <w:b/>
                <w:bCs/>
                <w:kern w:val="2"/>
                <w:sz w:val="24"/>
                <w:szCs w:val="24"/>
              </w:rPr>
              <w:t xml:space="preserve">账 </w:t>
            </w:r>
            <w:r>
              <w:rPr>
                <w:rFonts w:hAnsi="宋体" w:eastAsiaTheme="minorEastAsia"/>
                <w:b/>
                <w:bCs/>
                <w:kern w:val="2"/>
                <w:sz w:val="24"/>
                <w:szCs w:val="24"/>
              </w:rPr>
              <w:t xml:space="preserve">   </w:t>
            </w:r>
            <w:r>
              <w:rPr>
                <w:rFonts w:hint="eastAsia" w:hAnsi="宋体" w:eastAsiaTheme="minorEastAsia"/>
                <w:b/>
                <w:bCs/>
                <w:kern w:val="2"/>
                <w:sz w:val="24"/>
                <w:szCs w:val="24"/>
              </w:rPr>
              <w:t>号：</w:t>
            </w:r>
            <w:r>
              <w:rPr>
                <w:rFonts w:hint="eastAsia" w:hAnsi="宋体" w:eastAsiaTheme="minorEastAsia"/>
                <w:kern w:val="2"/>
                <w:szCs w:val="21"/>
              </w:rPr>
              <w:t>0</w:t>
            </w:r>
            <w:r>
              <w:rPr>
                <w:rFonts w:hAnsi="宋体" w:eastAsiaTheme="minorEastAsia"/>
                <w:kern w:val="2"/>
                <w:szCs w:val="21"/>
              </w:rPr>
              <w:t>511035419022132253</w:t>
            </w:r>
          </w:p>
          <w:p>
            <w:pPr>
              <w:adjustRightInd w:val="0"/>
              <w:spacing w:line="440" w:lineRule="exact"/>
              <w:textAlignment w:val="baseline"/>
              <w:rPr>
                <w:szCs w:val="21"/>
              </w:rPr>
            </w:pPr>
            <w:r>
              <w:rPr>
                <w:rFonts w:hint="eastAsia" w:ascii="仿宋_GB2312" w:hAnsi="宋体"/>
                <w:b/>
                <w:bCs/>
                <w:sz w:val="24"/>
              </w:rPr>
              <w:t>行    号：</w:t>
            </w:r>
            <w:r>
              <w:rPr>
                <w:rFonts w:ascii="仿宋" w:hAnsi="仿宋" w:eastAsia="仿宋" w:cs="宋体"/>
                <w:sz w:val="24"/>
              </w:rPr>
              <w:t>102181903541</w:t>
            </w:r>
          </w:p>
        </w:tc>
      </w:tr>
      <w:tr>
        <w:tblPrEx>
          <w:tblCellMar>
            <w:top w:w="0" w:type="dxa"/>
            <w:left w:w="108" w:type="dxa"/>
            <w:bottom w:w="0" w:type="dxa"/>
            <w:right w:w="108" w:type="dxa"/>
          </w:tblCellMar>
        </w:tblPrEx>
        <w:trPr>
          <w:trHeight w:val="36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近年财务状况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近年完成的类似项目</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2018年3月至今</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近年发生的诉讼及仲裁情况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是否允许</w:t>
            </w:r>
            <w:r>
              <w:rPr>
                <w:rFonts w:hint="eastAsia"/>
                <w:szCs w:val="21"/>
              </w:rPr>
              <w:t>递交备</w:t>
            </w:r>
            <w:r>
              <w:rPr>
                <w:szCs w:val="21"/>
              </w:rPr>
              <w:t>选投标方案</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签字或盖章要求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szCs w:val="21"/>
              </w:rPr>
              <w:t>投标文件中规定、要求加盖投标人印章或经法定代表人或其委托代理人签字或盖章的</w:t>
            </w:r>
          </w:p>
        </w:tc>
      </w:tr>
      <w:tr>
        <w:tblPrEx>
          <w:tblCellMar>
            <w:top w:w="0" w:type="dxa"/>
            <w:left w:w="108" w:type="dxa"/>
            <w:bottom w:w="0" w:type="dxa"/>
            <w:right w:w="108" w:type="dxa"/>
          </w:tblCellMar>
        </w:tblPrEx>
        <w:trPr>
          <w:trHeight w:val="26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投标文件份数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Theme="minorEastAsia"/>
                <w:szCs w:val="21"/>
                <w:lang w:val="en-US" w:eastAsia="zh-CN"/>
              </w:rPr>
            </w:pPr>
            <w:r>
              <w:rPr>
                <w:rFonts w:hint="eastAsia"/>
                <w:szCs w:val="21"/>
                <w:lang w:val="en-US" w:eastAsia="zh-CN"/>
              </w:rPr>
              <w:t>2份   1份商务标，1份技术标。</w:t>
            </w:r>
          </w:p>
        </w:tc>
      </w:tr>
      <w:tr>
        <w:tblPrEx>
          <w:tblCellMar>
            <w:top w:w="0" w:type="dxa"/>
            <w:left w:w="108" w:type="dxa"/>
            <w:bottom w:w="0" w:type="dxa"/>
            <w:right w:w="108" w:type="dxa"/>
          </w:tblCellMar>
        </w:tblPrEx>
        <w:trPr>
          <w:trHeight w:val="123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装订要求</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88" w:lineRule="auto"/>
              <w:rPr>
                <w:b/>
                <w:bCs/>
                <w:color w:val="000000"/>
              </w:rPr>
            </w:pPr>
            <w:r>
              <w:rPr>
                <w:rFonts w:hint="eastAsia"/>
                <w:b/>
                <w:bCs/>
                <w:color w:val="000000"/>
              </w:rPr>
              <w:t>1.价格标与商务技术标分册装订；</w:t>
            </w:r>
          </w:p>
          <w:p>
            <w:pPr>
              <w:adjustRightInd w:val="0"/>
              <w:spacing w:line="440" w:lineRule="exact"/>
              <w:textAlignment w:val="baseline"/>
              <w:rPr>
                <w:szCs w:val="21"/>
              </w:rPr>
            </w:pPr>
            <w:r>
              <w:rPr>
                <w:rFonts w:hint="eastAsia"/>
                <w:b/>
                <w:bCs/>
                <w:color w:val="000000"/>
              </w:rPr>
              <w:t>2.装订采用胶装方式装订，装订应装订应牢固、不易拆散和换页，否则投标文件按无效处理。</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封套上写明</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招标人的地址：</w:t>
            </w:r>
          </w:p>
          <w:p>
            <w:pPr>
              <w:adjustRightInd w:val="0"/>
              <w:spacing w:line="440" w:lineRule="exact"/>
              <w:textAlignment w:val="baseline"/>
              <w:rPr>
                <w:szCs w:val="21"/>
              </w:rPr>
            </w:pPr>
            <w:r>
              <w:rPr>
                <w:szCs w:val="21"/>
              </w:rPr>
              <w:t>招标人名称：</w:t>
            </w:r>
          </w:p>
          <w:p>
            <w:pPr>
              <w:adjustRightInd w:val="0"/>
              <w:spacing w:line="440" w:lineRule="exact"/>
              <w:textAlignment w:val="baseline"/>
              <w:rPr>
                <w:szCs w:val="21"/>
              </w:rPr>
            </w:pPr>
            <w:r>
              <w:rPr>
                <w:szCs w:val="21"/>
                <w:u w:val="single"/>
              </w:rPr>
              <w:t xml:space="preserve">            </w:t>
            </w:r>
            <w:r>
              <w:rPr>
                <w:rFonts w:hint="eastAsia"/>
                <w:szCs w:val="21"/>
                <w:u w:val="single"/>
              </w:rPr>
              <w:t xml:space="preserve"> </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标段投标文件</w:t>
            </w:r>
          </w:p>
          <w:p>
            <w:pPr>
              <w:adjustRightInd w:val="0"/>
              <w:spacing w:line="440" w:lineRule="exact"/>
              <w:textAlignment w:val="baseline"/>
              <w:rPr>
                <w:szCs w:val="21"/>
              </w:rPr>
            </w:pPr>
            <w:r>
              <w:rPr>
                <w:szCs w:val="21"/>
              </w:rPr>
              <w:t>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rFonts w:hint="eastAsia"/>
                <w:szCs w:val="21"/>
              </w:rPr>
              <w:t>分</w:t>
            </w:r>
            <w:r>
              <w:rPr>
                <w:szCs w:val="21"/>
              </w:rPr>
              <w:t>前不得开启</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递交投标文件地点</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宋体"/>
                <w:szCs w:val="21"/>
                <w:lang w:val="en-US" w:eastAsia="zh-CN"/>
              </w:rPr>
            </w:pPr>
            <w:r>
              <w:rPr>
                <w:rFonts w:hint="eastAsia" w:eastAsia="宋体"/>
                <w:szCs w:val="21"/>
                <w:lang w:val="en-US" w:eastAsia="zh-CN"/>
              </w:rPr>
              <w:t>金隅冀东阳光采购平台</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是否退还投标文件</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否</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5.1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开标时间和地点</w:t>
            </w:r>
          </w:p>
        </w:tc>
        <w:tc>
          <w:tcPr>
            <w:tcW w:w="5920" w:type="dxa"/>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szCs w:val="21"/>
              </w:rPr>
              <w:t>开标时间</w:t>
            </w:r>
            <w:r>
              <w:rPr>
                <w:rFonts w:hint="eastAsia"/>
                <w:szCs w:val="21"/>
              </w:rPr>
              <w:t>：</w:t>
            </w:r>
            <w:r>
              <w:rPr>
                <w:szCs w:val="21"/>
              </w:rPr>
              <w:t>同投标截止时间</w:t>
            </w:r>
          </w:p>
          <w:p>
            <w:pPr>
              <w:adjustRightInd w:val="0"/>
              <w:spacing w:line="440" w:lineRule="exact"/>
              <w:textAlignment w:val="baseline"/>
              <w:rPr>
                <w:szCs w:val="21"/>
              </w:rPr>
            </w:pPr>
            <w:r>
              <w:rPr>
                <w:szCs w:val="21"/>
              </w:rPr>
              <w:t>开标地点</w:t>
            </w:r>
            <w:r>
              <w:rPr>
                <w:rFonts w:hint="eastAsia"/>
                <w:szCs w:val="21"/>
              </w:rPr>
              <w:t>：</w:t>
            </w:r>
            <w:r>
              <w:rPr>
                <w:szCs w:val="21"/>
              </w:rPr>
              <w:t>同递交投标文件地点</w:t>
            </w:r>
          </w:p>
        </w:tc>
      </w:tr>
      <w:tr>
        <w:tblPrEx>
          <w:tblCellMar>
            <w:top w:w="0" w:type="dxa"/>
            <w:left w:w="108" w:type="dxa"/>
            <w:bottom w:w="0" w:type="dxa"/>
            <w:right w:w="108" w:type="dxa"/>
          </w:tblCellMar>
        </w:tblPrEx>
        <w:trPr>
          <w:trHeight w:val="916"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5.2</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开标程序</w:t>
            </w:r>
          </w:p>
        </w:tc>
        <w:tc>
          <w:tcPr>
            <w:tcW w:w="5920" w:type="dxa"/>
            <w:tcBorders>
              <w:top w:val="single" w:color="auto" w:sz="4" w:space="0"/>
              <w:left w:val="single" w:color="auto" w:sz="4" w:space="0"/>
              <w:right w:val="single" w:color="auto" w:sz="4" w:space="0"/>
            </w:tcBorders>
            <w:vAlign w:val="center"/>
          </w:tcPr>
          <w:p>
            <w:pPr>
              <w:spacing w:line="440" w:lineRule="exact"/>
              <w:rPr>
                <w:color w:val="000000"/>
              </w:rPr>
            </w:pPr>
            <w:r>
              <w:rPr>
                <w:rFonts w:hint="eastAsia"/>
                <w:color w:val="000000"/>
              </w:rPr>
              <w:t>密封情况检查：投标人或其推选的代表检查投标文件的密封。</w:t>
            </w:r>
          </w:p>
          <w:p>
            <w:pPr>
              <w:adjustRightInd w:val="0"/>
              <w:spacing w:line="440" w:lineRule="exact"/>
              <w:textAlignment w:val="baseline"/>
              <w:rPr>
                <w:szCs w:val="21"/>
              </w:rPr>
            </w:pPr>
            <w:r>
              <w:rPr>
                <w:rFonts w:hint="eastAsia"/>
                <w:color w:val="000000"/>
              </w:rPr>
              <w:t>开标顺序：签到的逆序。</w:t>
            </w:r>
          </w:p>
        </w:tc>
      </w:tr>
      <w:tr>
        <w:tblPrEx>
          <w:tblCellMar>
            <w:top w:w="0" w:type="dxa"/>
            <w:left w:w="108" w:type="dxa"/>
            <w:bottom w:w="0" w:type="dxa"/>
            <w:right w:w="108" w:type="dxa"/>
          </w:tblCellMar>
        </w:tblPrEx>
        <w:trPr>
          <w:trHeight w:val="1805"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6.1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评标委员会的组建</w:t>
            </w:r>
          </w:p>
        </w:tc>
        <w:tc>
          <w:tcPr>
            <w:tcW w:w="5920" w:type="dxa"/>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szCs w:val="21"/>
              </w:rPr>
              <w:t>评标委员会构成： 5人</w:t>
            </w:r>
          </w:p>
          <w:p>
            <w:pPr>
              <w:adjustRightInd w:val="0"/>
              <w:spacing w:line="440" w:lineRule="exact"/>
              <w:textAlignment w:val="baseline"/>
              <w:rPr>
                <w:szCs w:val="21"/>
              </w:rPr>
            </w:pPr>
          </w:p>
        </w:tc>
      </w:tr>
      <w:tr>
        <w:tblPrEx>
          <w:tblCellMar>
            <w:top w:w="0" w:type="dxa"/>
            <w:left w:w="108" w:type="dxa"/>
            <w:bottom w:w="0" w:type="dxa"/>
            <w:right w:w="108" w:type="dxa"/>
          </w:tblCellMar>
        </w:tblPrEx>
        <w:trPr>
          <w:trHeight w:val="445" w:hRule="atLeast"/>
        </w:trPr>
        <w:tc>
          <w:tcPr>
            <w:tcW w:w="928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b/>
                <w:szCs w:val="21"/>
              </w:rPr>
              <w:t>需要</w:t>
            </w:r>
            <w:r>
              <w:rPr>
                <w:b/>
                <w:szCs w:val="21"/>
              </w:rPr>
              <w:t>补充</w:t>
            </w:r>
            <w:r>
              <w:rPr>
                <w:rFonts w:hint="eastAsia"/>
                <w:b/>
                <w:szCs w:val="21"/>
              </w:rPr>
              <w:t>的其他</w:t>
            </w:r>
            <w:r>
              <w:rPr>
                <w:b/>
                <w:szCs w:val="21"/>
              </w:rPr>
              <w:t>内容</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color w:val="000000"/>
              </w:rPr>
              <w:t>中标公示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在中标通知书发出前，招标人将中标候选人的情况在本招标项目招标公告发布的同一地点予以公示，公示期不得少于3日。</w:t>
            </w:r>
          </w:p>
        </w:tc>
      </w:tr>
    </w:tbl>
    <w:p>
      <w:pPr>
        <w:pStyle w:val="28"/>
      </w:pPr>
      <w:bookmarkStart w:id="35" w:name="_Toc179632546"/>
      <w:bookmarkStart w:id="36" w:name="_Toc144974497"/>
      <w:bookmarkStart w:id="37" w:name="_Toc152045529"/>
      <w:bookmarkStart w:id="38" w:name="_Toc152042305"/>
      <w:r>
        <w:rPr>
          <w:rFonts w:hint="eastAsia"/>
        </w:rPr>
        <w:t>1. 总则</w:t>
      </w:r>
      <w:bookmarkEnd w:id="35"/>
      <w:bookmarkEnd w:id="36"/>
      <w:bookmarkEnd w:id="37"/>
      <w:bookmarkEnd w:id="38"/>
    </w:p>
    <w:p>
      <w:pPr>
        <w:pStyle w:val="29"/>
      </w:pPr>
      <w:bookmarkStart w:id="39" w:name="_Toc152042306"/>
      <w:bookmarkStart w:id="40" w:name="_Toc152045530"/>
      <w:bookmarkStart w:id="41" w:name="_Toc179632547"/>
      <w:bookmarkStart w:id="42" w:name="_Toc144974498"/>
      <w:r>
        <w:rPr>
          <w:rFonts w:hint="eastAsia"/>
        </w:rPr>
        <w:t>1.1 项目概况</w:t>
      </w:r>
      <w:bookmarkEnd w:id="39"/>
      <w:bookmarkEnd w:id="40"/>
      <w:bookmarkEnd w:id="41"/>
      <w:bookmarkEnd w:id="42"/>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1.1.4本标段建设地点：见投标人须知前附表</w:t>
      </w:r>
    </w:p>
    <w:p>
      <w:pPr>
        <w:pStyle w:val="29"/>
      </w:pPr>
      <w:bookmarkStart w:id="43" w:name="_Toc152042307"/>
      <w:bookmarkStart w:id="44" w:name="_Toc152045531"/>
      <w:bookmarkStart w:id="45" w:name="_Toc179632548"/>
      <w:bookmarkStart w:id="46" w:name="_Toc144974499"/>
      <w:r>
        <w:rPr>
          <w:rFonts w:hint="eastAsia"/>
        </w:rPr>
        <w:t>1.2 资金来源和落实情况</w:t>
      </w:r>
      <w:bookmarkEnd w:id="43"/>
      <w:bookmarkEnd w:id="44"/>
      <w:bookmarkEnd w:id="45"/>
      <w:bookmarkEnd w:id="46"/>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9"/>
      </w:pPr>
      <w:bookmarkStart w:id="47" w:name="_Toc152045532"/>
      <w:bookmarkStart w:id="48" w:name="_Toc179632549"/>
      <w:bookmarkStart w:id="49" w:name="_Toc152042308"/>
      <w:bookmarkStart w:id="50" w:name="_Toc144974500"/>
      <w:r>
        <w:rPr>
          <w:rFonts w:hint="eastAsia"/>
        </w:rPr>
        <w:t>1.3 招标范围、计划工期和质量要求</w:t>
      </w:r>
      <w:bookmarkEnd w:id="47"/>
      <w:bookmarkEnd w:id="48"/>
      <w:bookmarkEnd w:id="49"/>
      <w:bookmarkEnd w:id="50"/>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29"/>
      </w:pPr>
      <w:bookmarkStart w:id="51" w:name="_Toc152045534"/>
      <w:bookmarkStart w:id="52" w:name="_Toc152042310"/>
      <w:bookmarkStart w:id="53" w:name="_Toc179632551"/>
      <w:bookmarkStart w:id="54" w:name="_Toc144974502"/>
      <w:r>
        <w:rPr>
          <w:rFonts w:hint="eastAsia"/>
        </w:rPr>
        <w:t>1.4 投标人资格要求</w:t>
      </w:r>
      <w:bookmarkEnd w:id="51"/>
      <w:bookmarkEnd w:id="52"/>
      <w:bookmarkEnd w:id="53"/>
      <w:bookmarkEnd w:id="54"/>
    </w:p>
    <w:p>
      <w:pPr>
        <w:spacing w:line="400" w:lineRule="exact"/>
        <w:ind w:firstLine="420" w:firstLineChars="200"/>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（2）财务要求：见投标人须知前附表；</w:t>
      </w:r>
    </w:p>
    <w:p>
      <w:pPr>
        <w:spacing w:line="400" w:lineRule="exact"/>
        <w:ind w:firstLine="718" w:firstLineChars="342"/>
      </w:pPr>
      <w:r>
        <w:rPr>
          <w:rFonts w:hint="eastAsia"/>
        </w:rPr>
        <w:t>（3）业绩要求：见投标人须知前附表；</w:t>
      </w:r>
    </w:p>
    <w:p>
      <w:pPr>
        <w:spacing w:line="400" w:lineRule="exact"/>
        <w:ind w:firstLine="718" w:firstLineChars="342"/>
      </w:pPr>
      <w:r>
        <w:rPr>
          <w:rFonts w:hint="eastAsia"/>
        </w:rPr>
        <w:t>（4）信誉要求：见投标人须知前附表;</w:t>
      </w:r>
    </w:p>
    <w:p>
      <w:pPr>
        <w:spacing w:line="400" w:lineRule="exact"/>
        <w:ind w:firstLine="735" w:firstLineChars="350"/>
      </w:pPr>
      <w:r>
        <w:rPr>
          <w:rFonts w:hint="eastAsia"/>
        </w:rPr>
        <w:t>（5）项目经理资格：见投标人须知前附表；</w:t>
      </w:r>
    </w:p>
    <w:p>
      <w:pPr>
        <w:spacing w:line="400" w:lineRule="exact"/>
        <w:ind w:firstLine="735" w:firstLineChars="350"/>
      </w:pPr>
      <w:r>
        <w:rPr>
          <w:rFonts w:hint="eastAsia"/>
        </w:rPr>
        <w:t>（6）其他要求：见投标人须知前附表。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pPr>
      <w:r>
        <w:rPr>
          <w:rFonts w:hint="eastAsia"/>
        </w:rPr>
        <w:t>（1）联合体各方应按招标文件提供的格式签订联合体协议书，明确联合体牵头人和各方权利义务；</w:t>
      </w:r>
    </w:p>
    <w:p>
      <w:pPr>
        <w:spacing w:line="400" w:lineRule="exact"/>
        <w:ind w:firstLine="718" w:firstLineChars="342"/>
      </w:pPr>
      <w:r>
        <w:rPr>
          <w:rFonts w:hint="eastAsia"/>
        </w:rPr>
        <w:t xml:space="preserve">（2）由同一专业的单位组成的联合体，按照资质等级较低的单位确定资质等级； </w:t>
      </w:r>
    </w:p>
    <w:p>
      <w:pPr>
        <w:spacing w:line="400" w:lineRule="exact"/>
        <w:ind w:firstLine="718" w:firstLineChars="342"/>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718" w:firstLineChars="342"/>
      </w:pPr>
      <w:r>
        <w:rPr>
          <w:rFonts w:hint="eastAsia"/>
        </w:rPr>
        <w:t xml:space="preserve">（1）为招标人不具有独立法人资格的附属机构（单位）； </w:t>
      </w:r>
    </w:p>
    <w:p>
      <w:pPr>
        <w:spacing w:line="400" w:lineRule="exact"/>
        <w:ind w:firstLine="718" w:firstLineChars="342"/>
      </w:pPr>
      <w:r>
        <w:rPr>
          <w:rFonts w:hint="eastAsia"/>
        </w:rPr>
        <w:t>（2） 为本标段的监理人；</w:t>
      </w:r>
    </w:p>
    <w:p>
      <w:pPr>
        <w:spacing w:line="400" w:lineRule="exact"/>
        <w:ind w:firstLine="718" w:firstLineChars="342"/>
      </w:pPr>
      <w:r>
        <w:rPr>
          <w:rFonts w:hint="eastAsia"/>
        </w:rPr>
        <w:t>（3）为本标段的代建人；</w:t>
      </w:r>
    </w:p>
    <w:p>
      <w:pPr>
        <w:spacing w:line="400" w:lineRule="exact"/>
        <w:ind w:firstLine="718" w:firstLineChars="342"/>
      </w:pPr>
      <w:r>
        <w:rPr>
          <w:rFonts w:hint="eastAsia"/>
        </w:rPr>
        <w:t>（4） 与本标段的监理人为一个法定代表人的；</w:t>
      </w:r>
    </w:p>
    <w:p>
      <w:pPr>
        <w:spacing w:line="400" w:lineRule="exact"/>
        <w:ind w:firstLine="718" w:firstLineChars="342"/>
      </w:pPr>
      <w:r>
        <w:rPr>
          <w:rFonts w:hint="eastAsia"/>
        </w:rPr>
        <w:t>（</w:t>
      </w:r>
      <w:r>
        <w:t>5</w:t>
      </w:r>
      <w:r>
        <w:rPr>
          <w:rFonts w:hint="eastAsia"/>
        </w:rPr>
        <w:t>）与本标段的监理人或代建人相互控股或参股的；</w:t>
      </w:r>
    </w:p>
    <w:p>
      <w:pPr>
        <w:spacing w:line="400" w:lineRule="exact"/>
        <w:ind w:firstLine="718" w:firstLineChars="342"/>
      </w:pPr>
      <w:r>
        <w:rPr>
          <w:rFonts w:hint="eastAsia"/>
        </w:rPr>
        <w:t>（</w:t>
      </w:r>
      <w:r>
        <w:t>6</w:t>
      </w:r>
      <w:r>
        <w:rPr>
          <w:rFonts w:hint="eastAsia"/>
        </w:rPr>
        <w:t>）与本标段的监理人或代建人相互任职或工作的；</w:t>
      </w:r>
    </w:p>
    <w:p>
      <w:pPr>
        <w:spacing w:line="400" w:lineRule="exact"/>
        <w:ind w:firstLine="718" w:firstLineChars="342"/>
      </w:pPr>
      <w:r>
        <w:rPr>
          <w:rFonts w:hint="eastAsia"/>
        </w:rPr>
        <w:t>（</w:t>
      </w:r>
      <w:r>
        <w:t>7</w:t>
      </w:r>
      <w:r>
        <w:rPr>
          <w:rFonts w:hint="eastAsia"/>
        </w:rPr>
        <w:t xml:space="preserve">）被责令停业的； </w:t>
      </w:r>
    </w:p>
    <w:p>
      <w:pPr>
        <w:spacing w:line="400" w:lineRule="exact"/>
        <w:ind w:firstLine="718" w:firstLineChars="342"/>
      </w:pPr>
      <w:r>
        <w:rPr>
          <w:rFonts w:hint="eastAsia"/>
        </w:rPr>
        <w:t>（</w:t>
      </w:r>
      <w:r>
        <w:t>8</w:t>
      </w:r>
      <w:r>
        <w:rPr>
          <w:rFonts w:hint="eastAsia"/>
        </w:rPr>
        <w:t xml:space="preserve">）被暂停或取消投标资格的； </w:t>
      </w:r>
    </w:p>
    <w:p>
      <w:pPr>
        <w:spacing w:line="400" w:lineRule="exact"/>
        <w:ind w:firstLine="718" w:firstLineChars="342"/>
      </w:pPr>
      <w:r>
        <w:rPr>
          <w:rFonts w:hint="eastAsia"/>
        </w:rPr>
        <w:t>（</w:t>
      </w:r>
      <w:r>
        <w:t>9</w:t>
      </w:r>
      <w:r>
        <w:rPr>
          <w:rFonts w:hint="eastAsia"/>
        </w:rPr>
        <w:t>）财产被接管或冻结的；</w:t>
      </w:r>
    </w:p>
    <w:p>
      <w:pPr>
        <w:spacing w:line="400" w:lineRule="exact"/>
        <w:ind w:firstLine="718" w:firstLineChars="342"/>
      </w:pPr>
      <w:r>
        <w:rPr>
          <w:rFonts w:hint="eastAsia"/>
        </w:rPr>
        <w:t>（1</w:t>
      </w:r>
      <w:r>
        <w:t>0</w:t>
      </w:r>
      <w:r>
        <w:rPr>
          <w:rFonts w:hint="eastAsia"/>
        </w:rPr>
        <w:t>）在最近三年内有骗取中标或严重违约或重大工程质量问题的。</w:t>
      </w:r>
    </w:p>
    <w:p>
      <w:pPr>
        <w:pStyle w:val="29"/>
      </w:pPr>
      <w:bookmarkStart w:id="55" w:name="_Toc152045535"/>
      <w:bookmarkStart w:id="56" w:name="_Toc152042311"/>
      <w:bookmarkStart w:id="57" w:name="_Toc144974503"/>
      <w:bookmarkStart w:id="58" w:name="_Toc179632552"/>
      <w:r>
        <w:rPr>
          <w:rFonts w:hint="eastAsia"/>
        </w:rPr>
        <w:t>1.5 费用承担</w:t>
      </w:r>
      <w:bookmarkEnd w:id="55"/>
      <w:bookmarkEnd w:id="56"/>
      <w:bookmarkEnd w:id="57"/>
      <w:bookmarkEnd w:id="58"/>
    </w:p>
    <w:p>
      <w:pPr>
        <w:spacing w:line="400" w:lineRule="exact"/>
        <w:ind w:firstLine="420" w:firstLineChars="200"/>
      </w:pPr>
      <w:r>
        <w:rPr>
          <w:rFonts w:hint="eastAsia"/>
        </w:rPr>
        <w:t>投标人准备和参加投标活动发生的费用自理。</w:t>
      </w:r>
    </w:p>
    <w:p>
      <w:pPr>
        <w:pStyle w:val="29"/>
      </w:pPr>
      <w:bookmarkStart w:id="59" w:name="_Toc152045536"/>
      <w:bookmarkStart w:id="60" w:name="_Toc179632553"/>
      <w:bookmarkStart w:id="61" w:name="_Toc152042312"/>
      <w:bookmarkStart w:id="62" w:name="_Toc144974504"/>
      <w:r>
        <w:rPr>
          <w:rFonts w:hint="eastAsia"/>
        </w:rPr>
        <w:t>1.6 保密</w:t>
      </w:r>
      <w:bookmarkEnd w:id="59"/>
      <w:bookmarkEnd w:id="60"/>
      <w:bookmarkEnd w:id="61"/>
      <w:bookmarkEnd w:id="62"/>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9"/>
      </w:pPr>
      <w:bookmarkStart w:id="63" w:name="_Toc144974505"/>
      <w:bookmarkStart w:id="64" w:name="_Toc179632554"/>
      <w:bookmarkStart w:id="65" w:name="_Toc152042313"/>
      <w:bookmarkStart w:id="66" w:name="_Toc152045537"/>
      <w:r>
        <w:rPr>
          <w:rFonts w:hint="eastAsia"/>
        </w:rPr>
        <w:t>1.7 语言</w:t>
      </w:r>
      <w:bookmarkEnd w:id="63"/>
      <w:r>
        <w:rPr>
          <w:rFonts w:hint="eastAsia"/>
        </w:rPr>
        <w:t>文字</w:t>
      </w:r>
      <w:bookmarkEnd w:id="64"/>
      <w:bookmarkEnd w:id="65"/>
      <w:bookmarkEnd w:id="66"/>
    </w:p>
    <w:p>
      <w:pPr>
        <w:spacing w:line="400" w:lineRule="exact"/>
        <w:ind w:firstLine="420" w:firstLineChars="200"/>
      </w:pPr>
      <w:r>
        <w:rPr>
          <w:rFonts w:hint="eastAsia"/>
        </w:rPr>
        <w:t>除专用术语外，与招标投标有关的语言均使用中文。必要时专用术语应附有中文注释。</w:t>
      </w:r>
    </w:p>
    <w:p>
      <w:pPr>
        <w:pStyle w:val="29"/>
      </w:pPr>
      <w:bookmarkStart w:id="67" w:name="_Toc144974506"/>
      <w:bookmarkStart w:id="68" w:name="_Toc152042314"/>
      <w:bookmarkStart w:id="69" w:name="_Toc179632555"/>
      <w:bookmarkStart w:id="70" w:name="_Toc152045538"/>
      <w:r>
        <w:rPr>
          <w:rFonts w:hint="eastAsia"/>
        </w:rPr>
        <w:t>1.8 计量单位</w:t>
      </w:r>
      <w:bookmarkEnd w:id="67"/>
      <w:bookmarkEnd w:id="68"/>
      <w:bookmarkEnd w:id="69"/>
      <w:bookmarkEnd w:id="70"/>
    </w:p>
    <w:p>
      <w:pPr>
        <w:spacing w:line="400" w:lineRule="exact"/>
        <w:ind w:firstLine="420" w:firstLineChars="200"/>
      </w:pPr>
      <w:r>
        <w:rPr>
          <w:rFonts w:hint="eastAsia"/>
        </w:rPr>
        <w:t>所有计量均采用中华人民共和国法定计量单位。</w:t>
      </w:r>
    </w:p>
    <w:p>
      <w:pPr>
        <w:pStyle w:val="29"/>
      </w:pPr>
      <w:bookmarkStart w:id="71" w:name="_Toc144974507"/>
      <w:bookmarkStart w:id="72" w:name="_Toc152042315"/>
      <w:bookmarkStart w:id="73" w:name="_Toc179632556"/>
      <w:bookmarkStart w:id="74" w:name="_Toc152045539"/>
      <w:r>
        <w:rPr>
          <w:rFonts w:hint="eastAsia"/>
        </w:rPr>
        <w:t>1.9 踏勘现场</w:t>
      </w:r>
      <w:bookmarkEnd w:id="71"/>
      <w:bookmarkEnd w:id="72"/>
      <w:bookmarkEnd w:id="73"/>
      <w:bookmarkEnd w:id="74"/>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9"/>
      </w:pPr>
      <w:bookmarkStart w:id="75" w:name="_Toc152045540"/>
      <w:bookmarkStart w:id="76" w:name="_Toc179632557"/>
      <w:bookmarkStart w:id="77" w:name="_Toc144974508"/>
      <w:bookmarkStart w:id="78" w:name="_Toc152042316"/>
      <w:r>
        <w:rPr>
          <w:rFonts w:hint="eastAsia"/>
        </w:rPr>
        <w:t>1.10 投标预备会</w:t>
      </w:r>
      <w:bookmarkEnd w:id="75"/>
      <w:bookmarkEnd w:id="76"/>
      <w:bookmarkEnd w:id="77"/>
      <w:bookmarkEnd w:id="78"/>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9"/>
      </w:pPr>
      <w:bookmarkStart w:id="79" w:name="_Toc152045541"/>
      <w:bookmarkStart w:id="80" w:name="_Toc179632558"/>
      <w:bookmarkStart w:id="81" w:name="_Toc152042317"/>
      <w:bookmarkStart w:id="82" w:name="_Toc144974509"/>
      <w:r>
        <w:rPr>
          <w:rFonts w:hint="eastAsia"/>
        </w:rPr>
        <w:t>1.11 分包</w:t>
      </w:r>
      <w:bookmarkEnd w:id="79"/>
      <w:bookmarkEnd w:id="80"/>
      <w:bookmarkEnd w:id="81"/>
      <w:bookmarkEnd w:id="82"/>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9"/>
      </w:pPr>
      <w:bookmarkStart w:id="83" w:name="_Toc179632559"/>
      <w:r>
        <w:rPr>
          <w:rFonts w:hint="eastAsia"/>
        </w:rPr>
        <w:t>1.12 偏离</w:t>
      </w:r>
      <w:bookmarkEnd w:id="83"/>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8"/>
      </w:pPr>
      <w:bookmarkStart w:id="84" w:name="_Toc152045542"/>
      <w:bookmarkStart w:id="85" w:name="_Toc144974510"/>
      <w:bookmarkStart w:id="86" w:name="_Toc152042318"/>
      <w:bookmarkStart w:id="87" w:name="_Toc179632560"/>
      <w:r>
        <w:rPr>
          <w:rFonts w:hint="eastAsia"/>
        </w:rPr>
        <w:t>2. 招标文件</w:t>
      </w:r>
      <w:bookmarkEnd w:id="84"/>
      <w:bookmarkEnd w:id="85"/>
      <w:bookmarkEnd w:id="86"/>
      <w:bookmarkEnd w:id="87"/>
    </w:p>
    <w:p>
      <w:pPr>
        <w:pStyle w:val="29"/>
      </w:pPr>
      <w:bookmarkStart w:id="88" w:name="_Toc179632561"/>
      <w:bookmarkStart w:id="89" w:name="_Toc152042319"/>
      <w:bookmarkStart w:id="90" w:name="_Toc144974511"/>
      <w:bookmarkStart w:id="91" w:name="_Toc152045543"/>
      <w:r>
        <w:rPr>
          <w:rFonts w:hint="eastAsia"/>
        </w:rPr>
        <w:t>2.1 招标文件的组成</w:t>
      </w:r>
      <w:bookmarkEnd w:id="88"/>
      <w:bookmarkEnd w:id="89"/>
      <w:bookmarkEnd w:id="90"/>
      <w:bookmarkEnd w:id="91"/>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（5）技术要求及工程量清单； </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根据本章第1.10款、第2.2款和第2.3款对招标文件所作的澄清、修改，构成招标文件的组成部分。</w:t>
      </w:r>
    </w:p>
    <w:p>
      <w:pPr>
        <w:pStyle w:val="29"/>
      </w:pPr>
      <w:bookmarkStart w:id="92" w:name="_Toc144974512"/>
      <w:bookmarkStart w:id="93" w:name="_Toc152045544"/>
      <w:bookmarkStart w:id="94" w:name="_Toc179632562"/>
      <w:bookmarkStart w:id="95" w:name="_Toc152042320"/>
      <w:r>
        <w:rPr>
          <w:rFonts w:hint="eastAsia"/>
        </w:rPr>
        <w:t>2.2 招标文件的澄清</w:t>
      </w:r>
      <w:bookmarkEnd w:id="92"/>
      <w:bookmarkEnd w:id="93"/>
      <w:bookmarkEnd w:id="94"/>
      <w:bookmarkEnd w:id="95"/>
    </w:p>
    <w:p>
      <w:pPr>
        <w:spacing w:line="40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29"/>
      </w:pPr>
      <w:bookmarkStart w:id="96" w:name="_Toc152045545"/>
      <w:bookmarkStart w:id="97" w:name="_Toc144974513"/>
      <w:bookmarkStart w:id="98" w:name="_Toc179632563"/>
      <w:bookmarkStart w:id="99" w:name="_Toc152042321"/>
      <w:r>
        <w:rPr>
          <w:rFonts w:hint="eastAsia"/>
        </w:rPr>
        <w:t>2.3 招标文件的修改</w:t>
      </w:r>
      <w:bookmarkEnd w:id="96"/>
      <w:bookmarkEnd w:id="97"/>
      <w:bookmarkEnd w:id="98"/>
      <w:bookmarkEnd w:id="99"/>
    </w:p>
    <w:p>
      <w:pPr>
        <w:spacing w:line="400" w:lineRule="exact"/>
        <w:ind w:firstLine="420" w:firstLineChars="200"/>
      </w:pPr>
      <w:r>
        <w:rPr>
          <w:rFonts w:hint="eastAsia"/>
        </w:rPr>
        <w:t>2.3.1 在投标截止时间</w:t>
      </w:r>
      <w:r>
        <w:t>2</w:t>
      </w:r>
      <w:r>
        <w:rPr>
          <w:rFonts w:hint="eastAsia"/>
        </w:rPr>
        <w:t>天前，招标人可以书面形式修改招标文件，并通知所有已购买招标文件的投标人。如果修改招标文件的时间距投标截止时间不足</w:t>
      </w:r>
      <w:r>
        <w:t>2</w:t>
      </w:r>
      <w:r>
        <w:rPr>
          <w:rFonts w:hint="eastAsia"/>
        </w:rPr>
        <w:t xml:space="preserve">天，相应延长投标截止时间。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28"/>
      </w:pPr>
      <w:bookmarkStart w:id="100" w:name="_Toc152042322"/>
      <w:bookmarkStart w:id="101" w:name="_Toc152045546"/>
      <w:bookmarkStart w:id="102" w:name="_Toc144974514"/>
      <w:bookmarkStart w:id="103" w:name="_Toc179632564"/>
      <w:r>
        <w:rPr>
          <w:rFonts w:hint="eastAsia"/>
        </w:rPr>
        <w:t>3. 投标文件</w:t>
      </w:r>
      <w:bookmarkEnd w:id="100"/>
      <w:bookmarkEnd w:id="101"/>
      <w:bookmarkEnd w:id="102"/>
      <w:bookmarkEnd w:id="103"/>
    </w:p>
    <w:p>
      <w:pPr>
        <w:pStyle w:val="29"/>
      </w:pPr>
      <w:bookmarkStart w:id="104" w:name="_Toc179632565"/>
      <w:bookmarkStart w:id="105" w:name="_Toc152045547"/>
      <w:bookmarkStart w:id="106" w:name="_Toc144974515"/>
      <w:bookmarkStart w:id="107" w:name="_Toc152042323"/>
      <w:r>
        <w:rPr>
          <w:rFonts w:hint="eastAsia"/>
        </w:rPr>
        <w:t>3.1 投标文件的组成</w:t>
      </w:r>
      <w:bookmarkEnd w:id="104"/>
      <w:bookmarkEnd w:id="105"/>
      <w:bookmarkEnd w:id="106"/>
      <w:bookmarkEnd w:id="107"/>
    </w:p>
    <w:p>
      <w:pPr>
        <w:spacing w:line="400" w:lineRule="exact"/>
      </w:pPr>
      <w:r>
        <w:rPr>
          <w:rFonts w:hint="eastAsia"/>
        </w:rPr>
        <w:t>3.1.1投标文件应包括下列内容：</w:t>
      </w:r>
    </w:p>
    <w:p>
      <w:pPr>
        <w:pStyle w:val="21"/>
        <w:ind w:firstLine="422"/>
        <w:rPr>
          <w:b/>
          <w:bCs/>
        </w:rPr>
      </w:pPr>
      <w:r>
        <w:rPr>
          <w:rFonts w:hint="eastAsia"/>
          <w:b/>
          <w:bCs/>
        </w:rPr>
        <w:t>价格标：</w:t>
      </w:r>
    </w:p>
    <w:p>
      <w:pPr>
        <w:numPr>
          <w:ilvl w:val="0"/>
          <w:numId w:val="1"/>
        </w:numPr>
        <w:spacing w:line="400" w:lineRule="exact"/>
        <w:ind w:firstLine="569" w:firstLineChars="271"/>
      </w:pPr>
      <w:r>
        <w:rPr>
          <w:rFonts w:hint="eastAsia"/>
        </w:rPr>
        <w:t>投标函</w:t>
      </w:r>
    </w:p>
    <w:p>
      <w:pPr>
        <w:numPr>
          <w:ilvl w:val="0"/>
          <w:numId w:val="1"/>
        </w:numPr>
        <w:spacing w:line="400" w:lineRule="exact"/>
        <w:ind w:firstLine="569" w:firstLineChars="271"/>
      </w:pPr>
      <w:r>
        <w:rPr>
          <w:rFonts w:hint="eastAsia"/>
        </w:rPr>
        <w:t>预算报价</w:t>
      </w:r>
    </w:p>
    <w:p>
      <w:pPr>
        <w:spacing w:line="400" w:lineRule="exact"/>
        <w:ind w:firstLine="569" w:firstLineChars="271"/>
      </w:pPr>
      <w:r>
        <w:rPr>
          <w:rFonts w:hint="eastAsia"/>
        </w:rPr>
        <w:t>三、其他资料</w:t>
      </w:r>
    </w:p>
    <w:p>
      <w:pPr>
        <w:pStyle w:val="21"/>
        <w:ind w:firstLine="422"/>
        <w:rPr>
          <w:b/>
          <w:bCs/>
        </w:rPr>
      </w:pPr>
      <w:r>
        <w:rPr>
          <w:rFonts w:hint="eastAsia"/>
          <w:b/>
          <w:bCs/>
        </w:rPr>
        <w:t>商 务 技 术 标：</w:t>
      </w:r>
    </w:p>
    <w:p>
      <w:pPr>
        <w:pStyle w:val="21"/>
        <w:ind w:firstLine="630" w:firstLineChars="300"/>
      </w:pPr>
      <w:r>
        <w:rPr>
          <w:rFonts w:hint="eastAsia"/>
        </w:rPr>
        <w:t>一、法定代表人身份证明</w:t>
      </w:r>
    </w:p>
    <w:p>
      <w:pPr>
        <w:pStyle w:val="21"/>
        <w:ind w:firstLine="630" w:firstLineChars="300"/>
      </w:pPr>
      <w:r>
        <w:rPr>
          <w:rFonts w:hint="eastAsia"/>
        </w:rPr>
        <w:t>二、授权委托书</w:t>
      </w:r>
    </w:p>
    <w:p>
      <w:pPr>
        <w:pStyle w:val="21"/>
        <w:ind w:firstLine="630" w:firstLineChars="300"/>
      </w:pPr>
      <w:r>
        <w:rPr>
          <w:rFonts w:hint="eastAsia"/>
        </w:rPr>
        <w:t>三、投标保证金</w:t>
      </w:r>
    </w:p>
    <w:p>
      <w:pPr>
        <w:pStyle w:val="21"/>
        <w:ind w:firstLine="630" w:firstLineChars="300"/>
      </w:pPr>
      <w:r>
        <w:rPr>
          <w:rFonts w:hint="eastAsia"/>
        </w:rPr>
        <w:t>四、施工组织设计</w:t>
      </w:r>
    </w:p>
    <w:p>
      <w:pPr>
        <w:pStyle w:val="21"/>
        <w:ind w:firstLine="630" w:firstLineChars="300"/>
      </w:pPr>
      <w:r>
        <w:rPr>
          <w:rFonts w:hint="eastAsia"/>
        </w:rPr>
        <w:t>五、项目管理机构</w:t>
      </w:r>
    </w:p>
    <w:p>
      <w:pPr>
        <w:pStyle w:val="21"/>
        <w:ind w:firstLine="630" w:firstLineChars="300"/>
      </w:pPr>
      <w:r>
        <w:rPr>
          <w:rFonts w:hint="eastAsia"/>
        </w:rPr>
        <w:t>六、拟分包项目情况表</w:t>
      </w:r>
    </w:p>
    <w:p>
      <w:pPr>
        <w:pStyle w:val="21"/>
        <w:ind w:firstLine="630" w:firstLineChars="300"/>
      </w:pPr>
      <w:r>
        <w:rPr>
          <w:rFonts w:hint="eastAsia"/>
        </w:rPr>
        <w:t>七、资格审查资料</w:t>
      </w:r>
    </w:p>
    <w:p>
      <w:pPr>
        <w:pStyle w:val="21"/>
        <w:ind w:firstLine="630" w:firstLineChars="300"/>
        <w:rPr>
          <w:b/>
          <w:bCs/>
        </w:rPr>
      </w:pPr>
      <w:r>
        <w:rPr>
          <w:rFonts w:hint="eastAsia"/>
        </w:rPr>
        <w:t>八、其他材料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9"/>
      </w:pPr>
      <w:bookmarkStart w:id="108" w:name="_Toc144974516"/>
      <w:bookmarkStart w:id="109" w:name="_Toc152045548"/>
      <w:bookmarkStart w:id="110" w:name="_Toc179632566"/>
      <w:bookmarkStart w:id="111" w:name="_Toc152042324"/>
      <w:r>
        <w:rPr>
          <w:rFonts w:hint="eastAsia"/>
        </w:rPr>
        <w:t>3.2 投标报价</w:t>
      </w:r>
      <w:bookmarkEnd w:id="108"/>
      <w:bookmarkEnd w:id="109"/>
      <w:bookmarkEnd w:id="110"/>
      <w:bookmarkEnd w:id="111"/>
    </w:p>
    <w:p>
      <w:pPr>
        <w:spacing w:line="400" w:lineRule="exact"/>
        <w:ind w:firstLine="420" w:firstLineChars="200"/>
      </w:pPr>
      <w:r>
        <w:rPr>
          <w:rFonts w:hint="eastAsia"/>
        </w:rPr>
        <w:t>3.2.1 投标人应按第七章“投标文件格式”的要求填写价格清单。</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bCs/>
        </w:rPr>
        <w:t>3.2.</w:t>
      </w:r>
      <w:r>
        <w:rPr>
          <w:rFonts w:hint="eastAsia"/>
          <w:bCs/>
        </w:rPr>
        <w:t>5</w:t>
      </w:r>
      <w:r>
        <w:rPr>
          <w:bCs/>
        </w:rPr>
        <w:t xml:space="preserve"> </w:t>
      </w:r>
      <w:r>
        <w:rPr>
          <w:rFonts w:hAnsi="宋体"/>
          <w:bCs/>
        </w:rPr>
        <w:t>投标报价的其他要求见投标人须知前附表。</w:t>
      </w:r>
    </w:p>
    <w:p>
      <w:pPr>
        <w:pStyle w:val="29"/>
      </w:pPr>
      <w:bookmarkStart w:id="112" w:name="_Toc179632567"/>
      <w:bookmarkStart w:id="113" w:name="_Toc144974517"/>
      <w:bookmarkStart w:id="114" w:name="_Toc152042325"/>
      <w:bookmarkStart w:id="115" w:name="_Toc152045549"/>
      <w:r>
        <w:rPr>
          <w:rFonts w:hint="eastAsia"/>
        </w:rPr>
        <w:t>3.3 投标有效期</w:t>
      </w:r>
      <w:bookmarkEnd w:id="112"/>
      <w:bookmarkEnd w:id="113"/>
      <w:bookmarkEnd w:id="114"/>
      <w:bookmarkEnd w:id="115"/>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9"/>
      </w:pPr>
      <w:bookmarkStart w:id="116" w:name="_Toc152045550"/>
      <w:bookmarkStart w:id="117" w:name="_Toc179632568"/>
      <w:bookmarkStart w:id="118" w:name="_Toc152042326"/>
      <w:bookmarkStart w:id="119" w:name="_Toc144974518"/>
      <w:r>
        <w:rPr>
          <w:rFonts w:hint="eastAsia"/>
        </w:rPr>
        <w:t>3.4 投标保证金</w:t>
      </w:r>
      <w:bookmarkEnd w:id="116"/>
      <w:bookmarkEnd w:id="117"/>
      <w:bookmarkEnd w:id="118"/>
      <w:bookmarkEnd w:id="119"/>
    </w:p>
    <w:p>
      <w:pPr>
        <w:spacing w:line="400" w:lineRule="exact"/>
        <w:ind w:firstLine="420" w:firstLineChars="200"/>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投标人不按本章第3.4.1项要求提交投标保证金的，其投标文件作废标处理。</w:t>
      </w:r>
    </w:p>
    <w:p>
      <w:pPr>
        <w:spacing w:line="400" w:lineRule="exact"/>
        <w:ind w:firstLine="420" w:firstLineChars="200"/>
      </w:pPr>
      <w:r>
        <w:rPr>
          <w:rFonts w:hint="eastAsia"/>
        </w:rPr>
        <w:t>3.4.3 招标人与中标人签订合同后5个工作日内，向未中标的投标人和中标人退还投标保证金。</w:t>
      </w:r>
    </w:p>
    <w:p>
      <w:pPr>
        <w:spacing w:line="400" w:lineRule="exact"/>
        <w:ind w:firstLine="420" w:firstLineChars="200"/>
      </w:pPr>
      <w:r>
        <w:rPr>
          <w:rFonts w:hint="eastAsia"/>
        </w:rPr>
        <w:t xml:space="preserve">3.4.4 有下列情形之一的，投标保证金将不予退还： </w:t>
      </w:r>
    </w:p>
    <w:p>
      <w:pPr>
        <w:spacing w:line="400" w:lineRule="exact"/>
        <w:ind w:firstLine="210" w:firstLineChars="100"/>
        <w:jc w:val="left"/>
      </w:pPr>
      <w:r>
        <w:rPr>
          <w:rFonts w:hint="eastAsia"/>
        </w:rPr>
        <w:t>（1）投标人在规定的投标有效期内撤销或修改其投标文件；</w:t>
      </w:r>
    </w:p>
    <w:p>
      <w:pPr>
        <w:spacing w:line="400" w:lineRule="exact"/>
        <w:ind w:firstLine="210" w:firstLineChars="100"/>
      </w:pPr>
      <w:r>
        <w:rPr>
          <w:rFonts w:hint="eastAsia"/>
        </w:rPr>
        <w:t>（2）中标人在收到中标通知书后，无正当理由拒签合同协议书或未按招标文件规定提交履约担保。</w:t>
      </w:r>
    </w:p>
    <w:p>
      <w:pPr>
        <w:pStyle w:val="29"/>
      </w:pPr>
      <w:bookmarkStart w:id="120" w:name="_Toc152042328"/>
      <w:bookmarkStart w:id="121" w:name="_Toc144974520"/>
      <w:bookmarkStart w:id="122" w:name="_Toc179632570"/>
      <w:bookmarkStart w:id="123" w:name="_Toc152045552"/>
      <w:r>
        <w:rPr>
          <w:rFonts w:hint="eastAsia"/>
        </w:rPr>
        <w:t>3.5 资格审查资料</w:t>
      </w:r>
      <w:bookmarkEnd w:id="120"/>
      <w:bookmarkEnd w:id="121"/>
      <w:bookmarkEnd w:id="122"/>
      <w:bookmarkEnd w:id="123"/>
    </w:p>
    <w:p>
      <w:pPr>
        <w:spacing w:line="400" w:lineRule="exact"/>
        <w:ind w:firstLine="420" w:firstLineChars="200"/>
      </w:pPr>
      <w:r>
        <w:rPr>
          <w:rFonts w:hint="eastAsia"/>
        </w:rPr>
        <w:t>3.5.1 “投标人基本情况表”应附投标人营业执照副本及其年检合格的证明材料等材料的复印件。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pPr>
      <w:r>
        <w:rPr>
          <w:rFonts w:hint="eastAsia"/>
        </w:rPr>
        <w:t>3.5.4 “正在施工和新承接的项目情况表”应附中标通知书和（或）合同协议书复印件。每张表格只填写一个项目，并标明序号。</w:t>
      </w:r>
    </w:p>
    <w:p>
      <w:pPr>
        <w:spacing w:line="400" w:lineRule="exact"/>
        <w:ind w:firstLine="420" w:firstLineChars="200"/>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pPr>
      <w:r>
        <w:rPr>
          <w:rFonts w:hint="eastAsia"/>
        </w:rPr>
        <w:t>3.5.6 投标人须知前附表规定接受联合体投标的，本章第3.5.1项至第3.5.5项规定的表格和资料应包括联合体各方相关情况。</w:t>
      </w:r>
    </w:p>
    <w:p>
      <w:pPr>
        <w:pStyle w:val="29"/>
      </w:pPr>
      <w:bookmarkStart w:id="124" w:name="_Toc144974521"/>
      <w:bookmarkStart w:id="125" w:name="_Toc152042329"/>
      <w:bookmarkStart w:id="126" w:name="_Toc152045553"/>
      <w:bookmarkStart w:id="127" w:name="_Toc179632571"/>
      <w:r>
        <w:rPr>
          <w:rFonts w:hint="eastAsia"/>
        </w:rPr>
        <w:t>3.6 备选投标方案</w:t>
      </w:r>
      <w:bookmarkEnd w:id="124"/>
      <w:bookmarkEnd w:id="125"/>
      <w:bookmarkEnd w:id="126"/>
      <w:bookmarkEnd w:id="127"/>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9"/>
      </w:pPr>
      <w:bookmarkStart w:id="128" w:name="_Toc152042330"/>
      <w:bookmarkStart w:id="129" w:name="_Toc179632572"/>
      <w:bookmarkStart w:id="130" w:name="_Toc144974522"/>
      <w:bookmarkStart w:id="131" w:name="_Toc152045554"/>
      <w:r>
        <w:rPr>
          <w:rFonts w:hint="eastAsia"/>
        </w:rPr>
        <w:t>3.7 投标文件的编制</w:t>
      </w:r>
      <w:bookmarkEnd w:id="128"/>
      <w:bookmarkEnd w:id="129"/>
      <w:bookmarkEnd w:id="130"/>
      <w:bookmarkEnd w:id="13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pPr>
      <w:r>
        <w:rPr>
          <w:rFonts w:hint="eastAsia"/>
        </w:rPr>
        <w:t>3.7.5 投标文件的正本与副本应分别装订成册，并编制目录，具体装订要求见投标人须知前附表规定。</w:t>
      </w:r>
    </w:p>
    <w:p>
      <w:pPr>
        <w:pStyle w:val="28"/>
      </w:pPr>
      <w:bookmarkStart w:id="132" w:name="_Toc152045555"/>
      <w:bookmarkStart w:id="133" w:name="_Toc144974523"/>
      <w:bookmarkStart w:id="134" w:name="_Toc152042331"/>
      <w:bookmarkStart w:id="135" w:name="_Toc179632573"/>
      <w:r>
        <w:rPr>
          <w:rFonts w:hint="eastAsia"/>
        </w:rPr>
        <w:t>4. 投标</w:t>
      </w:r>
      <w:bookmarkEnd w:id="132"/>
      <w:bookmarkEnd w:id="133"/>
      <w:bookmarkEnd w:id="134"/>
      <w:bookmarkEnd w:id="135"/>
    </w:p>
    <w:p>
      <w:pPr>
        <w:pStyle w:val="29"/>
      </w:pPr>
      <w:bookmarkStart w:id="136" w:name="_Toc179632574"/>
      <w:bookmarkStart w:id="137" w:name="_Toc152042332"/>
      <w:bookmarkStart w:id="138" w:name="_Toc152045556"/>
      <w:bookmarkStart w:id="139" w:name="_Toc144974524"/>
      <w:r>
        <w:rPr>
          <w:rFonts w:hint="eastAsia"/>
        </w:rPr>
        <w:t>4.1 投标文件的密封和标记</w:t>
      </w:r>
      <w:bookmarkEnd w:id="136"/>
      <w:bookmarkEnd w:id="137"/>
      <w:bookmarkEnd w:id="138"/>
      <w:bookmarkEnd w:id="139"/>
    </w:p>
    <w:p>
      <w:pPr>
        <w:spacing w:line="400" w:lineRule="exact"/>
        <w:ind w:firstLine="420" w:firstLineChars="200"/>
      </w:pPr>
      <w:r>
        <w:rPr>
          <w:rFonts w:hint="eastAsia"/>
        </w:rPr>
        <w:t>4.1.1投标文件的正本与副本应分开包装，加贴封条，并在封套的封口处加盖投标人单位章。</w:t>
      </w:r>
    </w:p>
    <w:p>
      <w:pPr>
        <w:spacing w:line="400" w:lineRule="exact"/>
        <w:ind w:firstLine="420" w:firstLineChars="200"/>
      </w:pPr>
      <w:r>
        <w:rPr>
          <w:rFonts w:hint="eastAsia"/>
        </w:rPr>
        <w:t>4.1.2 投标文件的封套上应清楚地标记“正本”或“副本”字样，封套上应写明的其他内容见投标人须知前附表。</w:t>
      </w:r>
    </w:p>
    <w:p>
      <w:pPr>
        <w:spacing w:line="400" w:lineRule="exact"/>
        <w:ind w:firstLine="420" w:firstLineChars="200"/>
      </w:pPr>
      <w:r>
        <w:rPr>
          <w:rFonts w:hint="eastAsia"/>
        </w:rPr>
        <w:t>4.1.3 未按本章第4.1.1项或第4.1.2项要求密封和加写标记的投标文件，招标人不予受理。</w:t>
      </w:r>
    </w:p>
    <w:p>
      <w:pPr>
        <w:pStyle w:val="29"/>
      </w:pPr>
      <w:bookmarkStart w:id="140" w:name="_Toc152042333"/>
      <w:bookmarkStart w:id="141" w:name="_Toc144974525"/>
      <w:bookmarkStart w:id="142" w:name="_Toc179632575"/>
      <w:bookmarkStart w:id="143" w:name="_Toc152045557"/>
      <w:r>
        <w:rPr>
          <w:rFonts w:hint="eastAsia"/>
        </w:rPr>
        <w:t>4.2 投标文件的递交</w:t>
      </w:r>
      <w:bookmarkEnd w:id="140"/>
      <w:bookmarkEnd w:id="141"/>
      <w:bookmarkEnd w:id="142"/>
      <w:bookmarkEnd w:id="143"/>
    </w:p>
    <w:p>
      <w:pPr>
        <w:spacing w:line="400" w:lineRule="exact"/>
        <w:ind w:firstLine="420" w:firstLineChars="200"/>
      </w:pPr>
      <w:r>
        <w:rPr>
          <w:rFonts w:hint="eastAsia"/>
        </w:rPr>
        <w:t>4.2.1 投标人应在本章第2.2.2项规定的投标截止时间前递交投标文件。</w:t>
      </w:r>
    </w:p>
    <w:p>
      <w:pPr>
        <w:spacing w:line="400" w:lineRule="exact"/>
        <w:ind w:firstLine="420" w:firstLineChars="200"/>
      </w:pPr>
      <w:r>
        <w:rPr>
          <w:rFonts w:hint="eastAsia"/>
        </w:rPr>
        <w:t>4.2.2 投标人递交投标文件的地点：见投标人须知前附表。</w:t>
      </w:r>
    </w:p>
    <w:p>
      <w:pPr>
        <w:spacing w:line="400" w:lineRule="exact"/>
        <w:ind w:firstLine="420" w:firstLineChars="200"/>
      </w:pPr>
      <w:r>
        <w:rPr>
          <w:rFonts w:hint="eastAsia"/>
        </w:rPr>
        <w:t xml:space="preserve">4.2.3 除投标人须知前附表另有规定外，投标人所递交的投标文件不予退还。    </w:t>
      </w:r>
    </w:p>
    <w:p>
      <w:pPr>
        <w:spacing w:line="400" w:lineRule="exact"/>
        <w:ind w:firstLine="420" w:firstLineChars="200"/>
      </w:pPr>
      <w:r>
        <w:rPr>
          <w:rFonts w:hint="eastAsia"/>
        </w:rPr>
        <w:t>4.2.4 招标人收到投标文件后，向投标人出具签收凭证。</w:t>
      </w:r>
    </w:p>
    <w:p>
      <w:pPr>
        <w:spacing w:line="400" w:lineRule="exact"/>
        <w:ind w:firstLine="420" w:firstLineChars="200"/>
      </w:pPr>
      <w:r>
        <w:rPr>
          <w:rFonts w:hint="eastAsia"/>
        </w:rPr>
        <w:t>4.2.5 逾期送达的或者未送达指定地点的投标文件，招标人不予受理。</w:t>
      </w:r>
    </w:p>
    <w:p>
      <w:pPr>
        <w:pStyle w:val="29"/>
      </w:pPr>
      <w:bookmarkStart w:id="144" w:name="_Toc144974526"/>
      <w:bookmarkStart w:id="145" w:name="_Toc152045558"/>
      <w:bookmarkStart w:id="146" w:name="_Toc152042334"/>
      <w:bookmarkStart w:id="147" w:name="_Toc179632576"/>
      <w:r>
        <w:rPr>
          <w:rFonts w:hint="eastAsia"/>
        </w:rPr>
        <w:t>4.3 投标文件的修改与撤回</w:t>
      </w:r>
      <w:bookmarkEnd w:id="144"/>
      <w:bookmarkEnd w:id="145"/>
      <w:bookmarkEnd w:id="146"/>
      <w:bookmarkEnd w:id="147"/>
    </w:p>
    <w:p>
      <w:pPr>
        <w:spacing w:line="400" w:lineRule="exact"/>
        <w:ind w:firstLine="420" w:firstLineChars="200"/>
      </w:pPr>
      <w:r>
        <w:rPr>
          <w:rFonts w:hint="eastAsia"/>
        </w:rPr>
        <w:t>4.3.1 在本章第2.2.2项规定的投标截止时间前，投标人可以修改或撤回已递交的投标文件，但应以书面形式通知招标人。</w:t>
      </w:r>
    </w:p>
    <w:p>
      <w:pPr>
        <w:spacing w:line="400" w:lineRule="exact"/>
        <w:ind w:firstLine="420" w:firstLineChars="200"/>
      </w:pPr>
      <w:r>
        <w:rPr>
          <w:rFonts w:hint="eastAsia"/>
        </w:rPr>
        <w:t>4.3.2 投标人修改或撤回已递交投标文件的书面通知应按照本章第3.7.3项的要求签字或盖章。招标人收到书面通知后，向投标人出具签收凭证。</w:t>
      </w:r>
    </w:p>
    <w:p>
      <w:pPr>
        <w:spacing w:line="400" w:lineRule="exact"/>
        <w:ind w:firstLine="420" w:firstLineChars="200"/>
      </w:pPr>
      <w:r>
        <w:rPr>
          <w:rFonts w:hint="eastAsia"/>
        </w:rPr>
        <w:t>4.3.3 修改的内容为投标文件的组成部分。修改的投标文件应按照本章第3条、第4条规定进行编制、密封、标记和递交，并标明“修改”字样。</w:t>
      </w:r>
    </w:p>
    <w:p>
      <w:pPr>
        <w:pStyle w:val="28"/>
      </w:pPr>
      <w:bookmarkStart w:id="148" w:name="_Toc152045559"/>
      <w:bookmarkStart w:id="149" w:name="_Toc179632577"/>
      <w:bookmarkStart w:id="150" w:name="_Toc144974527"/>
      <w:bookmarkStart w:id="151" w:name="_Toc152042335"/>
      <w:r>
        <w:rPr>
          <w:rFonts w:hint="eastAsia"/>
        </w:rPr>
        <w:t>5. 开标</w:t>
      </w:r>
      <w:bookmarkEnd w:id="148"/>
      <w:bookmarkEnd w:id="149"/>
      <w:bookmarkEnd w:id="150"/>
      <w:bookmarkEnd w:id="151"/>
    </w:p>
    <w:p>
      <w:pPr>
        <w:pStyle w:val="29"/>
      </w:pPr>
      <w:bookmarkStart w:id="152" w:name="_Toc179632578"/>
      <w:bookmarkStart w:id="153" w:name="_Toc152042336"/>
      <w:bookmarkStart w:id="154" w:name="_Toc152045560"/>
      <w:bookmarkStart w:id="155" w:name="_Toc144974528"/>
      <w:r>
        <w:rPr>
          <w:rFonts w:hint="eastAsia"/>
        </w:rPr>
        <w:t>5.1 开标时间和地点</w:t>
      </w:r>
      <w:bookmarkEnd w:id="152"/>
      <w:bookmarkEnd w:id="153"/>
      <w:bookmarkEnd w:id="154"/>
      <w:bookmarkEnd w:id="155"/>
    </w:p>
    <w:p>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pPr>
        <w:pStyle w:val="29"/>
      </w:pPr>
      <w:bookmarkStart w:id="156" w:name="_Toc152045561"/>
      <w:bookmarkStart w:id="157" w:name="_Toc179632579"/>
      <w:bookmarkStart w:id="158" w:name="_Toc152042337"/>
      <w:bookmarkStart w:id="159" w:name="_Toc144974529"/>
      <w:r>
        <w:rPr>
          <w:rFonts w:hint="eastAsia"/>
        </w:rPr>
        <w:t>5.2 开标程序</w:t>
      </w:r>
      <w:bookmarkEnd w:id="156"/>
      <w:bookmarkEnd w:id="157"/>
      <w:bookmarkEnd w:id="158"/>
      <w:bookmarkEnd w:id="159"/>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（2）公布在投标截止时间前递交投标文件的投标人名称，并点名确认投标人是否派人到场；</w:t>
      </w:r>
    </w:p>
    <w:p>
      <w:pPr>
        <w:spacing w:line="400" w:lineRule="exact"/>
        <w:ind w:firstLine="359" w:firstLineChars="171"/>
      </w:pPr>
      <w:r>
        <w:rPr>
          <w:rFonts w:hint="eastAsia"/>
        </w:rPr>
        <w:t>（3）宣布开标人、唱标人、记录人、监标人等有关人员姓名；</w:t>
      </w:r>
    </w:p>
    <w:p>
      <w:pPr>
        <w:spacing w:line="400" w:lineRule="exact"/>
        <w:ind w:firstLine="359" w:firstLineChars="171"/>
      </w:pPr>
      <w:r>
        <w:rPr>
          <w:rFonts w:hint="eastAsia"/>
        </w:rPr>
        <w:t>（4）按照投标人须知前附表规定检查投标文件的密封情况；</w:t>
      </w:r>
    </w:p>
    <w:p>
      <w:pPr>
        <w:spacing w:line="400" w:lineRule="exact"/>
        <w:ind w:firstLine="359" w:firstLineChars="171"/>
      </w:pPr>
      <w:r>
        <w:rPr>
          <w:rFonts w:hint="eastAsia"/>
        </w:rPr>
        <w:t>（5）按照投标人须知前附表的规定确定并宣布投标文件开标顺序；</w:t>
      </w:r>
    </w:p>
    <w:p>
      <w:pPr>
        <w:spacing w:line="400" w:lineRule="exact"/>
        <w:ind w:firstLine="359" w:firstLineChars="171"/>
      </w:pPr>
      <w:r>
        <w:rPr>
          <w:rFonts w:hint="eastAsia"/>
        </w:rPr>
        <w:t xml:space="preserve">（6）设有标底的，公布标底； </w:t>
      </w:r>
    </w:p>
    <w:p>
      <w:pPr>
        <w:spacing w:line="400" w:lineRule="exact"/>
        <w:ind w:firstLine="359" w:firstLineChars="171"/>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pPr>
      <w:r>
        <w:rPr>
          <w:rFonts w:hint="eastAsia"/>
        </w:rPr>
        <w:t>（8）开标结束。</w:t>
      </w:r>
    </w:p>
    <w:p>
      <w:pPr>
        <w:pStyle w:val="28"/>
      </w:pPr>
      <w:bookmarkStart w:id="160" w:name="_Toc179632580"/>
      <w:bookmarkStart w:id="161" w:name="_Toc144974530"/>
      <w:bookmarkStart w:id="162" w:name="_Toc152045562"/>
      <w:bookmarkStart w:id="163" w:name="_Toc152042338"/>
      <w:r>
        <w:rPr>
          <w:rFonts w:hint="eastAsia"/>
        </w:rPr>
        <w:t>6. 评标</w:t>
      </w:r>
      <w:bookmarkEnd w:id="160"/>
      <w:bookmarkEnd w:id="161"/>
      <w:bookmarkEnd w:id="162"/>
      <w:bookmarkEnd w:id="163"/>
    </w:p>
    <w:p>
      <w:pPr>
        <w:pStyle w:val="29"/>
      </w:pPr>
      <w:bookmarkStart w:id="164" w:name="_Toc152042339"/>
      <w:bookmarkStart w:id="165" w:name="_Toc144974531"/>
      <w:bookmarkStart w:id="166" w:name="_Toc179632581"/>
      <w:bookmarkStart w:id="167" w:name="_Toc152045563"/>
      <w:r>
        <w:rPr>
          <w:rFonts w:hint="eastAsia"/>
        </w:rPr>
        <w:t>6.1 评标委员会</w:t>
      </w:r>
      <w:bookmarkEnd w:id="164"/>
      <w:bookmarkEnd w:id="165"/>
      <w:bookmarkEnd w:id="166"/>
      <w:bookmarkEnd w:id="167"/>
    </w:p>
    <w:p>
      <w:pPr>
        <w:spacing w:line="400" w:lineRule="exact"/>
        <w:ind w:firstLine="420" w:firstLineChars="200"/>
      </w:pPr>
      <w:r>
        <w:rPr>
          <w:rFonts w:hint="eastAsia"/>
        </w:rPr>
        <w:t>6.1.1 评标由招标人依法组建的评标委员会负责。评标委员会由招标人熟悉相关业务的代表，以及有关技术、经济</w:t>
      </w:r>
    </w:p>
    <w:p>
      <w:pPr>
        <w:spacing w:line="400" w:lineRule="exact"/>
        <w:ind w:firstLine="420" w:firstLineChars="200"/>
      </w:pPr>
      <w:r>
        <w:rPr>
          <w:rFonts w:hint="eastAsia"/>
        </w:rPr>
        <w:t>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29"/>
        <w:tabs>
          <w:tab w:val="left" w:pos="2620"/>
        </w:tabs>
      </w:pPr>
      <w:bookmarkStart w:id="168" w:name="_Toc179632582"/>
      <w:bookmarkStart w:id="169" w:name="_Toc152042340"/>
      <w:bookmarkStart w:id="170" w:name="_Toc144974532"/>
      <w:bookmarkStart w:id="171" w:name="_Toc152045564"/>
      <w:r>
        <w:rPr>
          <w:rFonts w:hint="eastAsia"/>
        </w:rPr>
        <w:t>6.2 评标原则</w:t>
      </w:r>
      <w:bookmarkEnd w:id="168"/>
      <w:bookmarkEnd w:id="169"/>
      <w:bookmarkEnd w:id="170"/>
      <w:bookmarkEnd w:id="171"/>
      <w:r>
        <w:tab/>
      </w:r>
    </w:p>
    <w:p>
      <w:pPr>
        <w:spacing w:line="400" w:lineRule="exact"/>
        <w:ind w:firstLine="420" w:firstLineChars="200"/>
      </w:pPr>
      <w:r>
        <w:rPr>
          <w:rFonts w:hint="eastAsia"/>
        </w:rPr>
        <w:t>评标活动遵循公平、公正、科学和择优的原则。</w:t>
      </w:r>
    </w:p>
    <w:p>
      <w:pPr>
        <w:pStyle w:val="29"/>
      </w:pPr>
      <w:bookmarkStart w:id="172" w:name="_Toc179632583"/>
      <w:bookmarkStart w:id="173" w:name="_Toc152042341"/>
      <w:bookmarkStart w:id="174" w:name="_Toc144974533"/>
      <w:bookmarkStart w:id="175" w:name="_Toc152045565"/>
      <w:r>
        <w:rPr>
          <w:rFonts w:hint="eastAsia"/>
        </w:rPr>
        <w:t>6.3 评标</w:t>
      </w:r>
      <w:bookmarkEnd w:id="172"/>
      <w:bookmarkEnd w:id="173"/>
      <w:bookmarkEnd w:id="174"/>
      <w:bookmarkEnd w:id="175"/>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28"/>
      </w:pPr>
      <w:bookmarkStart w:id="176" w:name="_Toc152045566"/>
      <w:bookmarkStart w:id="177" w:name="_Toc152042342"/>
      <w:bookmarkStart w:id="178" w:name="_Toc179632584"/>
      <w:bookmarkStart w:id="179" w:name="_Toc144974534"/>
      <w:r>
        <w:rPr>
          <w:rFonts w:hint="eastAsia"/>
        </w:rPr>
        <w:t>7. 合同授予</w:t>
      </w:r>
      <w:bookmarkEnd w:id="176"/>
      <w:bookmarkEnd w:id="177"/>
      <w:bookmarkEnd w:id="178"/>
      <w:bookmarkEnd w:id="179"/>
    </w:p>
    <w:p>
      <w:pPr>
        <w:pStyle w:val="29"/>
      </w:pPr>
      <w:bookmarkStart w:id="180" w:name="_Toc152042343"/>
      <w:bookmarkStart w:id="181" w:name="_Toc179632585"/>
      <w:bookmarkStart w:id="182" w:name="_Toc152045567"/>
      <w:bookmarkStart w:id="183" w:name="_Toc144974535"/>
      <w:r>
        <w:rPr>
          <w:rFonts w:hint="eastAsia"/>
        </w:rPr>
        <w:t>7.1 定标方式</w:t>
      </w:r>
      <w:bookmarkEnd w:id="180"/>
      <w:bookmarkEnd w:id="181"/>
      <w:bookmarkEnd w:id="182"/>
      <w:bookmarkEnd w:id="183"/>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9"/>
      </w:pPr>
      <w:bookmarkStart w:id="184" w:name="_Toc152042344"/>
      <w:bookmarkStart w:id="185" w:name="_Toc144974536"/>
      <w:bookmarkStart w:id="186" w:name="_Toc179632586"/>
      <w:bookmarkStart w:id="187" w:name="_Toc152045568"/>
      <w:r>
        <w:rPr>
          <w:rFonts w:hint="eastAsia"/>
        </w:rPr>
        <w:t>7.2 中标通知</w:t>
      </w:r>
      <w:bookmarkEnd w:id="184"/>
      <w:bookmarkEnd w:id="185"/>
      <w:bookmarkEnd w:id="186"/>
      <w:bookmarkEnd w:id="187"/>
    </w:p>
    <w:p>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pPr>
        <w:pStyle w:val="29"/>
      </w:pPr>
      <w:bookmarkStart w:id="188" w:name="_Toc152042345"/>
      <w:bookmarkStart w:id="189" w:name="_Toc152045569"/>
      <w:bookmarkStart w:id="190" w:name="_Toc179632587"/>
      <w:bookmarkStart w:id="191" w:name="_Toc144974537"/>
      <w:r>
        <w:rPr>
          <w:rFonts w:hint="eastAsia"/>
        </w:rPr>
        <w:t>7.3 履约担保</w:t>
      </w:r>
      <w:bookmarkEnd w:id="188"/>
      <w:bookmarkEnd w:id="189"/>
      <w:bookmarkEnd w:id="190"/>
      <w:bookmarkEnd w:id="191"/>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9"/>
      </w:pPr>
      <w:bookmarkStart w:id="192" w:name="_Toc152045570"/>
      <w:bookmarkStart w:id="193" w:name="_Toc152042346"/>
      <w:bookmarkStart w:id="194" w:name="_Toc179632588"/>
      <w:bookmarkStart w:id="195" w:name="_Toc144974538"/>
      <w:r>
        <w:rPr>
          <w:rFonts w:hint="eastAsia"/>
        </w:rPr>
        <w:t>7.4 签订合同</w:t>
      </w:r>
      <w:bookmarkEnd w:id="192"/>
      <w:bookmarkEnd w:id="193"/>
      <w:bookmarkEnd w:id="194"/>
      <w:bookmarkEnd w:id="195"/>
    </w:p>
    <w:p>
      <w:pPr>
        <w:spacing w:line="400" w:lineRule="exact"/>
        <w:ind w:firstLine="420" w:firstLineChars="200"/>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28"/>
      </w:pPr>
      <w:bookmarkStart w:id="196" w:name="_Toc152045571"/>
      <w:bookmarkStart w:id="197" w:name="_Toc179632589"/>
      <w:bookmarkStart w:id="198" w:name="_Toc144974539"/>
      <w:bookmarkStart w:id="199" w:name="_Toc152042347"/>
      <w:r>
        <w:rPr>
          <w:rFonts w:hint="eastAsia"/>
        </w:rPr>
        <w:t>8. 重新招标和不再招标</w:t>
      </w:r>
      <w:bookmarkEnd w:id="196"/>
      <w:bookmarkEnd w:id="197"/>
      <w:bookmarkEnd w:id="198"/>
      <w:bookmarkEnd w:id="199"/>
    </w:p>
    <w:p>
      <w:pPr>
        <w:pStyle w:val="29"/>
      </w:pPr>
      <w:bookmarkStart w:id="200" w:name="_Toc179632590"/>
      <w:bookmarkStart w:id="201" w:name="_Toc152042348"/>
      <w:bookmarkStart w:id="202" w:name="_Toc144974540"/>
      <w:bookmarkStart w:id="203" w:name="_Toc152045572"/>
      <w:r>
        <w:rPr>
          <w:rFonts w:hint="eastAsia"/>
        </w:rPr>
        <w:t>8.1 重新招标</w:t>
      </w:r>
      <w:bookmarkEnd w:id="200"/>
      <w:bookmarkEnd w:id="201"/>
      <w:bookmarkEnd w:id="202"/>
      <w:bookmarkEnd w:id="203"/>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pStyle w:val="29"/>
      </w:pPr>
      <w:bookmarkStart w:id="204" w:name="_Toc152045573"/>
      <w:bookmarkStart w:id="205" w:name="_Toc152042349"/>
      <w:bookmarkStart w:id="206" w:name="_Toc179632591"/>
      <w:bookmarkStart w:id="207" w:name="_Toc144974541"/>
      <w:r>
        <w:rPr>
          <w:rFonts w:hint="eastAsia"/>
        </w:rPr>
        <w:t>8.2 不再招标</w:t>
      </w:r>
      <w:bookmarkEnd w:id="204"/>
      <w:bookmarkEnd w:id="205"/>
      <w:bookmarkEnd w:id="206"/>
      <w:bookmarkEnd w:id="207"/>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28"/>
      </w:pPr>
      <w:bookmarkStart w:id="208" w:name="_Toc152042350"/>
      <w:bookmarkStart w:id="209" w:name="_Toc152045574"/>
      <w:bookmarkStart w:id="210" w:name="_Toc144974542"/>
      <w:bookmarkStart w:id="211" w:name="_Toc179632592"/>
      <w:r>
        <w:rPr>
          <w:rFonts w:hint="eastAsia"/>
        </w:rPr>
        <w:t>9. 纪律和监督</w:t>
      </w:r>
      <w:bookmarkEnd w:id="208"/>
      <w:bookmarkEnd w:id="209"/>
      <w:bookmarkEnd w:id="210"/>
      <w:bookmarkEnd w:id="211"/>
    </w:p>
    <w:p>
      <w:pPr>
        <w:pStyle w:val="29"/>
      </w:pPr>
      <w:bookmarkStart w:id="212" w:name="_Toc152045575"/>
      <w:bookmarkStart w:id="213" w:name="_Toc152042351"/>
      <w:bookmarkStart w:id="214" w:name="_Toc144974543"/>
      <w:bookmarkStart w:id="215" w:name="_Toc179632593"/>
      <w:r>
        <w:rPr>
          <w:rFonts w:hint="eastAsia"/>
        </w:rPr>
        <w:t>9.1 对招标人的纪律要求</w:t>
      </w:r>
      <w:bookmarkEnd w:id="212"/>
      <w:bookmarkEnd w:id="213"/>
      <w:bookmarkEnd w:id="214"/>
      <w:bookmarkEnd w:id="215"/>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29"/>
      </w:pPr>
      <w:bookmarkStart w:id="216" w:name="_Toc152042352"/>
      <w:bookmarkStart w:id="217" w:name="_Toc152045576"/>
      <w:bookmarkStart w:id="218" w:name="_Toc179632594"/>
      <w:bookmarkStart w:id="219" w:name="_Toc144974544"/>
      <w:r>
        <w:rPr>
          <w:rFonts w:hint="eastAsia"/>
        </w:rPr>
        <w:t>9.2 对投标人的纪律要求</w:t>
      </w:r>
      <w:bookmarkEnd w:id="216"/>
      <w:bookmarkEnd w:id="217"/>
      <w:bookmarkEnd w:id="218"/>
      <w:bookmarkEnd w:id="219"/>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9"/>
      </w:pPr>
      <w:bookmarkStart w:id="220" w:name="_Toc152045577"/>
      <w:bookmarkStart w:id="221" w:name="_Toc144974545"/>
      <w:bookmarkStart w:id="222" w:name="_Toc152042353"/>
      <w:bookmarkStart w:id="223" w:name="_Toc179632595"/>
      <w:r>
        <w:rPr>
          <w:rFonts w:hint="eastAsia"/>
        </w:rPr>
        <w:t>9.3 对评标委员会成员的纪律要求</w:t>
      </w:r>
      <w:bookmarkEnd w:id="220"/>
      <w:bookmarkEnd w:id="221"/>
      <w:bookmarkEnd w:id="222"/>
      <w:bookmarkEnd w:id="223"/>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9"/>
      </w:pPr>
      <w:bookmarkStart w:id="224" w:name="_Toc152042354"/>
      <w:bookmarkStart w:id="225" w:name="_Toc179632596"/>
      <w:bookmarkStart w:id="226" w:name="_Toc152045578"/>
      <w:bookmarkStart w:id="227" w:name="_Toc144974546"/>
      <w:r>
        <w:rPr>
          <w:rFonts w:hint="eastAsia"/>
        </w:rPr>
        <w:t>9.4 对与评标活动有关的工作人员的纪律要求</w:t>
      </w:r>
      <w:bookmarkEnd w:id="224"/>
      <w:bookmarkEnd w:id="225"/>
      <w:bookmarkEnd w:id="226"/>
    </w:p>
    <w:p>
      <w:pPr>
        <w:spacing w:line="400" w:lineRule="exact"/>
        <w:ind w:firstLine="420" w:firstLineChars="200"/>
      </w:pPr>
      <w:bookmarkStart w:id="228"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pPr>
        <w:pStyle w:val="29"/>
      </w:pPr>
      <w:bookmarkStart w:id="229" w:name="_Toc152045579"/>
      <w:bookmarkStart w:id="230" w:name="_Toc179632597"/>
      <w:bookmarkStart w:id="231" w:name="_Toc152042356"/>
      <w:r>
        <w:rPr>
          <w:rFonts w:hint="eastAsia"/>
        </w:rPr>
        <w:t>9.5 投诉</w:t>
      </w:r>
      <w:bookmarkEnd w:id="227"/>
      <w:bookmarkEnd w:id="229"/>
      <w:bookmarkEnd w:id="230"/>
      <w:bookmarkEnd w:id="231"/>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28"/>
      </w:pPr>
      <w:bookmarkStart w:id="232" w:name="_Toc152042357"/>
      <w:bookmarkStart w:id="233" w:name="_Toc152045580"/>
      <w:bookmarkStart w:id="234" w:name="_Toc179632598"/>
      <w:bookmarkStart w:id="235" w:name="_Toc144974547"/>
      <w:r>
        <w:rPr>
          <w:rFonts w:hint="eastAsia"/>
        </w:rPr>
        <w:t>10. 需要补充的其他内容</w:t>
      </w:r>
      <w:bookmarkEnd w:id="232"/>
      <w:bookmarkEnd w:id="233"/>
      <w:bookmarkEnd w:id="234"/>
      <w:bookmarkEnd w:id="235"/>
    </w:p>
    <w:p>
      <w:pPr>
        <w:spacing w:line="400" w:lineRule="exact"/>
        <w:ind w:firstLine="420" w:firstLineChars="200"/>
      </w:pPr>
      <w:r>
        <w:rPr>
          <w:rFonts w:hint="eastAsia"/>
        </w:rPr>
        <w:t>需要补充的其他内容：见投标人须知前附表。</w:t>
      </w:r>
    </w:p>
    <w:p>
      <w:pPr>
        <w:spacing w:line="400" w:lineRule="exact"/>
      </w:pPr>
      <w:r>
        <w:br w:type="page"/>
      </w:r>
    </w:p>
    <w:p>
      <w:pPr>
        <w:pStyle w:val="2"/>
        <w:spacing w:before="120" w:after="120" w:line="400" w:lineRule="exact"/>
        <w:jc w:val="center"/>
        <w:rPr>
          <w:rFonts w:ascii="黑体" w:hAnsi="黑体" w:eastAsia="黑体"/>
          <w:b w:val="0"/>
          <w:bCs w:val="0"/>
          <w:sz w:val="32"/>
        </w:rPr>
      </w:pPr>
      <w:bookmarkStart w:id="236" w:name="_Toc179632616"/>
      <w:bookmarkStart w:id="237" w:name="_Toc152045598"/>
      <w:bookmarkStart w:id="238" w:name="_Toc144974565"/>
      <w:bookmarkStart w:id="239" w:name="_Toc152042375"/>
      <w:r>
        <w:rPr>
          <w:rFonts w:hint="eastAsia" w:ascii="黑体" w:hAnsi="黑体" w:eastAsia="黑体"/>
          <w:b w:val="0"/>
          <w:bCs w:val="0"/>
          <w:sz w:val="32"/>
        </w:rPr>
        <w:t>第三章 评标办法（综合评估法）</w:t>
      </w:r>
      <w:bookmarkEnd w:id="236"/>
      <w:bookmarkEnd w:id="237"/>
      <w:bookmarkEnd w:id="238"/>
      <w:bookmarkEnd w:id="239"/>
    </w:p>
    <w:p>
      <w:pPr>
        <w:pStyle w:val="28"/>
      </w:pPr>
      <w:bookmarkStart w:id="240" w:name="_Toc144974566"/>
      <w:bookmarkStart w:id="241" w:name="_Toc152042376"/>
      <w:bookmarkStart w:id="242" w:name="_Toc152045599"/>
      <w:bookmarkStart w:id="243" w:name="_Toc179632617"/>
      <w:r>
        <w:rPr>
          <w:rFonts w:hint="eastAsia"/>
        </w:rPr>
        <w:t>评标办法前附表</w:t>
      </w:r>
      <w:bookmarkEnd w:id="240"/>
      <w:bookmarkEnd w:id="241"/>
      <w:bookmarkEnd w:id="242"/>
      <w:bookmarkEnd w:id="243"/>
    </w:p>
    <w:tbl>
      <w:tblPr>
        <w:tblStyle w:val="22"/>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szCs w:val="21"/>
              </w:rPr>
              <w:t>评标基准价计算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szCs w:val="21"/>
              </w:rPr>
              <w:t>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2~</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0~1.9</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所有投标人的有效报价的最低值</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rPr>
              <w:t>评标基准价，标准得分60分，其他投标人的报价每高于其1%减</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企业2018年3月至今每有一项类似施工业绩加1分，加满为止。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pStyle w:val="28"/>
      </w:pPr>
      <w:bookmarkStart w:id="244" w:name="_Toc152042377"/>
      <w:bookmarkStart w:id="245" w:name="_Toc179632618"/>
      <w:bookmarkStart w:id="246" w:name="_Toc144974567"/>
      <w:bookmarkStart w:id="247" w:name="_Toc152045600"/>
      <w:r>
        <w:rPr>
          <w:rFonts w:hint="eastAsia"/>
        </w:rPr>
        <w:t>1. 评标方法</w:t>
      </w:r>
      <w:bookmarkEnd w:id="244"/>
      <w:bookmarkEnd w:id="245"/>
      <w:bookmarkEnd w:id="246"/>
      <w:bookmarkEnd w:id="247"/>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8"/>
      </w:pPr>
      <w:bookmarkStart w:id="248" w:name="_Toc144974568"/>
      <w:bookmarkStart w:id="249" w:name="_Toc179632619"/>
      <w:bookmarkStart w:id="250" w:name="_Toc152045601"/>
      <w:bookmarkStart w:id="251" w:name="_Toc152042378"/>
      <w:r>
        <w:rPr>
          <w:rFonts w:hint="eastAsia"/>
        </w:rPr>
        <w:t>2. 评审标准</w:t>
      </w:r>
      <w:bookmarkEnd w:id="248"/>
      <w:bookmarkEnd w:id="249"/>
      <w:bookmarkEnd w:id="250"/>
      <w:bookmarkEnd w:id="251"/>
    </w:p>
    <w:p>
      <w:pPr>
        <w:pStyle w:val="29"/>
      </w:pPr>
      <w:bookmarkStart w:id="252" w:name="_Toc179632620"/>
      <w:bookmarkStart w:id="253" w:name="_Toc152042379"/>
      <w:bookmarkStart w:id="254" w:name="_Toc152045602"/>
      <w:bookmarkStart w:id="255" w:name="_Toc144974569"/>
      <w:r>
        <w:rPr>
          <w:rFonts w:hint="eastAsia"/>
        </w:rPr>
        <w:t>2.1 初步评审标准</w:t>
      </w:r>
      <w:bookmarkEnd w:id="252"/>
      <w:bookmarkEnd w:id="253"/>
      <w:bookmarkEnd w:id="254"/>
      <w:bookmarkEnd w:id="255"/>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响应性评审标准：见评标办法前附表。</w:t>
      </w:r>
    </w:p>
    <w:p>
      <w:pPr>
        <w:pStyle w:val="29"/>
      </w:pPr>
      <w:bookmarkStart w:id="256" w:name="_Toc152045603"/>
      <w:bookmarkStart w:id="257" w:name="_Toc179632621"/>
      <w:bookmarkStart w:id="258" w:name="_Toc144974570"/>
      <w:bookmarkStart w:id="259" w:name="_Toc152042380"/>
      <w:r>
        <w:rPr>
          <w:rFonts w:hint="eastAsia"/>
        </w:rPr>
        <w:t>2.2 分值构成与评分标准</w:t>
      </w:r>
      <w:bookmarkEnd w:id="256"/>
      <w:bookmarkEnd w:id="257"/>
      <w:bookmarkEnd w:id="258"/>
      <w:bookmarkEnd w:id="259"/>
    </w:p>
    <w:p>
      <w:pPr>
        <w:spacing w:line="400" w:lineRule="exact"/>
        <w:ind w:firstLine="420" w:firstLineChars="200"/>
      </w:pPr>
      <w:r>
        <w:rPr>
          <w:rFonts w:hint="eastAsia"/>
        </w:rPr>
        <w:t xml:space="preserve">2.2.1 </w:t>
      </w:r>
      <w:r>
        <w:rPr>
          <w:rFonts w:hint="eastAsia" w:ascii="黑体" w:eastAsia="黑体"/>
        </w:rPr>
        <w:t>分值构成</w:t>
      </w:r>
    </w:p>
    <w:p>
      <w:pPr>
        <w:spacing w:line="400" w:lineRule="exact"/>
        <w:ind w:firstLine="718" w:firstLineChars="342"/>
      </w:pPr>
      <w:r>
        <w:rPr>
          <w:rFonts w:hint="eastAsia"/>
        </w:rPr>
        <w:t>（1）施工组织设计：见评标办法前附表；</w:t>
      </w:r>
    </w:p>
    <w:p>
      <w:pPr>
        <w:spacing w:line="400" w:lineRule="exact"/>
        <w:ind w:firstLine="718" w:firstLineChars="342"/>
      </w:pPr>
      <w:r>
        <w:rPr>
          <w:rFonts w:hint="eastAsia"/>
        </w:rPr>
        <w:t>（2）投标报价：见评标办法前附表；</w:t>
      </w:r>
    </w:p>
    <w:p>
      <w:pPr>
        <w:spacing w:line="400" w:lineRule="exact"/>
        <w:ind w:firstLine="718" w:firstLineChars="342"/>
      </w:pPr>
      <w:r>
        <w:rPr>
          <w:rFonts w:hint="eastAsia"/>
        </w:rPr>
        <w:t>（3）其他评分因素：见评标办法前附表。</w:t>
      </w:r>
    </w:p>
    <w:p>
      <w:pPr>
        <w:spacing w:line="400" w:lineRule="exact"/>
        <w:ind w:firstLine="420" w:firstLineChars="200"/>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评标基准价计算方法：见评标办法前附表。</w:t>
      </w:r>
    </w:p>
    <w:p>
      <w:pPr>
        <w:spacing w:line="400" w:lineRule="exact"/>
        <w:ind w:firstLine="420" w:firstLineChars="200"/>
      </w:pPr>
      <w:r>
        <w:rPr>
          <w:rFonts w:hint="eastAsia"/>
        </w:rPr>
        <w:t xml:space="preserve">2.2.3 </w:t>
      </w:r>
      <w:r>
        <w:rPr>
          <w:rFonts w:hint="eastAsia" w:ascii="黑体" w:eastAsia="黑体"/>
        </w:rPr>
        <w:t>投标报价的偏差率计算</w:t>
      </w:r>
    </w:p>
    <w:p>
      <w:pPr>
        <w:spacing w:line="400" w:lineRule="exact"/>
        <w:ind w:firstLine="840" w:firstLineChars="400"/>
      </w:pPr>
      <w:r>
        <w:rPr>
          <w:rFonts w:hint="eastAsia"/>
        </w:rPr>
        <w:t>投标报价的偏差率计算公式：见评标办法前附表。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（1）施工组织设计评分标准：见评标办法前附表；</w:t>
      </w:r>
    </w:p>
    <w:p>
      <w:pPr>
        <w:spacing w:line="400" w:lineRule="exact"/>
        <w:ind w:firstLine="718" w:firstLineChars="342"/>
      </w:pPr>
      <w:r>
        <w:rPr>
          <w:rFonts w:hint="eastAsia"/>
        </w:rPr>
        <w:t>（2）投标报价评分标准：见评标办法前附表；</w:t>
      </w:r>
    </w:p>
    <w:p>
      <w:pPr>
        <w:spacing w:line="400" w:lineRule="exact"/>
        <w:ind w:firstLine="718" w:firstLineChars="342"/>
      </w:pPr>
      <w:r>
        <w:rPr>
          <w:rFonts w:hint="eastAsia"/>
        </w:rPr>
        <w:t>（3）其他因素评分标准：见评标办法前附表。</w:t>
      </w:r>
    </w:p>
    <w:p>
      <w:pPr>
        <w:pStyle w:val="28"/>
      </w:pPr>
      <w:bookmarkStart w:id="260" w:name="_Toc152045604"/>
      <w:bookmarkStart w:id="261" w:name="_Toc179632622"/>
      <w:bookmarkStart w:id="262" w:name="_Toc144974571"/>
      <w:bookmarkStart w:id="263" w:name="_Toc152042381"/>
      <w:r>
        <w:rPr>
          <w:rFonts w:hint="eastAsia"/>
        </w:rPr>
        <w:t>3. 评标程序</w:t>
      </w:r>
      <w:bookmarkEnd w:id="260"/>
      <w:bookmarkEnd w:id="261"/>
      <w:bookmarkEnd w:id="262"/>
      <w:bookmarkEnd w:id="263"/>
    </w:p>
    <w:p>
      <w:pPr>
        <w:pStyle w:val="29"/>
      </w:pPr>
      <w:bookmarkStart w:id="264" w:name="_Toc179632623"/>
      <w:bookmarkStart w:id="265" w:name="_Toc144974572"/>
      <w:bookmarkStart w:id="266" w:name="_Toc152045605"/>
      <w:bookmarkStart w:id="267" w:name="_Toc152042382"/>
      <w:r>
        <w:rPr>
          <w:rFonts w:hint="eastAsia"/>
        </w:rPr>
        <w:t>3.1 初步评审</w:t>
      </w:r>
      <w:bookmarkEnd w:id="264"/>
      <w:bookmarkEnd w:id="265"/>
      <w:bookmarkEnd w:id="266"/>
      <w:bookmarkEnd w:id="267"/>
    </w:p>
    <w:p>
      <w:pPr>
        <w:spacing w:line="400" w:lineRule="exact"/>
        <w:ind w:firstLine="420" w:firstLineChars="200"/>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20" w:firstLineChars="200"/>
      </w:pPr>
      <w:r>
        <w:rPr>
          <w:rFonts w:hint="eastAsia"/>
        </w:rPr>
        <w:t>3.1.2 投标人有以下情形之一的，其投标作废标处理：</w:t>
      </w:r>
    </w:p>
    <w:p>
      <w:pPr>
        <w:spacing w:line="400" w:lineRule="exact"/>
        <w:ind w:firstLine="718" w:firstLineChars="342"/>
      </w:pPr>
      <w:r>
        <w:rPr>
          <w:rFonts w:hint="eastAsia"/>
        </w:rPr>
        <w:t>（1）第二章“投标人须知”第1.4.3项规定的任何一种情形的；</w:t>
      </w:r>
    </w:p>
    <w:p>
      <w:pPr>
        <w:spacing w:line="400" w:lineRule="exact"/>
        <w:ind w:firstLine="718" w:firstLineChars="342"/>
      </w:pPr>
      <w:r>
        <w:rPr>
          <w:rFonts w:hint="eastAsia"/>
        </w:rPr>
        <w:t>（2）串通投标或弄虚作假或有其他违法行为的；</w:t>
      </w:r>
    </w:p>
    <w:p>
      <w:pPr>
        <w:spacing w:line="400" w:lineRule="exact"/>
        <w:ind w:firstLine="718" w:firstLineChars="342"/>
      </w:pPr>
      <w:r>
        <w:rPr>
          <w:rFonts w:hint="eastAsia"/>
        </w:rPr>
        <w:t>（3）不按评标委员会要求澄清、说明或补正的。</w:t>
      </w:r>
    </w:p>
    <w:p>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pPr>
      <w:bookmarkStart w:id="268" w:name="_Toc152042383"/>
      <w:r>
        <w:rPr>
          <w:rFonts w:hint="eastAsia"/>
        </w:rPr>
        <w:t>（1）投标文件中的大写金额与小写金额不一致的，以大写金额为准；</w:t>
      </w:r>
      <w:bookmarkEnd w:id="268"/>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29"/>
      </w:pPr>
      <w:bookmarkStart w:id="269" w:name="_Toc152042384"/>
      <w:bookmarkStart w:id="270" w:name="_Toc179632624"/>
      <w:bookmarkStart w:id="271" w:name="_Toc152045606"/>
      <w:bookmarkStart w:id="272" w:name="_Toc144974573"/>
      <w:r>
        <w:rPr>
          <w:rFonts w:hint="eastAsia"/>
        </w:rPr>
        <w:t>3.2 详细评审</w:t>
      </w:r>
      <w:bookmarkEnd w:id="269"/>
      <w:bookmarkEnd w:id="270"/>
      <w:bookmarkEnd w:id="271"/>
      <w:bookmarkEnd w:id="272"/>
    </w:p>
    <w:p>
      <w:pPr>
        <w:spacing w:line="400" w:lineRule="exact"/>
        <w:ind w:firstLine="420" w:firstLineChars="200"/>
      </w:pPr>
      <w:r>
        <w:rPr>
          <w:rFonts w:hint="eastAsia"/>
        </w:rPr>
        <w:t>3.2.1 评标委员会按本章第2.2款规定的量化因素和分值进行打分，并计算出综合评估得分。</w:t>
      </w:r>
    </w:p>
    <w:p>
      <w:pPr>
        <w:spacing w:line="400" w:lineRule="exact"/>
        <w:ind w:firstLine="718" w:firstLineChars="342"/>
      </w:pPr>
      <w:r>
        <w:rPr>
          <w:rFonts w:hint="eastAsia"/>
        </w:rPr>
        <w:t>（1）按本章第2.2.4（1）目规定的评审因素和分值对施工组织设计计算出得分A；</w:t>
      </w:r>
    </w:p>
    <w:p>
      <w:pPr>
        <w:spacing w:line="400" w:lineRule="exact"/>
        <w:ind w:firstLine="718" w:firstLineChars="342"/>
      </w:pPr>
      <w:r>
        <w:rPr>
          <w:rFonts w:hint="eastAsia"/>
        </w:rPr>
        <w:t>（2）按本章第2.2.4（2）目规定的评审因素和分值对投标报价计算出得分B；</w:t>
      </w:r>
    </w:p>
    <w:p>
      <w:pPr>
        <w:spacing w:line="400" w:lineRule="exact"/>
        <w:ind w:firstLine="718" w:firstLineChars="342"/>
      </w:pPr>
      <w:r>
        <w:rPr>
          <w:rFonts w:hint="eastAsia"/>
        </w:rPr>
        <w:t>（3）按本章第2.2.4（3）目规定的评审因素和分值对其他部分计算出得分C。</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9"/>
      </w:pPr>
      <w:bookmarkStart w:id="273" w:name="_Toc144974575"/>
      <w:bookmarkStart w:id="274" w:name="_Toc152042385"/>
      <w:bookmarkStart w:id="275" w:name="_Toc179632625"/>
      <w:bookmarkStart w:id="276" w:name="_Toc152045607"/>
      <w:r>
        <w:rPr>
          <w:rFonts w:hint="eastAsia"/>
        </w:rPr>
        <w:t>3.3 投标文件的澄清</w:t>
      </w:r>
      <w:bookmarkEnd w:id="273"/>
      <w:r>
        <w:rPr>
          <w:rFonts w:hint="eastAsia"/>
        </w:rPr>
        <w:t>和补正</w:t>
      </w:r>
      <w:bookmarkEnd w:id="274"/>
      <w:bookmarkEnd w:id="275"/>
      <w:bookmarkEnd w:id="276"/>
    </w:p>
    <w:p>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29"/>
      </w:pPr>
      <w:bookmarkStart w:id="277" w:name="_Toc152042386"/>
      <w:bookmarkStart w:id="278" w:name="_Toc144974576"/>
      <w:bookmarkStart w:id="279" w:name="_Toc179632626"/>
      <w:bookmarkStart w:id="280" w:name="_Toc152045608"/>
      <w:r>
        <w:rPr>
          <w:rFonts w:hint="eastAsia"/>
        </w:rPr>
        <w:t>3.4 评标结果</w:t>
      </w:r>
      <w:bookmarkEnd w:id="277"/>
      <w:bookmarkEnd w:id="278"/>
      <w:bookmarkEnd w:id="279"/>
      <w:bookmarkEnd w:id="280"/>
    </w:p>
    <w:p>
      <w:pPr>
        <w:spacing w:line="400" w:lineRule="exact"/>
        <w:ind w:firstLine="420" w:firstLineChars="200"/>
      </w:pPr>
      <w:r>
        <w:rPr>
          <w:rFonts w:hint="eastAsia"/>
        </w:rPr>
        <w:t>3.4.1除第二章“投标人须知”前附表授权直接确定中标人外，评标委员会按照得分由高到低的顺序推荐中标候选人。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bookmarkStart w:id="419" w:name="_GoBack"/>
      <w:bookmarkEnd w:id="419"/>
    </w:p>
    <w:p>
      <w:pPr>
        <w:spacing w:line="400" w:lineRule="exact"/>
      </w:pPr>
    </w:p>
    <w:p>
      <w:pPr>
        <w:spacing w:line="400" w:lineRule="exact"/>
      </w:pPr>
    </w:p>
    <w:p>
      <w:pPr>
        <w:spacing w:line="400" w:lineRule="exact"/>
      </w:pPr>
    </w:p>
    <w:p>
      <w:pPr>
        <w:pStyle w:val="2"/>
        <w:spacing w:before="120" w:after="120" w:line="400" w:lineRule="exact"/>
        <w:jc w:val="center"/>
        <w:rPr>
          <w:rFonts w:ascii="黑体" w:hAnsi="黑体" w:eastAsia="黑体"/>
          <w:b w:val="0"/>
          <w:bCs w:val="0"/>
          <w:sz w:val="32"/>
        </w:rPr>
      </w:pPr>
      <w:bookmarkStart w:id="281" w:name="_Toc179632627"/>
      <w:bookmarkStart w:id="282" w:name="_Toc144974577"/>
      <w:bookmarkStart w:id="283" w:name="_Toc152042387"/>
      <w:bookmarkStart w:id="284" w:name="_Toc152045609"/>
      <w:r>
        <w:rPr>
          <w:rFonts w:hint="eastAsia" w:ascii="黑体" w:hAnsi="黑体" w:eastAsia="黑体"/>
          <w:b w:val="0"/>
          <w:bCs w:val="0"/>
          <w:sz w:val="32"/>
        </w:rPr>
        <w:t>第四章 合同条款及格式</w:t>
      </w:r>
      <w:bookmarkEnd w:id="281"/>
      <w:bookmarkEnd w:id="282"/>
      <w:bookmarkEnd w:id="283"/>
      <w:bookmarkEnd w:id="284"/>
    </w:p>
    <w:p>
      <w:pPr>
        <w:spacing w:line="400" w:lineRule="exact"/>
      </w:pPr>
    </w:p>
    <w:p>
      <w:pPr>
        <w:pStyle w:val="28"/>
        <w:numPr>
          <w:ilvl w:val="0"/>
          <w:numId w:val="2"/>
        </w:numPr>
        <w:jc w:val="center"/>
      </w:pPr>
      <w:r>
        <w:rPr>
          <w:rFonts w:hint="eastAsia"/>
        </w:rPr>
        <w:t>施工合同格式</w:t>
      </w:r>
    </w:p>
    <w:p>
      <w:pPr>
        <w:pStyle w:val="4"/>
        <w:keepNext w:val="0"/>
        <w:keepLines w:val="0"/>
        <w:jc w:val="center"/>
        <w:rPr>
          <w:rFonts w:ascii="Times New Roman" w:hAnsi="Times New Roman" w:eastAsia="华文中宋"/>
          <w:color w:val="000000"/>
        </w:rPr>
      </w:pPr>
      <w:bookmarkStart w:id="285" w:name="_Toc296890982"/>
      <w:bookmarkStart w:id="286" w:name="_Toc351203480"/>
      <w:bookmarkStart w:id="287" w:name="_Toc296503025"/>
      <w:r>
        <w:rPr>
          <w:rFonts w:ascii="Times New Roman" w:hAnsi="Times New Roman" w:eastAsia="华文中宋"/>
          <w:color w:val="000000"/>
        </w:rPr>
        <w:t>建设工程施工合同</w:t>
      </w:r>
    </w:p>
    <w:p>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85"/>
      <w:bookmarkEnd w:id="286"/>
      <w:bookmarkEnd w:id="287"/>
    </w:p>
    <w:p>
      <w:pPr>
        <w:spacing w:line="360" w:lineRule="auto"/>
        <w:rPr>
          <w:rFonts w:asciiTheme="majorEastAsia" w:hAnsiTheme="majorEastAsia" w:eastAsiaTheme="majorEastAsia" w:cstheme="majorEastAsia"/>
          <w:b/>
          <w:color w:val="000000"/>
          <w:szCs w:val="21"/>
          <w:u w:val="single"/>
        </w:rPr>
      </w:pPr>
      <w:r>
        <w:rPr>
          <w:rFonts w:hint="eastAsia" w:asciiTheme="majorEastAsia" w:hAnsiTheme="majorEastAsia" w:eastAsiaTheme="majorEastAsia" w:cstheme="majorEastAsia"/>
          <w:b/>
          <w:color w:val="000000"/>
          <w:szCs w:val="21"/>
        </w:rPr>
        <w:t>发包人（全称）：</w:t>
      </w:r>
      <w:r>
        <w:rPr>
          <w:rFonts w:hint="eastAsia" w:asciiTheme="majorEastAsia" w:hAnsiTheme="majorEastAsia" w:eastAsiaTheme="majorEastAsia" w:cstheme="majorEastAsia"/>
          <w:b/>
          <w:color w:val="000000"/>
          <w:szCs w:val="21"/>
          <w:u w:val="single"/>
        </w:rPr>
        <w:t>冀东海天水泥闻喜有限责任公司</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szCs w:val="21"/>
        </w:rPr>
        <w:t xml:space="preserve">承包人（全称）：             </w:t>
      </w:r>
      <w:r>
        <w:rPr>
          <w:rFonts w:hint="eastAsia" w:asciiTheme="majorEastAsia" w:hAnsiTheme="majorEastAsia" w:eastAsiaTheme="majorEastAsia" w:cstheme="majorEastAsia"/>
          <w:szCs w:val="21"/>
        </w:rPr>
        <w:t xml:space="preserve"> </w:t>
      </w:r>
    </w:p>
    <w:p>
      <w:pPr>
        <w:spacing w:line="360" w:lineRule="auto"/>
        <w:ind w:firstLine="420" w:firstLineChars="200"/>
        <w:jc w:val="left"/>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施工及有关事项协商一致，共同达成如下协议：</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8" w:name="_Toc351203481"/>
      <w:r>
        <w:rPr>
          <w:rFonts w:hint="eastAsia" w:asciiTheme="majorEastAsia" w:hAnsiTheme="majorEastAsia" w:eastAsiaTheme="majorEastAsia" w:cstheme="majorEastAsia"/>
          <w:b w:val="0"/>
          <w:color w:val="000000"/>
          <w:sz w:val="21"/>
          <w:szCs w:val="21"/>
        </w:rPr>
        <w:t>一、工程概况</w:t>
      </w:r>
      <w:bookmarkEnd w:id="288"/>
    </w:p>
    <w:p>
      <w:pPr>
        <w:spacing w:line="360" w:lineRule="auto"/>
        <w:ind w:firstLine="420" w:firstLineChars="200"/>
        <w:rPr>
          <w:rFonts w:asciiTheme="majorEastAsia" w:hAnsiTheme="majorEastAsia" w:eastAsiaTheme="majorEastAsia" w:cstheme="majorEastAsia"/>
          <w:bCs/>
          <w:color w:val="000000"/>
          <w:szCs w:val="21"/>
          <w:u w:val="single"/>
        </w:rPr>
      </w:pPr>
      <w:r>
        <w:rPr>
          <w:rFonts w:hint="eastAsia" w:asciiTheme="majorEastAsia" w:hAnsiTheme="majorEastAsia" w:eastAsiaTheme="majorEastAsia" w:cstheme="majorEastAsia"/>
          <w:bCs/>
          <w:color w:val="000000"/>
          <w:szCs w:val="21"/>
        </w:rPr>
        <w:t>1.工程名称</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2.工程地点：</w:t>
      </w:r>
      <w:r>
        <w:rPr>
          <w:rFonts w:hint="eastAsia" w:asciiTheme="majorEastAsia" w:hAnsiTheme="majorEastAsia" w:eastAsiaTheme="majorEastAsia" w:cstheme="majorEastAsia"/>
          <w:color w:val="000000"/>
          <w:szCs w:val="21"/>
          <w:u w:val="single"/>
        </w:rPr>
        <w:t xml:space="preserve">      </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3.工程立项批准文号：</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4.资金来源：</w:t>
      </w:r>
      <w:r>
        <w:rPr>
          <w:rFonts w:hint="eastAsia" w:asciiTheme="majorEastAsia" w:hAnsiTheme="majorEastAsia" w:eastAsiaTheme="majorEastAsia" w:cstheme="majorEastAsia"/>
          <w:bCs/>
          <w:color w:val="000000"/>
          <w:szCs w:val="21"/>
          <w:u w:val="single"/>
        </w:rPr>
        <w:t>自筹</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5.工程内容：</w:t>
      </w:r>
      <w:r>
        <w:rPr>
          <w:rFonts w:hint="eastAsia" w:asciiTheme="majorEastAsia" w:hAnsiTheme="majorEastAsia" w:eastAsiaTheme="majorEastAsia" w:cstheme="majorEastAsia"/>
          <w:bCs/>
          <w:color w:val="000000"/>
          <w:szCs w:val="21"/>
          <w:u w:val="single"/>
        </w:rPr>
        <w:t>详见附表</w:t>
      </w:r>
    </w:p>
    <w:p>
      <w:pPr>
        <w:spacing w:line="360" w:lineRule="auto"/>
        <w:ind w:firstLine="411" w:firstLineChars="196"/>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Cs/>
          <w:color w:val="000000"/>
          <w:szCs w:val="21"/>
        </w:rPr>
        <w:t>6.工程承包范围：</w:t>
      </w:r>
      <w:r>
        <w:rPr>
          <w:rFonts w:hint="eastAsia" w:asciiTheme="majorEastAsia" w:hAnsiTheme="majorEastAsia" w:eastAsiaTheme="majorEastAsia" w:cstheme="majorEastAsia"/>
          <w:color w:val="000000"/>
          <w:szCs w:val="21"/>
          <w:u w:val="single"/>
        </w:rPr>
        <w:t>从施工到最终交验通过的全部内容和过程负责。</w:t>
      </w:r>
    </w:p>
    <w:p>
      <w:pPr>
        <w:pStyle w:val="5"/>
        <w:spacing w:before="120" w:after="120" w:line="360" w:lineRule="auto"/>
        <w:rPr>
          <w:rFonts w:asciiTheme="majorEastAsia" w:hAnsiTheme="majorEastAsia" w:eastAsiaTheme="majorEastAsia" w:cstheme="majorEastAsia"/>
          <w:b w:val="0"/>
          <w:color w:val="000000"/>
          <w:sz w:val="21"/>
          <w:szCs w:val="21"/>
        </w:rPr>
      </w:pPr>
      <w:bookmarkStart w:id="289" w:name="_Toc351203482"/>
      <w:r>
        <w:rPr>
          <w:rFonts w:hint="eastAsia" w:asciiTheme="majorEastAsia" w:hAnsiTheme="majorEastAsia" w:eastAsiaTheme="majorEastAsia" w:cstheme="majorEastAsia"/>
          <w:b w:val="0"/>
          <w:color w:val="000000"/>
          <w:sz w:val="21"/>
          <w:szCs w:val="21"/>
        </w:rPr>
        <w:t>二、合同工期</w:t>
      </w:r>
      <w:bookmarkEnd w:id="289"/>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计划开工日期：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计划竣工日期：</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xml:space="preserve">年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工期总日历天数：</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天。工期总日历天数与根据前</w:t>
      </w:r>
      <w:r>
        <w:rPr>
          <w:rFonts w:hint="eastAsia" w:asciiTheme="majorEastAsia" w:hAnsiTheme="majorEastAsia" w:eastAsiaTheme="majorEastAsia" w:cstheme="majorEastAsia"/>
          <w:color w:val="000000"/>
          <w:szCs w:val="21"/>
        </w:rPr>
        <w:t>述计划开竣工日期计算的工期天数不一致的，以工期总日历天数为准。</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工期的具体开工、竣工日期以发包人批准的开工报告和竣工报告时间为准。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0" w:name="_Toc351203483"/>
      <w:r>
        <w:rPr>
          <w:rFonts w:hint="eastAsia" w:asciiTheme="majorEastAsia" w:hAnsiTheme="majorEastAsia" w:eastAsiaTheme="majorEastAsia" w:cstheme="majorEastAsia"/>
          <w:b w:val="0"/>
          <w:color w:val="000000"/>
          <w:sz w:val="21"/>
          <w:szCs w:val="21"/>
        </w:rPr>
        <w:t>三、质量标准</w:t>
      </w:r>
      <w:bookmarkEnd w:id="290"/>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工程质量符合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标准。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1" w:name="_Toc351203484"/>
      <w:r>
        <w:rPr>
          <w:rFonts w:hint="eastAsia" w:asciiTheme="majorEastAsia" w:hAnsiTheme="majorEastAsia" w:eastAsiaTheme="majorEastAsia" w:cstheme="majorEastAsia"/>
          <w:b w:val="0"/>
          <w:color w:val="000000"/>
          <w:sz w:val="21"/>
          <w:szCs w:val="21"/>
        </w:rPr>
        <w:t>四、签约合同价与合同价格形式</w:t>
      </w:r>
      <w:bookmarkEnd w:id="291"/>
      <w:r>
        <w:rPr>
          <w:rFonts w:hint="eastAsia" w:asciiTheme="majorEastAsia" w:hAnsiTheme="majorEastAsia" w:eastAsiaTheme="majorEastAsia" w:cstheme="majorEastAsia"/>
          <w:b w:val="0"/>
          <w:color w:val="000000"/>
          <w:sz w:val="21"/>
          <w:szCs w:val="21"/>
        </w:rPr>
        <w:tab/>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1.签约合同价（暂定）为：人民币（大写）</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其中：</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（1）安全文明施工费：</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（2）材料和工程设备暂估价金额：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（3）专业工程暂估价金额：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（4）暂列金额：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numPr>
          <w:ilvl w:val="0"/>
          <w:numId w:val="0"/>
        </w:num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合同价格形式：</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u w:val="single"/>
          <w:lang w:val="en-US" w:eastAsia="zh-CN"/>
        </w:rPr>
        <w:t>暂估工程量，固定综合单价</w:t>
      </w:r>
      <w:r>
        <w:rPr>
          <w:rFonts w:hint="eastAsia" w:asciiTheme="majorEastAsia" w:hAnsiTheme="majorEastAsia" w:eastAsiaTheme="majorEastAsia" w:cstheme="majorEastAsia"/>
          <w:color w:val="000000"/>
          <w:szCs w:val="21"/>
          <w:u w:val="single"/>
        </w:rPr>
        <w:t xml:space="preserve">      </w:t>
      </w:r>
    </w:p>
    <w:p>
      <w:pPr>
        <w:spacing w:line="360" w:lineRule="auto"/>
        <w:ind w:firstLine="420" w:firstLineChars="200"/>
        <w:rPr>
          <w:rFonts w:hint="eastAsia" w:asciiTheme="majorEastAsia" w:hAnsiTheme="majorEastAsia" w:eastAsiaTheme="majorEastAsia" w:cstheme="majorEastAsia"/>
          <w:b/>
          <w:bCs/>
          <w:kern w:val="2"/>
          <w:sz w:val="21"/>
          <w:szCs w:val="21"/>
          <w:u w:val="single"/>
          <w:lang w:val="en-US" w:eastAsia="zh-CN" w:bidi="ar-SA"/>
        </w:rPr>
      </w:pPr>
      <w:r>
        <w:rPr>
          <w:rFonts w:asciiTheme="majorEastAsia" w:hAnsiTheme="majorEastAsia" w:eastAsiaTheme="majorEastAsia" w:cstheme="majorEastAsia"/>
          <w:sz w:val="21"/>
          <w:szCs w:val="21"/>
          <w:u w:val="none"/>
        </w:rPr>
        <w:t>3.</w:t>
      </w:r>
      <w:r>
        <w:rPr>
          <w:rFonts w:hint="eastAsia" w:asciiTheme="majorEastAsia" w:hAnsiTheme="majorEastAsia" w:eastAsiaTheme="majorEastAsia" w:cstheme="majorEastAsia"/>
          <w:sz w:val="21"/>
          <w:szCs w:val="21"/>
          <w:u w:val="none"/>
        </w:rPr>
        <w:t>付款方式：</w:t>
      </w:r>
      <w:bookmarkStart w:id="292" w:name="_Toc351203485"/>
      <w:r>
        <w:rPr>
          <w:rFonts w:hint="eastAsia" w:asciiTheme="majorEastAsia" w:hAnsiTheme="majorEastAsia" w:eastAsiaTheme="majorEastAsia" w:cstheme="majorEastAsia"/>
          <w:b/>
          <w:bCs/>
          <w:kern w:val="2"/>
          <w:sz w:val="21"/>
          <w:szCs w:val="21"/>
          <w:u w:val="single"/>
          <w:lang w:val="en-US" w:eastAsia="zh-CN" w:bidi="ar-SA"/>
        </w:rPr>
        <w:t>承包人应严格按照承包范围和内容施工，工程进度款根据工程价款与实际完成的工程量，工程竣工验收合格后且经第三方审计结算后支付工程结算价的 90 %，同时开具工程款全额发票，剩余 10 %作为质保金，工程验收合格之日起 一  年后无质量问题，无息一次付清剩余部分质保金。</w:t>
      </w:r>
    </w:p>
    <w:p>
      <w:pPr>
        <w:pStyle w:val="20"/>
        <w:tabs>
          <w:tab w:val="left" w:pos="312"/>
        </w:tabs>
        <w:spacing w:before="120" w:after="120" w:line="360" w:lineRule="auto"/>
        <w:ind w:left="0" w:leftChars="0" w:firstLine="632" w:firstLineChars="3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sz w:val="21"/>
          <w:szCs w:val="21"/>
        </w:rPr>
        <w:t>根据发包方实际情况确定，电汇、转账或承兑汇票。</w:t>
      </w:r>
    </w:p>
    <w:p>
      <w:pPr>
        <w:pStyle w:val="20"/>
        <w:spacing w:before="120" w:after="120" w:line="360" w:lineRule="auto"/>
        <w:ind w:left="420" w:firstLine="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w:t>
      </w:r>
      <w:bookmarkEnd w:id="292"/>
      <w:r>
        <w:rPr>
          <w:rFonts w:hint="eastAsia" w:asciiTheme="majorEastAsia" w:hAnsiTheme="majorEastAsia" w:eastAsiaTheme="majorEastAsia" w:cstheme="majorEastAsia"/>
          <w:color w:val="000000"/>
          <w:sz w:val="21"/>
          <w:szCs w:val="21"/>
        </w:rPr>
        <w:t>项目经理</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承包人项目经理：</w:t>
      </w:r>
      <w:r>
        <w:rPr>
          <w:rFonts w:hint="eastAsia" w:asciiTheme="majorEastAsia" w:hAnsiTheme="majorEastAsia" w:eastAsiaTheme="majorEastAsia" w:cstheme="majorEastAsia"/>
          <w:color w:val="000000"/>
          <w:szCs w:val="21"/>
          <w:u w:val="single"/>
        </w:rPr>
        <w:t xml:space="preserve">            </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3" w:name="_Toc351203486"/>
      <w:r>
        <w:rPr>
          <w:rFonts w:hint="eastAsia" w:asciiTheme="majorEastAsia" w:hAnsiTheme="majorEastAsia" w:eastAsiaTheme="majorEastAsia" w:cstheme="majorEastAsia"/>
          <w:b w:val="0"/>
          <w:color w:val="000000"/>
          <w:sz w:val="21"/>
          <w:szCs w:val="21"/>
        </w:rPr>
        <w:t>六、合同文件构成</w:t>
      </w:r>
      <w:bookmarkEnd w:id="293"/>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本协议书与下列文件一起构成合同文件：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（1）中标通知书；</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（2）投标函及其附录；</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（3）专用合同条款及其附件；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（4）通用合同条款；</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（5）技术标准和要求；</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（6）图纸；</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（7）工程报价单或预算书； </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（8）其他合同文件。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360" w:lineRule="auto"/>
        <w:rPr>
          <w:rFonts w:asciiTheme="majorEastAsia" w:hAnsiTheme="majorEastAsia" w:eastAsiaTheme="majorEastAsia" w:cstheme="majorEastAsia"/>
          <w:b w:val="0"/>
          <w:bCs w:val="0"/>
          <w:color w:val="000000"/>
          <w:sz w:val="21"/>
          <w:szCs w:val="21"/>
        </w:rPr>
      </w:pPr>
      <w:bookmarkStart w:id="294" w:name="_Toc351203487"/>
      <w:r>
        <w:rPr>
          <w:rFonts w:hint="eastAsia" w:asciiTheme="majorEastAsia" w:hAnsiTheme="majorEastAsia" w:eastAsiaTheme="majorEastAsia" w:cstheme="majorEastAsia"/>
          <w:b w:val="0"/>
          <w:color w:val="000000"/>
          <w:sz w:val="21"/>
          <w:szCs w:val="21"/>
        </w:rPr>
        <w:t>七、承诺</w:t>
      </w:r>
      <w:bookmarkEnd w:id="294"/>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3.发包人和承包人通过招投标形式签订合同的，双方理解并承诺不再就同一工程另行签订与合同实质性内容相背离的协议。</w:t>
      </w:r>
    </w:p>
    <w:p>
      <w:pPr>
        <w:spacing w:line="360" w:lineRule="auto"/>
        <w:rPr>
          <w:rFonts w:asciiTheme="majorEastAsia" w:hAnsiTheme="majorEastAsia" w:eastAsiaTheme="majorEastAsia" w:cstheme="majorEastAsia"/>
          <w:bCs/>
          <w:color w:val="000000"/>
          <w:szCs w:val="21"/>
        </w:rPr>
      </w:pPr>
      <w:bookmarkStart w:id="295" w:name="_Toc351203488"/>
      <w:r>
        <w:rPr>
          <w:rFonts w:hint="eastAsia" w:asciiTheme="majorEastAsia" w:hAnsiTheme="majorEastAsia" w:eastAsiaTheme="majorEastAsia" w:cstheme="majorEastAsia"/>
          <w:b/>
          <w:color w:val="000000"/>
          <w:szCs w:val="21"/>
        </w:rPr>
        <w:t>八、词语含义</w:t>
      </w:r>
      <w:bookmarkEnd w:id="295"/>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本协议书中词语含义与第二部分通用合同条款中赋予的含义相同。</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6" w:name="_Toc351203489"/>
      <w:r>
        <w:rPr>
          <w:rFonts w:hint="eastAsia" w:asciiTheme="majorEastAsia" w:hAnsiTheme="majorEastAsia" w:eastAsiaTheme="majorEastAsia" w:cstheme="majorEastAsia"/>
          <w:b w:val="0"/>
          <w:color w:val="000000"/>
          <w:sz w:val="21"/>
          <w:szCs w:val="21"/>
        </w:rPr>
        <w:t>九、签订时间</w:t>
      </w:r>
      <w:bookmarkEnd w:id="296"/>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本合同于</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月</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日签订。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7" w:name="_Toc351203490"/>
      <w:r>
        <w:rPr>
          <w:rFonts w:hint="eastAsia" w:asciiTheme="majorEastAsia" w:hAnsiTheme="majorEastAsia" w:eastAsiaTheme="majorEastAsia" w:cstheme="majorEastAsia"/>
          <w:b w:val="0"/>
          <w:color w:val="000000"/>
          <w:sz w:val="21"/>
          <w:szCs w:val="21"/>
        </w:rPr>
        <w:t>十、签订地点</w:t>
      </w:r>
      <w:bookmarkEnd w:id="297"/>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本合同在</w:t>
      </w:r>
      <w:r>
        <w:rPr>
          <w:rFonts w:hint="eastAsia" w:asciiTheme="majorEastAsia" w:hAnsiTheme="majorEastAsia" w:eastAsiaTheme="majorEastAsia" w:cstheme="majorEastAsia"/>
          <w:bCs/>
          <w:color w:val="000000"/>
          <w:szCs w:val="21"/>
          <w:u w:val="single"/>
        </w:rPr>
        <w:t>冀东海天水泥闻喜有限责任公司</w:t>
      </w:r>
      <w:r>
        <w:rPr>
          <w:rFonts w:hint="eastAsia" w:asciiTheme="majorEastAsia" w:hAnsiTheme="majorEastAsia" w:eastAsiaTheme="majorEastAsia" w:cstheme="majorEastAsia"/>
          <w:bCs/>
          <w:color w:val="000000"/>
          <w:szCs w:val="21"/>
        </w:rPr>
        <w:t>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8" w:name="_Toc351203491"/>
      <w:r>
        <w:rPr>
          <w:rFonts w:hint="eastAsia" w:asciiTheme="majorEastAsia" w:hAnsiTheme="majorEastAsia" w:eastAsiaTheme="majorEastAsia" w:cstheme="majorEastAsia"/>
          <w:b w:val="0"/>
          <w:color w:val="000000"/>
          <w:sz w:val="21"/>
          <w:szCs w:val="21"/>
        </w:rPr>
        <w:t>十一、补充协议</w:t>
      </w:r>
      <w:bookmarkEnd w:id="298"/>
    </w:p>
    <w:p>
      <w:pPr>
        <w:spacing w:line="360" w:lineRule="auto"/>
        <w:ind w:firstLine="420"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Cs/>
          <w:color w:val="000000"/>
          <w:szCs w:val="21"/>
        </w:rPr>
        <w:t>合同未尽事宜，合同当事人另行签订补充协议，补充协议是合同的组成部分。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99" w:name="_Toc351203492"/>
      <w:r>
        <w:rPr>
          <w:rFonts w:hint="eastAsia" w:asciiTheme="majorEastAsia" w:hAnsiTheme="majorEastAsia" w:eastAsiaTheme="majorEastAsia" w:cstheme="majorEastAsia"/>
          <w:b w:val="0"/>
          <w:color w:val="000000"/>
          <w:sz w:val="21"/>
          <w:szCs w:val="21"/>
        </w:rPr>
        <w:t>十二、合同生效</w:t>
      </w:r>
      <w:bookmarkEnd w:id="299"/>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本合同自</w:t>
      </w:r>
      <w:r>
        <w:rPr>
          <w:rFonts w:hint="eastAsia" w:asciiTheme="majorEastAsia" w:hAnsiTheme="majorEastAsia" w:eastAsiaTheme="majorEastAsia" w:cstheme="majorEastAsia"/>
          <w:bCs/>
          <w:color w:val="000000"/>
          <w:szCs w:val="21"/>
          <w:u w:val="single"/>
        </w:rPr>
        <w:t>签订之日</w:t>
      </w:r>
      <w:r>
        <w:rPr>
          <w:rFonts w:hint="eastAsia" w:asciiTheme="majorEastAsia" w:hAnsiTheme="majorEastAsia" w:eastAsiaTheme="majorEastAsia" w:cstheme="majorEastAsia"/>
          <w:bCs/>
          <w:color w:val="000000"/>
          <w:szCs w:val="21"/>
        </w:rPr>
        <w:t>生效。</w:t>
      </w:r>
    </w:p>
    <w:p>
      <w:pPr>
        <w:pStyle w:val="5"/>
        <w:spacing w:before="120" w:after="120" w:line="360" w:lineRule="auto"/>
        <w:rPr>
          <w:rFonts w:asciiTheme="majorEastAsia" w:hAnsiTheme="majorEastAsia" w:eastAsiaTheme="majorEastAsia" w:cstheme="majorEastAsia"/>
          <w:bCs w:val="0"/>
          <w:color w:val="000000"/>
          <w:sz w:val="21"/>
          <w:szCs w:val="21"/>
        </w:rPr>
      </w:pPr>
      <w:bookmarkStart w:id="300" w:name="_Toc351203493"/>
      <w:r>
        <w:rPr>
          <w:rFonts w:hint="eastAsia" w:asciiTheme="majorEastAsia" w:hAnsiTheme="majorEastAsia" w:eastAsiaTheme="majorEastAsia" w:cstheme="majorEastAsia"/>
          <w:b w:val="0"/>
          <w:color w:val="000000"/>
          <w:sz w:val="21"/>
          <w:szCs w:val="21"/>
        </w:rPr>
        <w:t>十三、合同份数</w:t>
      </w:r>
      <w:bookmarkEnd w:id="300"/>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color w:val="000000"/>
          <w:szCs w:val="21"/>
        </w:rPr>
        <w:t>本合同一式</w:t>
      </w:r>
      <w:r>
        <w:rPr>
          <w:rFonts w:hint="eastAsia" w:asciiTheme="majorEastAsia" w:hAnsiTheme="majorEastAsia" w:eastAsiaTheme="majorEastAsia" w:cstheme="majorEastAsia"/>
          <w:bCs/>
          <w:color w:val="000000"/>
          <w:szCs w:val="21"/>
          <w:u w:val="single"/>
        </w:rPr>
        <w:t xml:space="preserve">  陆 </w:t>
      </w:r>
      <w:r>
        <w:rPr>
          <w:rFonts w:hint="eastAsia" w:asciiTheme="majorEastAsia" w:hAnsiTheme="majorEastAsia" w:eastAsiaTheme="majorEastAsia" w:cstheme="majorEastAsia"/>
          <w:bCs/>
          <w:color w:val="000000"/>
          <w:szCs w:val="21"/>
        </w:rPr>
        <w:t xml:space="preserve">份，均具有同等法律效力，发包人执 </w:t>
      </w:r>
      <w:r>
        <w:rPr>
          <w:rFonts w:hint="eastAsia" w:asciiTheme="majorEastAsia" w:hAnsiTheme="majorEastAsia" w:eastAsiaTheme="majorEastAsia" w:cstheme="majorEastAsia"/>
          <w:bCs/>
          <w:color w:val="000000"/>
          <w:szCs w:val="21"/>
          <w:u w:val="single"/>
        </w:rPr>
        <w:t>肆</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份，承包人执</w:t>
      </w:r>
      <w:r>
        <w:rPr>
          <w:rFonts w:hint="eastAsia" w:asciiTheme="majorEastAsia" w:hAnsiTheme="majorEastAsia" w:eastAsiaTheme="majorEastAsia" w:cstheme="majorEastAsia"/>
          <w:bCs/>
          <w:szCs w:val="21"/>
          <w:u w:val="single"/>
        </w:rPr>
        <w:t xml:space="preserve"> 贰</w:t>
      </w:r>
      <w:r>
        <w:rPr>
          <w:rFonts w:hint="eastAsia" w:asciiTheme="majorEastAsia" w:hAnsiTheme="majorEastAsia" w:eastAsiaTheme="majorEastAsia" w:cstheme="majorEastAsia"/>
          <w:bCs/>
          <w:szCs w:val="21"/>
        </w:rPr>
        <w:t>份。</w:t>
      </w:r>
    </w:p>
    <w:p>
      <w:pPr>
        <w:spacing w:line="360" w:lineRule="auto"/>
        <w:ind w:left="2415" w:hanging="2415" w:hangingChars="11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发包人： 冀东海天水泥闻喜有限责任公司        承包人：</w:t>
      </w:r>
    </w:p>
    <w:p>
      <w:pPr>
        <w:spacing w:line="360" w:lineRule="auto"/>
        <w:ind w:firstLine="1050" w:firstLineChars="5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（公章)                       (公章)</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法定代表人或其委托代理人：              法定代表人或其委托代理人：</w:t>
      </w:r>
    </w:p>
    <w:p>
      <w:pPr>
        <w:spacing w:line="360" w:lineRule="auto"/>
        <w:ind w:firstLine="840" w:firstLineChars="4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（签字）                     （签字）</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日期：  年   月   日                   日期：   年    月    日</w:t>
      </w:r>
    </w:p>
    <w:p>
      <w:pPr>
        <w:tabs>
          <w:tab w:val="left" w:pos="4410"/>
        </w:tabs>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组织机构代码：</w:t>
      </w:r>
      <w:r>
        <w:rPr>
          <w:rFonts w:hint="eastAsia" w:asciiTheme="majorEastAsia" w:hAnsiTheme="majorEastAsia" w:eastAsiaTheme="majorEastAsia" w:cstheme="majorEastAsia"/>
          <w:color w:val="000000"/>
          <w:szCs w:val="21"/>
          <w:u w:val="single"/>
        </w:rPr>
        <w:t xml:space="preserve">     </w:t>
      </w:r>
      <w:r>
        <w:rPr>
          <w:rFonts w:hint="eastAsia" w:asciiTheme="majorEastAsia" w:hAnsiTheme="majorEastAsia" w:eastAsiaTheme="majorEastAsia" w:cstheme="majorEastAsia"/>
          <w:color w:val="000000"/>
          <w:szCs w:val="21"/>
        </w:rPr>
        <w:t xml:space="preserve">                  组织机构代码：</w:t>
      </w:r>
      <w:r>
        <w:rPr>
          <w:rFonts w:hint="eastAsia" w:asciiTheme="majorEastAsia" w:hAnsiTheme="majorEastAsia" w:eastAsiaTheme="majorEastAsia" w:cstheme="majorEastAsia"/>
          <w:color w:val="000000"/>
          <w:szCs w:val="21"/>
          <w:u w:val="single"/>
        </w:rPr>
        <w:t xml:space="preserve">                    </w:t>
      </w:r>
    </w:p>
    <w:p>
      <w:pPr>
        <w:spacing w:line="360" w:lineRule="auto"/>
        <w:ind w:left="4515" w:hanging="4515" w:hangingChars="2150"/>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rPr>
        <w:t>地  址：                                 地  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                          邮政编码：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                          法定代表人：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                         委托代理人：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  话：                         电  话：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  真：                       传  真：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电子信箱：                              电子信箱： </w:t>
      </w:r>
    </w:p>
    <w:p>
      <w:pPr>
        <w:spacing w:line="360" w:lineRule="auto"/>
        <w:ind w:left="3990" w:hanging="3990" w:hangingChars="19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                             开户银行：</w:t>
      </w:r>
    </w:p>
    <w:p>
      <w:pPr>
        <w:spacing w:line="360" w:lineRule="auto"/>
      </w:pPr>
      <w:r>
        <w:rPr>
          <w:rFonts w:hint="eastAsia" w:asciiTheme="majorEastAsia" w:hAnsiTheme="majorEastAsia" w:eastAsiaTheme="majorEastAsia" w:cstheme="majorEastAsia"/>
          <w:szCs w:val="21"/>
        </w:rPr>
        <w:t>账 号：                             账号：</w:t>
      </w:r>
    </w:p>
    <w:p>
      <w:pPr>
        <w:spacing w:line="400" w:lineRule="exact"/>
      </w:pPr>
    </w:p>
    <w:p>
      <w:pPr>
        <w:pStyle w:val="13"/>
        <w:tabs>
          <w:tab w:val="left" w:pos="720"/>
          <w:tab w:val="left" w:pos="7560"/>
        </w:tabs>
        <w:adjustRightInd w:val="0"/>
        <w:snapToGrid w:val="0"/>
        <w:spacing w:line="360" w:lineRule="auto"/>
        <w:jc w:val="center"/>
        <w:outlineLvl w:val="1"/>
        <w:rPr>
          <w:rFonts w:ascii="黑体" w:hAnsi="宋体" w:eastAsia="黑体"/>
          <w:sz w:val="36"/>
          <w:szCs w:val="36"/>
        </w:rPr>
      </w:pPr>
      <w:bookmarkStart w:id="301" w:name="_Toc24552"/>
      <w:bookmarkStart w:id="302" w:name="_Toc13765"/>
      <w:bookmarkStart w:id="303" w:name="_Toc144974826"/>
      <w:bookmarkStart w:id="304" w:name="_Toc152042546"/>
      <w:bookmarkStart w:id="305" w:name="_Toc179632785"/>
      <w:bookmarkStart w:id="306" w:name="_Toc152045767"/>
      <w:r>
        <w:rPr>
          <w:rFonts w:hint="eastAsia" w:ascii="黑体" w:hAnsi="宋体" w:eastAsia="黑体"/>
          <w:sz w:val="36"/>
          <w:szCs w:val="36"/>
        </w:rPr>
        <w:t>第二部分  通用条款</w:t>
      </w:r>
      <w:bookmarkEnd w:id="301"/>
      <w:bookmarkEnd w:id="302"/>
    </w:p>
    <w:p>
      <w:pPr>
        <w:pStyle w:val="13"/>
        <w:adjustRightInd w:val="0"/>
        <w:snapToGrid w:val="0"/>
        <w:spacing w:line="360" w:lineRule="auto"/>
        <w:jc w:val="center"/>
        <w:rPr>
          <w:rFonts w:ascii="黑体" w:hAnsi="宋体" w:eastAsia="黑体"/>
          <w:sz w:val="32"/>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（详见合同范本通用条款）</w:t>
      </w:r>
    </w:p>
    <w:p>
      <w:pPr>
        <w:spacing w:line="360" w:lineRule="auto"/>
        <w:jc w:val="center"/>
        <w:rPr>
          <w:rFonts w:eastAsia="黑体"/>
          <w:sz w:val="36"/>
        </w:rPr>
      </w:pPr>
    </w:p>
    <w:p>
      <w:pPr>
        <w:spacing w:line="360" w:lineRule="auto"/>
        <w:jc w:val="left"/>
        <w:rPr>
          <w:rFonts w:eastAsia="黑体"/>
          <w:sz w:val="36"/>
        </w:rPr>
      </w:pPr>
    </w:p>
    <w:p>
      <w:pPr>
        <w:tabs>
          <w:tab w:val="left" w:pos="2220"/>
          <w:tab w:val="center" w:pos="4156"/>
        </w:tabs>
        <w:spacing w:line="360" w:lineRule="auto"/>
        <w:jc w:val="left"/>
        <w:outlineLvl w:val="1"/>
        <w:rPr>
          <w:rFonts w:eastAsia="黑体"/>
          <w:sz w:val="36"/>
        </w:rPr>
      </w:pPr>
      <w:r>
        <w:rPr>
          <w:rFonts w:eastAsia="黑体"/>
          <w:sz w:val="36"/>
        </w:rPr>
        <w:tab/>
      </w:r>
      <w:r>
        <w:rPr>
          <w:rFonts w:hint="eastAsia" w:eastAsia="黑体"/>
          <w:sz w:val="36"/>
        </w:rPr>
        <w:t xml:space="preserve">   </w:t>
      </w:r>
      <w:bookmarkStart w:id="307" w:name="_Toc18368"/>
      <w:bookmarkStart w:id="308" w:name="_Toc20656"/>
      <w:r>
        <w:rPr>
          <w:rFonts w:hint="eastAsia" w:eastAsia="黑体"/>
          <w:sz w:val="36"/>
        </w:rPr>
        <w:t>第三部分  专用条款</w:t>
      </w:r>
      <w:bookmarkEnd w:id="307"/>
      <w:bookmarkEnd w:id="308"/>
    </w:p>
    <w:p>
      <w:pPr>
        <w:spacing w:line="360" w:lineRule="auto"/>
        <w:rPr>
          <w:rFonts w:eastAsia="黑体"/>
        </w:rPr>
      </w:pPr>
    </w:p>
    <w:p>
      <w:pPr>
        <w:spacing w:line="360" w:lineRule="auto"/>
        <w:rPr>
          <w:rFonts w:eastAsia="黑体"/>
        </w:rPr>
      </w:pPr>
    </w:p>
    <w:p>
      <w:pPr>
        <w:rPr>
          <w:rFonts w:ascii="宋体" w:hAnsi="宋体" w:cs="宋体"/>
          <w:b/>
          <w:bCs/>
          <w:sz w:val="28"/>
          <w:szCs w:val="28"/>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（详见合同范本—专用条款）</w:t>
      </w:r>
    </w:p>
    <w:p>
      <w:pPr>
        <w:pStyle w:val="30"/>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30"/>
        <w:spacing w:before="20" w:after="20" w:line="180" w:lineRule="exact"/>
        <w:ind w:left="218" w:leftChars="104" w:right="23" w:firstLine="440" w:firstLineChars="100"/>
        <w:jc w:val="center"/>
        <w:rPr>
          <w:rFonts w:ascii="黑体" w:eastAsia="黑体"/>
          <w:sz w:val="44"/>
        </w:rPr>
      </w:pPr>
    </w:p>
    <w:bookmarkEnd w:id="303"/>
    <w:bookmarkEnd w:id="304"/>
    <w:bookmarkEnd w:id="305"/>
    <w:bookmarkEnd w:id="306"/>
    <w:p>
      <w:pPr>
        <w:pStyle w:val="2"/>
        <w:numPr>
          <w:ilvl w:val="0"/>
          <w:numId w:val="3"/>
        </w:numPr>
        <w:spacing w:before="120" w:after="120" w:line="400" w:lineRule="exact"/>
        <w:jc w:val="center"/>
        <w:rPr>
          <w:rFonts w:asciiTheme="minorEastAsia" w:hAnsiTheme="minorEastAsia" w:cstheme="minorEastAsia"/>
          <w:sz w:val="32"/>
          <w:szCs w:val="32"/>
        </w:rPr>
      </w:pPr>
      <w:bookmarkStart w:id="309" w:name="_Toc144974834"/>
      <w:bookmarkStart w:id="310" w:name="_Toc152045772"/>
      <w:bookmarkStart w:id="311" w:name="_Toc179632789"/>
      <w:bookmarkStart w:id="312" w:name="_Toc152042554"/>
      <w:r>
        <w:rPr>
          <w:rFonts w:hint="eastAsia" w:ascii="黑体" w:hAnsi="黑体" w:eastAsia="黑体"/>
          <w:b w:val="0"/>
          <w:bCs w:val="0"/>
          <w:sz w:val="32"/>
          <w:szCs w:val="32"/>
        </w:rPr>
        <w:t xml:space="preserve"> 技术要求及工程量清单</w:t>
      </w:r>
      <w:bookmarkEnd w:id="309"/>
      <w:bookmarkEnd w:id="310"/>
      <w:bookmarkEnd w:id="311"/>
      <w:bookmarkEnd w:id="312"/>
    </w:p>
    <w:p>
      <w:pPr>
        <w:pStyle w:val="9"/>
        <w:spacing w:line="500" w:lineRule="exact"/>
        <w:ind w:right="820" w:firstLine="480" w:firstLineChars="200"/>
        <w:jc w:val="left"/>
        <w:rPr>
          <w:sz w:val="24"/>
          <w:u w:val="none"/>
        </w:rPr>
      </w:pPr>
      <w:r>
        <w:rPr>
          <w:rFonts w:hint="eastAsia"/>
          <w:sz w:val="24"/>
          <w:u w:val="none"/>
          <w:lang w:val="en-US" w:eastAsia="zh-CN"/>
        </w:rPr>
        <w:t>1、</w:t>
      </w: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lang w:val="en-US" w:eastAsia="zh-CN"/>
        </w:rPr>
        <w:t>2、</w:t>
      </w: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3、直管段金属护壳的外圆周长下料，应比绝热层外圆周长加长30-50mm.护壳环向搭接一端应压出凸筋.较大直径管道的护壳,纵向搭接也应压出凸筋,其环向搭接尺寸不得少于50mm. </w:t>
      </w:r>
    </w:p>
    <w:p>
      <w:pPr>
        <w:spacing w:line="360" w:lineRule="auto"/>
        <w:ind w:firstLine="480" w:firstLineChars="200"/>
        <w:rPr>
          <w:rFonts w:hint="eastAsia"/>
          <w:sz w:val="24"/>
          <w:u w:val="none"/>
          <w:lang w:val="en-US" w:eastAsia="zh-CN"/>
        </w:rPr>
      </w:pPr>
      <w:r>
        <w:rPr>
          <w:rFonts w:hint="eastAsia"/>
          <w:sz w:val="24"/>
          <w:u w:val="none"/>
          <w:lang w:val="en-US" w:eastAsia="zh-CN"/>
        </w:rPr>
        <w:t>4、管道弯头部位金属护壳，环向与纵向接缝的下料裕量，应根据接缝型式计算确定。</w:t>
      </w:r>
    </w:p>
    <w:p>
      <w:pPr>
        <w:spacing w:line="360" w:lineRule="auto"/>
        <w:ind w:firstLine="480" w:firstLineChars="200"/>
        <w:rPr>
          <w:rFonts w:hint="eastAsia"/>
          <w:sz w:val="24"/>
          <w:u w:val="none"/>
          <w:lang w:val="en-US" w:eastAsia="zh-CN"/>
        </w:rPr>
      </w:pPr>
      <w:r>
        <w:rPr>
          <w:rFonts w:hint="eastAsia"/>
          <w:sz w:val="24"/>
          <w:u w:val="none"/>
          <w:lang w:val="en-US" w:eastAsia="zh-CN"/>
        </w:rPr>
        <w:t>5、方形设备的金属护壳下料，长度不宜超过1m.当超过时,应根据金属薄板的壁厚和长度,在金属薄板上压出对角筋线。</w:t>
      </w:r>
    </w:p>
    <w:p>
      <w:pPr>
        <w:spacing w:line="360" w:lineRule="auto"/>
        <w:ind w:firstLine="480" w:firstLineChars="200"/>
        <w:rPr>
          <w:rFonts w:hint="eastAsia"/>
          <w:sz w:val="24"/>
          <w:u w:val="none"/>
          <w:lang w:val="en-US" w:eastAsia="zh-CN"/>
        </w:rPr>
      </w:pPr>
      <w:r>
        <w:rPr>
          <w:rFonts w:hint="eastAsia"/>
          <w:sz w:val="24"/>
          <w:u w:val="none"/>
          <w:lang w:val="en-US" w:eastAsia="zh-CN"/>
        </w:rPr>
        <w:t>6、弯头与直管段上的金属护壳，搭接尺寸高温管道应为70mm-150mm.中低温管道应为50mm-70mm.</w:t>
      </w:r>
    </w:p>
    <w:p>
      <w:pPr>
        <w:spacing w:line="360" w:lineRule="auto"/>
        <w:ind w:firstLine="480" w:firstLineChars="200"/>
        <w:rPr>
          <w:rFonts w:hint="eastAsia"/>
          <w:sz w:val="24"/>
          <w:u w:val="none"/>
          <w:lang w:val="en-US" w:eastAsia="zh-CN"/>
        </w:rPr>
      </w:pPr>
      <w:r>
        <w:rPr>
          <w:rFonts w:hint="eastAsia"/>
          <w:sz w:val="24"/>
          <w:u w:val="none"/>
          <w:lang w:val="en-US" w:eastAsia="zh-CN"/>
        </w:rPr>
        <w:t>7、在金属保护层安装时，应紧贴保温层。硬质保温制品的金属保护层，纵向接缝处可进行咬接，但不得损坏里面的保温层。</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8、水平管道金属保护层的环向接缝应沿管道坡向，搭向低处。其纵向接缝，宜布置在水平中心线下方的15-45°处，缝口朝下。当侧面或底部有障碍物时，纵向接缝可移至管道水平中心线上方60°以内. </w:t>
      </w:r>
    </w:p>
    <w:p>
      <w:pPr>
        <w:spacing w:line="360" w:lineRule="auto"/>
        <w:ind w:firstLine="480" w:firstLineChars="200"/>
        <w:rPr>
          <w:rFonts w:hint="eastAsia"/>
          <w:sz w:val="24"/>
          <w:u w:val="none"/>
          <w:lang w:val="en-US" w:eastAsia="zh-CN"/>
        </w:rPr>
      </w:pPr>
      <w:r>
        <w:rPr>
          <w:rFonts w:hint="eastAsia"/>
          <w:sz w:val="24"/>
          <w:u w:val="none"/>
          <w:lang w:val="en-US" w:eastAsia="zh-CN"/>
        </w:rPr>
        <w:t>9、垂直管道金属保护层的敷设，应由下而上进行施工接缝应上搭下。</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10、管道金属保护层的接缝除环向活动缝外，应用抽芯铆钉固定。保温管道也可用自攻螺丝固定。固定间距宜为200mm,但每道缝不得少于4个. </w:t>
      </w:r>
    </w:p>
    <w:p>
      <w:pPr>
        <w:spacing w:line="360" w:lineRule="auto"/>
        <w:ind w:firstLine="480" w:firstLineChars="200"/>
        <w:rPr>
          <w:rFonts w:hint="eastAsia"/>
          <w:sz w:val="24"/>
          <w:u w:val="none"/>
          <w:lang w:val="en-US" w:eastAsia="zh-CN"/>
        </w:rPr>
      </w:pPr>
      <w:r>
        <w:rPr>
          <w:rFonts w:hint="eastAsia"/>
          <w:sz w:val="24"/>
          <w:u w:val="none"/>
          <w:lang w:val="en-US" w:eastAsia="zh-CN"/>
        </w:rPr>
        <w:t>11、静置设备和转动机械的绝热层，其金属保护层应自下而上进行敷设。</w:t>
      </w:r>
    </w:p>
    <w:p>
      <w:pPr>
        <w:spacing w:line="360" w:lineRule="auto"/>
        <w:ind w:firstLine="480" w:firstLineChars="200"/>
        <w:rPr>
          <w:rFonts w:hint="eastAsia"/>
          <w:sz w:val="24"/>
          <w:u w:val="none"/>
          <w:lang w:val="en-US" w:eastAsia="zh-CN"/>
        </w:rPr>
      </w:pPr>
      <w:r>
        <w:rPr>
          <w:rFonts w:hint="eastAsia"/>
          <w:sz w:val="24"/>
          <w:u w:val="none"/>
          <w:lang w:val="en-US" w:eastAsia="zh-CN"/>
        </w:rPr>
        <w:t xml:space="preserve">12、环向接缝宜采用搭接或插接。纵向接缝可咬接或插接，搭接或插接尺寸应为30mm-50mm. </w:t>
      </w:r>
    </w:p>
    <w:p>
      <w:pPr>
        <w:spacing w:line="360" w:lineRule="auto"/>
        <w:ind w:firstLine="480" w:firstLineChars="200"/>
        <w:rPr>
          <w:rFonts w:hint="eastAsia"/>
          <w:sz w:val="24"/>
          <w:u w:val="none"/>
          <w:lang w:val="en-US" w:eastAsia="zh-CN"/>
        </w:rPr>
      </w:pPr>
      <w:r>
        <w:rPr>
          <w:rFonts w:hint="eastAsia"/>
          <w:sz w:val="24"/>
          <w:u w:val="none"/>
          <w:lang w:val="en-US" w:eastAsia="zh-CN"/>
        </w:rPr>
        <w:t>13、在已安装的金属护壳上严禁踩踏或堆放物，对于不可避免的踩踏部位应采取临时防护措施。</w:t>
      </w:r>
    </w:p>
    <w:p>
      <w:pPr>
        <w:spacing w:line="360" w:lineRule="auto"/>
        <w:ind w:firstLine="480" w:firstLineChars="200"/>
        <w:rPr>
          <w:rFonts w:hint="eastAsia" w:ascii="宋体" w:hAnsi="宋体"/>
          <w:sz w:val="24"/>
          <w:szCs w:val="24"/>
        </w:rPr>
      </w:pPr>
      <w:r>
        <w:rPr>
          <w:rFonts w:hint="eastAsia"/>
          <w:sz w:val="24"/>
          <w:u w:val="none"/>
          <w:lang w:val="en-US" w:eastAsia="zh-CN"/>
        </w:rPr>
        <w:t>14、除锈</w:t>
      </w:r>
      <w:r>
        <w:rPr>
          <w:rFonts w:hint="eastAsia" w:ascii="宋体" w:hAnsi="宋体"/>
          <w:sz w:val="24"/>
          <w:szCs w:val="24"/>
        </w:rPr>
        <w:t>或表面清理：所有钢结构表面采用机械除锈。设备表面原有油漆较好的，需采用有效的方式清理表面油污、灰尘及其它污染物，现原</w:t>
      </w:r>
      <w:r>
        <w:rPr>
          <w:rFonts w:hint="eastAsia" w:ascii="宋体" w:hAnsi="宋体"/>
          <w:sz w:val="24"/>
          <w:szCs w:val="24"/>
          <w:lang w:val="en-US" w:eastAsia="zh-CN"/>
        </w:rPr>
        <w:t>管道及设备本色，损坏支架需确认后修复</w:t>
      </w:r>
      <w:r>
        <w:rPr>
          <w:rFonts w:hint="eastAsia" w:ascii="宋体" w:hAnsi="宋体"/>
          <w:sz w:val="24"/>
          <w:szCs w:val="24"/>
        </w:rPr>
        <w:t>。</w:t>
      </w: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313" w:name="_Toc179632799"/>
    </w:p>
    <w:p>
      <w:pPr>
        <w:pStyle w:val="2"/>
        <w:rPr>
          <w:rFonts w:ascii="黑体" w:hAnsi="黑体" w:eastAsia="黑体"/>
          <w:b/>
          <w:bCs/>
          <w:sz w:val="32"/>
        </w:rPr>
      </w:pPr>
    </w:p>
    <w:p>
      <w:pPr>
        <w:rPr>
          <w:rFonts w:ascii="黑体" w:hAnsi="黑体" w:eastAsia="黑体"/>
          <w:b/>
          <w:bCs/>
          <w:sz w:val="32"/>
        </w:rPr>
      </w:pPr>
    </w:p>
    <w:p>
      <w:pPr>
        <w:pStyle w:val="2"/>
        <w:rPr>
          <w:rFonts w:ascii="黑体" w:hAnsi="黑体" w:eastAsia="黑体"/>
          <w:b/>
          <w:bCs/>
          <w:sz w:val="32"/>
        </w:rPr>
      </w:pPr>
    </w:p>
    <w:p>
      <w:pPr>
        <w:rPr>
          <w:rFonts w:ascii="黑体" w:hAnsi="黑体" w:eastAsia="黑体"/>
          <w:b/>
          <w:bCs/>
          <w:sz w:val="32"/>
        </w:rPr>
      </w:pPr>
    </w:p>
    <w:p>
      <w:pPr>
        <w:pStyle w:val="2"/>
        <w:rPr>
          <w:rFonts w:ascii="黑体" w:hAnsi="黑体" w:eastAsia="黑体"/>
          <w:b/>
          <w:bCs/>
          <w:sz w:val="32"/>
        </w:rPr>
      </w:pPr>
    </w:p>
    <w:p>
      <w:pPr>
        <w:rPr>
          <w:rFonts w:ascii="黑体" w:hAnsi="黑体" w:eastAsia="黑体"/>
          <w:b/>
          <w:bCs/>
          <w:sz w:val="32"/>
        </w:rPr>
      </w:pPr>
    </w:p>
    <w:p>
      <w:pPr>
        <w:pStyle w:val="2"/>
      </w:pPr>
    </w:p>
    <w:p>
      <w:pPr>
        <w:spacing w:before="120" w:after="120"/>
        <w:jc w:val="center"/>
        <w:rPr>
          <w:rFonts w:ascii="黑体" w:hAnsi="黑体" w:eastAsia="黑体"/>
          <w:b/>
          <w:bCs/>
          <w:sz w:val="32"/>
        </w:rPr>
      </w:pPr>
      <w:r>
        <w:rPr>
          <w:rFonts w:hint="eastAsia" w:ascii="黑体" w:hAnsi="黑体" w:eastAsia="黑体"/>
          <w:b/>
          <w:bCs/>
          <w:sz w:val="32"/>
        </w:rPr>
        <w:t>第二卷</w:t>
      </w:r>
      <w:bookmarkEnd w:id="313"/>
      <w:bookmarkStart w:id="314" w:name="_Toc179632800"/>
      <w:bookmarkStart w:id="315" w:name="_Toc144974851"/>
      <w:bookmarkStart w:id="316" w:name="_Toc152045782"/>
      <w:bookmarkStart w:id="317" w:name="_Toc152042571"/>
    </w:p>
    <w:p>
      <w:pPr>
        <w:spacing w:before="120" w:after="120"/>
        <w:jc w:val="center"/>
        <w:rPr>
          <w:rFonts w:eastAsia="黑体"/>
        </w:rPr>
      </w:pPr>
      <w:r>
        <w:rPr>
          <w:rFonts w:hint="eastAsia" w:ascii="黑体" w:hAnsi="黑体" w:eastAsia="黑体"/>
          <w:sz w:val="32"/>
        </w:rPr>
        <w:t>第六章  图  纸</w:t>
      </w:r>
      <w:bookmarkEnd w:id="314"/>
      <w:bookmarkEnd w:id="315"/>
      <w:bookmarkEnd w:id="316"/>
      <w:bookmarkEnd w:id="317"/>
      <w:r>
        <w:rPr>
          <w:rFonts w:hint="eastAsia" w:ascii="黑体" w:hAnsi="黑体" w:eastAsia="黑体"/>
          <w:sz w:val="32"/>
        </w:rPr>
        <w:t>（无）</w:t>
      </w:r>
    </w:p>
    <w:p>
      <w:pPr>
        <w:pStyle w:val="2"/>
        <w:spacing w:before="120" w:after="120" w:line="400" w:lineRule="exact"/>
        <w:rPr>
          <w:rFonts w:ascii="黑体" w:hAnsi="黑体" w:eastAsia="黑体"/>
          <w:b w:val="0"/>
          <w:bCs w:val="0"/>
          <w:sz w:val="32"/>
        </w:rPr>
      </w:pPr>
      <w:bookmarkStart w:id="318" w:name="_Toc179632803"/>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318"/>
    </w:p>
    <w:p>
      <w:pPr>
        <w:spacing w:line="400" w:lineRule="exact"/>
        <w:jc w:val="center"/>
        <w:rPr>
          <w:rFonts w:ascii="黑体" w:hAnsi="黑体" w:eastAsia="黑体"/>
          <w:sz w:val="32"/>
        </w:rPr>
      </w:pPr>
      <w:bookmarkStart w:id="319" w:name="_Toc179632804"/>
      <w:bookmarkStart w:id="320" w:name="_Toc152042574"/>
      <w:bookmarkStart w:id="321" w:name="_Toc144974854"/>
      <w:bookmarkStart w:id="322" w:name="_Toc152045785"/>
      <w:r>
        <w:rPr>
          <w:rFonts w:hint="eastAsia" w:ascii="黑体" w:hAnsi="黑体" w:eastAsia="黑体"/>
          <w:sz w:val="32"/>
        </w:rPr>
        <w:t>第七章  技术标准和要求</w:t>
      </w:r>
      <w:bookmarkEnd w:id="319"/>
      <w:bookmarkEnd w:id="320"/>
      <w:bookmarkEnd w:id="321"/>
      <w:bookmarkEnd w:id="322"/>
      <w:bookmarkStart w:id="323" w:name="_Toc179632805"/>
      <w:bookmarkStart w:id="324" w:name="_Toc144974855"/>
      <w:bookmarkStart w:id="325" w:name="_Toc152045786"/>
      <w:bookmarkStart w:id="326" w:name="_Toc152042575"/>
    </w:p>
    <w:p>
      <w:pPr>
        <w:spacing w:line="360" w:lineRule="auto"/>
        <w:rPr>
          <w:rFonts w:ascii="Times New Roman" w:hAnsi="Times New Roman" w:eastAsia="宋体" w:cs="宋体"/>
          <w:sz w:val="24"/>
        </w:rPr>
      </w:pPr>
    </w:p>
    <w:p>
      <w:pPr>
        <w:spacing w:line="360" w:lineRule="auto"/>
        <w:rPr>
          <w:rFonts w:ascii="Times New Roman" w:hAnsi="Times New Roman" w:cs="宋体"/>
          <w:sz w:val="24"/>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pStyle w:val="2"/>
        <w:spacing w:before="120" w:after="120" w:line="400" w:lineRule="exact"/>
        <w:jc w:val="center"/>
        <w:rPr>
          <w:rFonts w:ascii="黑体" w:hAnsi="黑体" w:eastAsia="黑体"/>
          <w:b w:val="0"/>
          <w:bCs w:val="0"/>
          <w:sz w:val="32"/>
        </w:rPr>
      </w:pPr>
    </w:p>
    <w:p>
      <w:pPr>
        <w:pStyle w:val="2"/>
        <w:spacing w:before="120" w:after="120" w:line="400" w:lineRule="exact"/>
        <w:jc w:val="center"/>
        <w:rPr>
          <w:rFonts w:ascii="黑体" w:hAnsi="黑体" w:eastAsia="黑体"/>
          <w:b w:val="0"/>
          <w:bCs w:val="0"/>
          <w:sz w:val="32"/>
        </w:rPr>
      </w:pPr>
    </w:p>
    <w:p/>
    <w:p>
      <w:pPr>
        <w:pStyle w:val="7"/>
      </w:pPr>
    </w:p>
    <w:p>
      <w:pPr>
        <w:pStyle w:val="7"/>
      </w:pPr>
    </w:p>
    <w:p>
      <w:pPr>
        <w:pStyle w:val="7"/>
      </w:pPr>
    </w:p>
    <w:p>
      <w:pPr>
        <w:pStyle w:val="7"/>
      </w:pPr>
    </w:p>
    <w:p>
      <w:pPr>
        <w:pStyle w:val="7"/>
      </w:pPr>
    </w:p>
    <w:p>
      <w:pPr>
        <w:pStyle w:val="7"/>
      </w:pPr>
    </w:p>
    <w:p>
      <w:pPr>
        <w:pStyle w:val="7"/>
      </w:pPr>
    </w:p>
    <w:p>
      <w:pPr>
        <w:pStyle w:val="7"/>
      </w:pPr>
    </w:p>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hint="eastAsia" w:ascii="黑体" w:hAnsi="黑体" w:eastAsia="黑体"/>
          <w:b w:val="0"/>
          <w:bCs w:val="0"/>
          <w:sz w:val="32"/>
        </w:rPr>
      </w:pPr>
    </w:p>
    <w:bookmarkEnd w:id="323"/>
    <w:p>
      <w:pPr>
        <w:pStyle w:val="2"/>
        <w:spacing w:before="120" w:after="120" w:line="400" w:lineRule="exact"/>
        <w:jc w:val="center"/>
        <w:rPr>
          <w:rFonts w:hint="eastAsia" w:ascii="黑体" w:hAnsi="黑体" w:eastAsia="黑体"/>
          <w:b w:val="0"/>
          <w:bCs w:val="0"/>
          <w:sz w:val="32"/>
        </w:rPr>
      </w:pPr>
      <w:bookmarkStart w:id="327" w:name="_Toc179632806"/>
    </w:p>
    <w:p>
      <w:pPr>
        <w:rPr>
          <w:rFonts w:hint="eastAsia" w:ascii="黑体" w:hAnsi="黑体" w:eastAsia="黑体"/>
          <w:b w:val="0"/>
          <w:bCs w:val="0"/>
          <w:sz w:val="32"/>
        </w:rPr>
      </w:pPr>
    </w:p>
    <w:p>
      <w:pPr>
        <w:pStyle w:val="2"/>
        <w:rPr>
          <w:rFonts w:hint="eastAsia"/>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第八章  投标文件格式</w:t>
      </w:r>
      <w:bookmarkEnd w:id="324"/>
      <w:bookmarkEnd w:id="325"/>
      <w:bookmarkEnd w:id="326"/>
      <w:bookmarkEnd w:id="327"/>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pStyle w:val="2"/>
        <w:rPr>
          <w:rFonts w:eastAsia="黑体"/>
          <w:sz w:val="48"/>
          <w:szCs w:val="48"/>
        </w:rPr>
      </w:pPr>
    </w:p>
    <w:p>
      <w:pPr>
        <w:rPr>
          <w:rFonts w:eastAsia="黑体"/>
          <w:sz w:val="48"/>
          <w:szCs w:val="48"/>
        </w:rPr>
      </w:pPr>
    </w:p>
    <w:p>
      <w:pPr>
        <w:pStyle w:val="2"/>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8"/>
        <w:jc w:val="center"/>
      </w:pPr>
      <w:bookmarkStart w:id="328" w:name="_Toc179632807"/>
      <w:bookmarkStart w:id="329" w:name="_Toc152042576"/>
      <w:bookmarkStart w:id="330" w:name="_Toc152045787"/>
      <w:bookmarkStart w:id="331" w:name="_Toc144974856"/>
      <w:r>
        <w:rPr>
          <w:rFonts w:hint="eastAsia"/>
        </w:rPr>
        <w:t>目    录</w:t>
      </w:r>
      <w:bookmarkEnd w:id="328"/>
      <w:bookmarkEnd w:id="329"/>
      <w:bookmarkEnd w:id="330"/>
      <w:bookmarkEnd w:id="331"/>
    </w:p>
    <w:p>
      <w:pPr>
        <w:spacing w:line="540" w:lineRule="exact"/>
      </w:pPr>
    </w:p>
    <w:p>
      <w:pPr>
        <w:spacing w:line="540" w:lineRule="exact"/>
      </w:pPr>
    </w:p>
    <w:p>
      <w:pPr>
        <w:numPr>
          <w:ilvl w:val="0"/>
          <w:numId w:val="4"/>
        </w:numPr>
        <w:spacing w:line="540" w:lineRule="exact"/>
      </w:pPr>
      <w:r>
        <w:rPr>
          <w:rFonts w:hint="eastAsia"/>
        </w:rPr>
        <w:t>投标函</w:t>
      </w:r>
    </w:p>
    <w:p>
      <w:pPr>
        <w:numPr>
          <w:ilvl w:val="0"/>
          <w:numId w:val="4"/>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332" w:name="_Toc353448532"/>
      <w:bookmarkStart w:id="333" w:name="_Toc24007"/>
      <w:bookmarkStart w:id="334" w:name="_Toc7624"/>
      <w:bookmarkStart w:id="335" w:name="_Toc179632808"/>
      <w:bookmarkStart w:id="336" w:name="_Toc152042577"/>
      <w:bookmarkStart w:id="337" w:name="_Toc152045788"/>
      <w:bookmarkStart w:id="338" w:name="_Toc144974857"/>
      <w:r>
        <w:rPr>
          <w:rFonts w:hint="eastAsia" w:ascii="黑体" w:hAnsi="宋体" w:eastAsia="黑体"/>
          <w:sz w:val="28"/>
          <w:szCs w:val="28"/>
        </w:rPr>
        <w:t>一、投标函</w:t>
      </w:r>
      <w:bookmarkEnd w:id="332"/>
      <w:bookmarkEnd w:id="333"/>
      <w:bookmarkEnd w:id="334"/>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8"/>
        <w:jc w:val="center"/>
      </w:pPr>
      <w:r>
        <w:rPr>
          <w:rFonts w:hint="eastAsia"/>
        </w:rPr>
        <w:t>二</w:t>
      </w:r>
      <w:r>
        <w:t>、</w:t>
      </w:r>
      <w:bookmarkEnd w:id="335"/>
      <w:bookmarkEnd w:id="336"/>
      <w:bookmarkEnd w:id="337"/>
      <w:bookmarkEnd w:id="338"/>
      <w:r>
        <w:rPr>
          <w:rFonts w:hint="eastAsia"/>
        </w:rPr>
        <w:t>报价单</w:t>
      </w:r>
    </w:p>
    <w:p>
      <w:pPr>
        <w:pStyle w:val="28"/>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0"/>
        <w:ind w:firstLine="0"/>
        <w:rPr>
          <w:rFonts w:hint="eastAsia"/>
          <w:sz w:val="24"/>
          <w:u w:val="none"/>
        </w:rPr>
      </w:pPr>
      <w:r>
        <w:rPr>
          <w:rFonts w:hint="eastAsia"/>
          <w:sz w:val="24"/>
          <w:u w:val="none"/>
        </w:rPr>
        <w:t>4、综合单价包括但不限于人工费、机械费、材料费、管理费、规费、利润、税金、风险、协调费用、验收费用等同项目有关的所有费用。</w:t>
      </w:r>
    </w:p>
    <w:p>
      <w:pPr>
        <w:pStyle w:val="20"/>
        <w:ind w:firstLine="0"/>
        <w:rPr>
          <w:rFonts w:hint="eastAsia"/>
          <w:sz w:val="24"/>
          <w:u w:val="none"/>
        </w:rPr>
      </w:pPr>
      <w:r>
        <w:rPr>
          <w:rFonts w:hint="eastAsia"/>
          <w:sz w:val="24"/>
          <w:u w:val="none"/>
        </w:rPr>
        <w:t>5、安全文明施工费单独列项。</w:t>
      </w:r>
    </w:p>
    <w:p>
      <w:pPr>
        <w:pStyle w:val="20"/>
        <w:ind w:firstLine="0"/>
        <w:rPr>
          <w:rFonts w:hint="default"/>
          <w:sz w:val="24"/>
          <w:u w:val="none"/>
          <w:lang w:val="en-US" w:eastAsia="zh-CN"/>
        </w:rPr>
      </w:pPr>
    </w:p>
    <w:p>
      <w:pPr>
        <w:pStyle w:val="20"/>
        <w:ind w:firstLine="0"/>
        <w:rPr>
          <w:rFonts w:hint="default"/>
          <w:sz w:val="24"/>
          <w:u w:val="none"/>
          <w:lang w:val="en-US" w:eastAsia="zh-CN"/>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spacing w:line="440" w:lineRule="exact"/>
        <w:ind w:firstLine="8400" w:firstLineChars="4200"/>
        <w:jc w:val="left"/>
        <w:rPr>
          <w:rFonts w:ascii="宋体" w:hAnsi="宋体" w:eastAsia="仿宋_GB2312" w:cs="宋体"/>
          <w:b/>
          <w:sz w:val="32"/>
          <w:szCs w:val="32"/>
        </w:rPr>
      </w:pPr>
      <w:r>
        <w:rPr>
          <w:rFonts w:hint="eastAsia" w:eastAsia="黑体"/>
          <w:sz w:val="20"/>
        </w:rPr>
        <w:t xml:space="preserve">     </w:t>
      </w: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sz w:val="24"/>
          <w:szCs w:val="18"/>
        </w:rPr>
      </w:pPr>
      <w:r>
        <w:rPr>
          <w:rFonts w:hint="eastAsia" w:eastAsia="黑体"/>
          <w:sz w:val="28"/>
          <w:szCs w:val="28"/>
        </w:rPr>
        <w:t>2</w:t>
      </w:r>
      <w:r>
        <w:rPr>
          <w:rFonts w:eastAsia="黑体"/>
          <w:sz w:val="28"/>
          <w:szCs w:val="28"/>
        </w:rPr>
        <w:t>.</w:t>
      </w:r>
      <w:r>
        <w:rPr>
          <w:rFonts w:hint="eastAsia" w:eastAsia="黑体"/>
          <w:sz w:val="28"/>
          <w:szCs w:val="28"/>
        </w:rPr>
        <w:t>工程量清单报价单</w:t>
      </w:r>
    </w:p>
    <w:p>
      <w:pPr>
        <w:pStyle w:val="7"/>
        <w:ind w:firstLine="0"/>
        <w:rPr>
          <w:rFonts w:ascii="宋体" w:hAnsi="宋体" w:cs="宋体"/>
          <w:b/>
          <w:sz w:val="32"/>
          <w:szCs w:val="32"/>
        </w:rPr>
      </w:pPr>
      <w:r>
        <w:rPr>
          <w:rFonts w:hint="eastAsia"/>
          <w:sz w:val="24"/>
          <w:szCs w:val="18"/>
        </w:rPr>
        <w:t>单位：元</w:t>
      </w:r>
    </w:p>
    <w:p>
      <w:pPr>
        <w:widowControl/>
        <w:jc w:val="center"/>
        <w:rPr>
          <w:b/>
          <w:bCs/>
          <w:color w:val="000000"/>
        </w:rPr>
      </w:pPr>
    </w:p>
    <w:tbl>
      <w:tblPr>
        <w:tblStyle w:val="22"/>
        <w:tblW w:w="10515" w:type="dxa"/>
        <w:jc w:val="center"/>
        <w:shd w:val="clear" w:color="auto" w:fill="auto"/>
        <w:tblLayout w:type="autofit"/>
        <w:tblCellMar>
          <w:top w:w="0" w:type="dxa"/>
          <w:left w:w="0" w:type="dxa"/>
          <w:bottom w:w="0" w:type="dxa"/>
          <w:right w:w="0" w:type="dxa"/>
        </w:tblCellMar>
      </w:tblPr>
      <w:tblGrid>
        <w:gridCol w:w="613"/>
        <w:gridCol w:w="2064"/>
        <w:gridCol w:w="613"/>
        <w:gridCol w:w="1478"/>
        <w:gridCol w:w="1478"/>
        <w:gridCol w:w="1478"/>
        <w:gridCol w:w="2791"/>
      </w:tblGrid>
      <w:tr>
        <w:tblPrEx>
          <w:tblCellMar>
            <w:top w:w="0" w:type="dxa"/>
            <w:left w:w="0" w:type="dxa"/>
            <w:bottom w:w="0" w:type="dxa"/>
            <w:right w:w="0" w:type="dxa"/>
          </w:tblCellMar>
        </w:tblPrEx>
        <w:trPr>
          <w:trHeight w:val="390" w:hRule="atLeast"/>
          <w:jc w:val="center"/>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熟料工序保温修复计价表</w:t>
            </w:r>
          </w:p>
        </w:tc>
      </w:tr>
      <w:tr>
        <w:tblPrEx>
          <w:shd w:val="clear" w:color="auto" w:fill="auto"/>
          <w:tblCellMar>
            <w:top w:w="0" w:type="dxa"/>
            <w:left w:w="0" w:type="dxa"/>
            <w:bottom w:w="0" w:type="dxa"/>
            <w:right w:w="0"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暂估工程量</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单价（元）</w:t>
            </w:r>
          </w:p>
        </w:tc>
        <w:tc>
          <w:tcPr>
            <w:tcW w:w="0" w:type="auto"/>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合价（元）</w:t>
            </w:r>
          </w:p>
        </w:tc>
        <w:tc>
          <w:tcPr>
            <w:tcW w:w="36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635"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保温修复</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岩棉保温、0.5mm镀锌铁皮，含原保温拆除及清理，人工、材料、机械费、脚手架打拆费用综合报价（含高空作业）。包括管道上管件、阀门保温、综合考虑DN300mm以下各种型号管道及各种安装位置。</w:t>
            </w:r>
          </w:p>
        </w:tc>
      </w:tr>
      <w:tr>
        <w:tblPrEx>
          <w:shd w:val="clear" w:color="auto" w:fill="auto"/>
          <w:tblCellMar>
            <w:top w:w="0" w:type="dxa"/>
            <w:left w:w="0" w:type="dxa"/>
            <w:bottom w:w="0" w:type="dxa"/>
            <w:right w:w="0" w:type="dxa"/>
          </w:tblCellMar>
        </w:tblPrEx>
        <w:trPr>
          <w:trHeight w:val="3255"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钢结构制作安装</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钢结构的放样、划线、截料平直、转孔、拼装、焊接、成品矫正、除锈、刷底漆、面漆及成品编号堆放等全过程；综合制作平台摊销；焊口探伤；钢柱、钢吊车梁、车档、工字钢轨道、钢楼板、钢盖板、钢格栅、钢屋架、钢托架、钢檩条、钢支架、钢轨、钢平台、钢栏杆、钢走道板、钢桁架、钢支撑、钢拉杆、钢支座、钢梯、爬梯、钢板网、钢减压锥、C型钢檩条、墙架、拉条等综合Q235/Q345材质</w:t>
            </w:r>
          </w:p>
        </w:tc>
      </w:tr>
      <w:tr>
        <w:tblPrEx>
          <w:shd w:val="clear" w:color="auto" w:fill="auto"/>
          <w:tblCellMar>
            <w:top w:w="0" w:type="dxa"/>
            <w:left w:w="0" w:type="dxa"/>
            <w:bottom w:w="0" w:type="dxa"/>
            <w:right w:w="0" w:type="dxa"/>
          </w:tblCellMar>
        </w:tblPrEx>
        <w:trPr>
          <w:trHeight w:val="440"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安全文明施工费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jc w:val="center"/>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7"/>
        <w:ind w:left="0" w:leftChars="0" w:firstLine="0" w:firstLineChars="0"/>
      </w:pPr>
    </w:p>
    <w:p>
      <w:pPr>
        <w:spacing w:line="440" w:lineRule="exact"/>
        <w:ind w:firstLine="13493" w:firstLineChars="4200"/>
        <w:jc w:val="left"/>
        <w:rPr>
          <w:rFonts w:hint="eastAsia" w:eastAsia="黑体"/>
          <w:sz w:val="20"/>
          <w:szCs w:val="20"/>
          <w:lang w:val="en-US" w:eastAsia="zh-CN"/>
        </w:rPr>
      </w:pPr>
      <w:r>
        <w:rPr>
          <w:rFonts w:hint="eastAsia" w:ascii="宋体" w:hAnsi="宋体" w:eastAsia="仿宋_GB2312" w:cs="宋体"/>
          <w:b/>
          <w:sz w:val="32"/>
          <w:szCs w:val="32"/>
        </w:rPr>
        <w:t xml:space="preserve">                                                   </w:t>
      </w:r>
      <w:r>
        <w:rPr>
          <w:rFonts w:hint="eastAsia" w:eastAsia="黑体"/>
          <w:sz w:val="20"/>
          <w:szCs w:val="20"/>
          <w:lang w:val="en-US" w:eastAsia="zh-CN"/>
        </w:rPr>
        <w:t>付款方式：</w:t>
      </w:r>
    </w:p>
    <w:p>
      <w:pPr>
        <w:spacing w:line="440" w:lineRule="exact"/>
        <w:jc w:val="left"/>
        <w:rPr>
          <w:rFonts w:hint="default"/>
          <w:lang w:val="en-US" w:eastAsia="zh-CN"/>
        </w:rPr>
      </w:pPr>
      <w:r>
        <w:rPr>
          <w:rFonts w:hint="eastAsia" w:eastAsia="黑体"/>
          <w:sz w:val="20"/>
          <w:szCs w:val="20"/>
          <w:lang w:val="en-US" w:eastAsia="zh-CN"/>
        </w:rPr>
        <w:t>税率：</w:t>
      </w:r>
    </w:p>
    <w:p>
      <w:pPr>
        <w:spacing w:line="440" w:lineRule="exact"/>
        <w:jc w:val="left"/>
        <w:rPr>
          <w:rFonts w:eastAsia="黑体"/>
          <w:sz w:val="20"/>
          <w:szCs w:val="20"/>
        </w:rPr>
      </w:pPr>
      <w:r>
        <w:rPr>
          <w:rFonts w:hint="eastAsia" w:eastAsia="黑体"/>
          <w:sz w:val="20"/>
          <w:szCs w:val="20"/>
        </w:rPr>
        <w:t>投标单位全称：</w:t>
      </w:r>
    </w:p>
    <w:p>
      <w:pPr>
        <w:spacing w:line="440" w:lineRule="exact"/>
        <w:jc w:val="left"/>
        <w:rPr>
          <w:rFonts w:hint="eastAsia"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pStyle w:val="7"/>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7"/>
      </w:pPr>
    </w:p>
    <w:p>
      <w:pPr>
        <w:jc w:val="both"/>
        <w:rPr>
          <w:rFonts w:hint="eastAsia" w:ascii="Times New Roman" w:hAnsi="Times New Roman" w:eastAsia="黑体" w:cs="宋体"/>
          <w:sz w:val="28"/>
          <w:szCs w:val="28"/>
        </w:rPr>
      </w:pPr>
    </w:p>
    <w:p>
      <w:pPr>
        <w:jc w:val="both"/>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339" w:name="_Toc144974860"/>
      <w:bookmarkStart w:id="340" w:name="_Toc152042580"/>
      <w:bookmarkStart w:id="341" w:name="_Toc179632811"/>
      <w:bookmarkStart w:id="342" w:name="_Toc152045791"/>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8"/>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8"/>
        <w:jc w:val="center"/>
      </w:pPr>
      <w:r>
        <w:rPr>
          <w:rFonts w:hint="eastAsia"/>
        </w:rPr>
        <w:t>一</w:t>
      </w:r>
      <w:r>
        <w:t>、法定代表人身份证明</w:t>
      </w:r>
      <w:bookmarkEnd w:id="339"/>
      <w:bookmarkEnd w:id="340"/>
      <w:bookmarkEnd w:id="341"/>
      <w:bookmarkEnd w:id="342"/>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8"/>
        <w:jc w:val="center"/>
      </w:pPr>
      <w:bookmarkStart w:id="343" w:name="_Toc179632812"/>
      <w:bookmarkStart w:id="344" w:name="_Toc144974861"/>
      <w:bookmarkStart w:id="345" w:name="_Toc152045792"/>
      <w:bookmarkStart w:id="346" w:name="_Toc152042581"/>
      <w:r>
        <w:t>二、授权委托书</w:t>
      </w:r>
      <w:bookmarkEnd w:id="343"/>
      <w:bookmarkEnd w:id="344"/>
      <w:bookmarkEnd w:id="345"/>
      <w:bookmarkEnd w:id="346"/>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8"/>
        <w:jc w:val="center"/>
      </w:pPr>
      <w:bookmarkStart w:id="347" w:name="_Toc179632816"/>
      <w:bookmarkStart w:id="348" w:name="_Toc152042585"/>
      <w:bookmarkStart w:id="349" w:name="_Toc152045796"/>
      <w:bookmarkStart w:id="350" w:name="_Toc144974864"/>
      <w:r>
        <w:rPr>
          <w:rFonts w:hint="eastAsia"/>
        </w:rPr>
        <w:t>三</w:t>
      </w:r>
      <w:r>
        <w:t>、施工组织设计</w:t>
      </w:r>
      <w:bookmarkEnd w:id="347"/>
      <w:bookmarkEnd w:id="348"/>
      <w:bookmarkEnd w:id="349"/>
      <w:bookmarkEnd w:id="350"/>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9"/>
        <w:rPr>
          <w:szCs w:val="23"/>
        </w:rPr>
      </w:pPr>
      <w:bookmarkStart w:id="351" w:name="_Toc152045797"/>
      <w:bookmarkStart w:id="352" w:name="_Toc179632817"/>
      <w:bookmarkStart w:id="353" w:name="_Toc152042586"/>
      <w:bookmarkStart w:id="354" w:name="_Toc144974865"/>
      <w:r>
        <w:t>附表一：</w:t>
      </w:r>
      <w:r>
        <w:rPr>
          <w:szCs w:val="23"/>
        </w:rPr>
        <w:t>拟投入本标段的主要施工设备表</w:t>
      </w:r>
      <w:bookmarkEnd w:id="351"/>
      <w:bookmarkEnd w:id="352"/>
      <w:bookmarkEnd w:id="353"/>
      <w:bookmarkEnd w:id="354"/>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55" w:name="_Toc144974866"/>
      <w:bookmarkStart w:id="356" w:name="_Toc179632818"/>
      <w:bookmarkStart w:id="357" w:name="_Toc152045798"/>
      <w:bookmarkStart w:id="358" w:name="_Toc152042587"/>
      <w:r>
        <w:t>附表二：拟配备本标段的试验和检测仪器设备表</w:t>
      </w:r>
      <w:bookmarkEnd w:id="355"/>
      <w:bookmarkEnd w:id="356"/>
      <w:bookmarkEnd w:id="357"/>
      <w:bookmarkEnd w:id="358"/>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9"/>
      </w:pPr>
      <w:bookmarkStart w:id="359" w:name="_Toc152042588"/>
      <w:bookmarkStart w:id="360" w:name="_Toc144974867"/>
      <w:bookmarkStart w:id="361" w:name="_Toc179632819"/>
      <w:bookmarkStart w:id="362" w:name="_Toc152045799"/>
      <w:r>
        <w:t>附表三：劳动力计划表</w:t>
      </w:r>
      <w:bookmarkEnd w:id="359"/>
      <w:bookmarkEnd w:id="360"/>
      <w:bookmarkEnd w:id="361"/>
      <w:bookmarkEnd w:id="362"/>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9"/>
      </w:pPr>
      <w:bookmarkStart w:id="363" w:name="_Toc152042589"/>
      <w:bookmarkStart w:id="364" w:name="_Toc152045800"/>
      <w:bookmarkStart w:id="365" w:name="_Toc179632820"/>
      <w:bookmarkStart w:id="366" w:name="_Toc144974868"/>
      <w:r>
        <w:t>附表四：计划开、</w:t>
      </w:r>
      <w:r>
        <w:rPr>
          <w:rFonts w:hint="eastAsia"/>
        </w:rPr>
        <w:t>竣工</w:t>
      </w:r>
      <w:r>
        <w:t>日期和施工进度网络图</w:t>
      </w:r>
      <w:bookmarkEnd w:id="363"/>
      <w:bookmarkEnd w:id="364"/>
      <w:bookmarkEnd w:id="365"/>
      <w:bookmarkEnd w:id="366"/>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67" w:name="_Toc152045801"/>
      <w:bookmarkStart w:id="368" w:name="_Toc144974869"/>
      <w:bookmarkStart w:id="369" w:name="_Toc179632821"/>
      <w:bookmarkStart w:id="370" w:name="_Toc152042590"/>
      <w:r>
        <w:t>附表五：施工总平面图</w:t>
      </w:r>
      <w:bookmarkEnd w:id="367"/>
      <w:bookmarkEnd w:id="368"/>
      <w:bookmarkEnd w:id="369"/>
      <w:bookmarkEnd w:id="370"/>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9"/>
        <w:rPr>
          <w:szCs w:val="23"/>
        </w:rPr>
      </w:pPr>
      <w:bookmarkStart w:id="371" w:name="_Toc152045802"/>
      <w:bookmarkStart w:id="372" w:name="_Toc144974870"/>
      <w:bookmarkStart w:id="373" w:name="_Toc179632822"/>
      <w:bookmarkStart w:id="374" w:name="_Toc152042591"/>
      <w:r>
        <w:rPr>
          <w:szCs w:val="23"/>
        </w:rPr>
        <w:t>附表六</w:t>
      </w:r>
      <w:r>
        <w:rPr>
          <w:rFonts w:hint="eastAsia"/>
          <w:szCs w:val="23"/>
        </w:rPr>
        <w:t>：</w:t>
      </w:r>
      <w:r>
        <w:rPr>
          <w:szCs w:val="23"/>
        </w:rPr>
        <w:t>临时用地表</w:t>
      </w:r>
      <w:bookmarkEnd w:id="371"/>
      <w:bookmarkEnd w:id="372"/>
      <w:bookmarkEnd w:id="373"/>
      <w:bookmarkEnd w:id="374"/>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8"/>
        <w:jc w:val="center"/>
      </w:pPr>
      <w:bookmarkStart w:id="375" w:name="_Toc152042592"/>
      <w:bookmarkStart w:id="376" w:name="_Toc179632823"/>
      <w:bookmarkStart w:id="377" w:name="_Toc152045803"/>
      <w:bookmarkStart w:id="378" w:name="_Toc144974871"/>
      <w:r>
        <w:rPr>
          <w:rFonts w:hint="eastAsia"/>
        </w:rPr>
        <w:t>四</w:t>
      </w:r>
      <w:r>
        <w:t>、项目管理机构</w:t>
      </w:r>
      <w:bookmarkEnd w:id="375"/>
      <w:bookmarkEnd w:id="376"/>
      <w:bookmarkEnd w:id="377"/>
      <w:bookmarkEnd w:id="378"/>
    </w:p>
    <w:p>
      <w:pPr>
        <w:spacing w:line="440" w:lineRule="exact"/>
        <w:jc w:val="center"/>
        <w:rPr>
          <w:rFonts w:eastAsia="黑体"/>
          <w:sz w:val="23"/>
          <w:szCs w:val="23"/>
        </w:rPr>
      </w:pPr>
    </w:p>
    <w:p>
      <w:pPr>
        <w:pStyle w:val="29"/>
        <w:rPr>
          <w:szCs w:val="23"/>
        </w:rPr>
      </w:pPr>
      <w:bookmarkStart w:id="379" w:name="_Toc152045804"/>
      <w:bookmarkStart w:id="380" w:name="_Toc179632824"/>
      <w:bookmarkStart w:id="381" w:name="_Toc152042593"/>
      <w:bookmarkStart w:id="382" w:name="_Toc144974872"/>
      <w:r>
        <w:rPr>
          <w:szCs w:val="23"/>
        </w:rPr>
        <w:t>（一）项目管理机构组成表</w:t>
      </w:r>
      <w:bookmarkEnd w:id="379"/>
      <w:bookmarkEnd w:id="380"/>
      <w:bookmarkEnd w:id="381"/>
      <w:bookmarkEnd w:id="382"/>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9"/>
        <w:rPr>
          <w:szCs w:val="23"/>
        </w:rPr>
      </w:pPr>
      <w:bookmarkStart w:id="383" w:name="_Toc144974873"/>
      <w:bookmarkStart w:id="384" w:name="_Toc152042594"/>
      <w:bookmarkStart w:id="385" w:name="_Toc152045805"/>
      <w:bookmarkStart w:id="386" w:name="_Toc179632825"/>
      <w:r>
        <w:rPr>
          <w:szCs w:val="23"/>
        </w:rPr>
        <w:t>（二）主要人员简历表</w:t>
      </w:r>
      <w:bookmarkEnd w:id="383"/>
      <w:bookmarkEnd w:id="384"/>
      <w:bookmarkEnd w:id="385"/>
      <w:bookmarkEnd w:id="386"/>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8"/>
        <w:jc w:val="center"/>
      </w:pPr>
      <w:bookmarkStart w:id="387" w:name="_Toc144974874"/>
      <w:bookmarkStart w:id="388" w:name="_Toc152042595"/>
      <w:bookmarkStart w:id="389" w:name="_Toc179632826"/>
      <w:bookmarkStart w:id="390" w:name="_Toc152045806"/>
      <w:r>
        <w:rPr>
          <w:rFonts w:hint="eastAsia"/>
        </w:rPr>
        <w:t>五</w:t>
      </w:r>
      <w:r>
        <w:t>、拟分包项目情况表</w:t>
      </w:r>
      <w:bookmarkEnd w:id="387"/>
      <w:bookmarkEnd w:id="388"/>
      <w:bookmarkEnd w:id="389"/>
      <w:bookmarkEnd w:id="390"/>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8"/>
        <w:jc w:val="center"/>
      </w:pPr>
      <w:bookmarkStart w:id="391" w:name="_Toc152045807"/>
      <w:bookmarkStart w:id="392" w:name="_Toc144974875"/>
      <w:bookmarkStart w:id="393" w:name="_Toc179632827"/>
      <w:bookmarkStart w:id="394" w:name="_Toc152042596"/>
      <w:r>
        <w:rPr>
          <w:rFonts w:hint="eastAsia"/>
        </w:rPr>
        <w:t>六</w:t>
      </w:r>
      <w:r>
        <w:t>、资格审查资料</w:t>
      </w:r>
      <w:bookmarkEnd w:id="391"/>
      <w:bookmarkEnd w:id="392"/>
      <w:bookmarkEnd w:id="393"/>
      <w:bookmarkEnd w:id="394"/>
    </w:p>
    <w:p>
      <w:pPr>
        <w:topLinePunct/>
        <w:spacing w:line="440" w:lineRule="exact"/>
        <w:jc w:val="center"/>
        <w:rPr>
          <w:rFonts w:eastAsia="黑体"/>
          <w:sz w:val="23"/>
          <w:szCs w:val="23"/>
        </w:rPr>
      </w:pPr>
    </w:p>
    <w:p>
      <w:pPr>
        <w:pStyle w:val="29"/>
        <w:rPr>
          <w:szCs w:val="23"/>
        </w:rPr>
      </w:pPr>
      <w:bookmarkStart w:id="395" w:name="_Toc152045808"/>
      <w:bookmarkStart w:id="396" w:name="_Toc144974876"/>
      <w:bookmarkStart w:id="397" w:name="_Toc179632828"/>
      <w:bookmarkStart w:id="398" w:name="_Toc152042597"/>
      <w:r>
        <w:rPr>
          <w:szCs w:val="23"/>
        </w:rPr>
        <w:t>（一）投标人基本情况表</w:t>
      </w:r>
      <w:bookmarkEnd w:id="395"/>
      <w:bookmarkEnd w:id="396"/>
      <w:bookmarkEnd w:id="397"/>
      <w:bookmarkEnd w:id="398"/>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9"/>
        <w:rPr>
          <w:szCs w:val="23"/>
        </w:rPr>
      </w:pPr>
      <w:bookmarkStart w:id="399" w:name="_Toc152045809"/>
      <w:bookmarkStart w:id="400" w:name="_Toc179632829"/>
      <w:bookmarkStart w:id="401" w:name="_Toc144974877"/>
      <w:bookmarkStart w:id="402" w:name="_Toc152042598"/>
      <w:r>
        <w:rPr>
          <w:szCs w:val="23"/>
        </w:rPr>
        <w:t>（二）近年财务状况表</w:t>
      </w:r>
      <w:bookmarkEnd w:id="399"/>
      <w:bookmarkEnd w:id="400"/>
      <w:bookmarkEnd w:id="401"/>
      <w:bookmarkEnd w:id="402"/>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9"/>
        <w:rPr>
          <w:szCs w:val="23"/>
        </w:rPr>
      </w:pPr>
      <w:bookmarkStart w:id="403" w:name="_Toc152042599"/>
      <w:bookmarkStart w:id="404" w:name="_Toc179632830"/>
      <w:bookmarkStart w:id="405" w:name="_Toc152045810"/>
      <w:bookmarkStart w:id="406" w:name="_Toc144974878"/>
      <w:r>
        <w:rPr>
          <w:szCs w:val="23"/>
        </w:rPr>
        <w:t>（三）近年</w:t>
      </w:r>
      <w:r>
        <w:rPr>
          <w:rFonts w:hint="eastAsia"/>
          <w:szCs w:val="23"/>
        </w:rPr>
        <w:t>（2018年3月）至今</w:t>
      </w:r>
      <w:r>
        <w:rPr>
          <w:szCs w:val="23"/>
        </w:rPr>
        <w:t>完成的类似项目情况表</w:t>
      </w:r>
      <w:bookmarkEnd w:id="403"/>
      <w:bookmarkEnd w:id="404"/>
      <w:bookmarkEnd w:id="405"/>
      <w:bookmarkEnd w:id="406"/>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9"/>
        <w:rPr>
          <w:szCs w:val="23"/>
        </w:rPr>
      </w:pPr>
      <w:bookmarkStart w:id="407" w:name="_Toc179632831"/>
      <w:bookmarkStart w:id="408" w:name="_Toc144974879"/>
      <w:bookmarkStart w:id="409" w:name="_Toc152042600"/>
      <w:bookmarkStart w:id="410" w:name="_Toc152045811"/>
      <w:r>
        <w:rPr>
          <w:szCs w:val="23"/>
        </w:rPr>
        <w:t>（四）正在施工的和新承接的项目情况表</w:t>
      </w:r>
      <w:bookmarkEnd w:id="407"/>
      <w:bookmarkEnd w:id="408"/>
      <w:bookmarkEnd w:id="409"/>
      <w:bookmarkEnd w:id="410"/>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rPr>
          <w:szCs w:val="23"/>
        </w:rPr>
      </w:pPr>
      <w:bookmarkStart w:id="411" w:name="_Toc144974880"/>
      <w:bookmarkStart w:id="412" w:name="_Toc152042601"/>
      <w:bookmarkStart w:id="413" w:name="_Toc152045812"/>
      <w:bookmarkStart w:id="414" w:name="_Toc179632832"/>
      <w:r>
        <w:rPr>
          <w:szCs w:val="23"/>
        </w:rPr>
        <w:t>（五）近年发生的诉讼及仲裁情况</w:t>
      </w:r>
      <w:bookmarkEnd w:id="411"/>
      <w:bookmarkEnd w:id="412"/>
      <w:bookmarkEnd w:id="413"/>
      <w:bookmarkEnd w:id="414"/>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8"/>
        <w:jc w:val="center"/>
      </w:pPr>
      <w:bookmarkStart w:id="415" w:name="_Toc179632833"/>
      <w:bookmarkStart w:id="416" w:name="_Toc152045813"/>
      <w:bookmarkStart w:id="417" w:name="_Toc144974881"/>
      <w:bookmarkStart w:id="418" w:name="_Toc152042602"/>
      <w:r>
        <w:rPr>
          <w:rFonts w:hint="eastAsia"/>
        </w:rPr>
        <w:t>七</w:t>
      </w:r>
      <w:r>
        <w:t>、其他材料</w:t>
      </w:r>
      <w:bookmarkEnd w:id="415"/>
      <w:bookmarkEnd w:id="416"/>
      <w:bookmarkEnd w:id="417"/>
      <w:bookmarkEnd w:id="418"/>
    </w:p>
    <w:p>
      <w:pPr>
        <w:spacing w:line="400" w:lineRule="exact"/>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D0F"/>
    <w:multiLevelType w:val="singleLevel"/>
    <w:tmpl w:val="FFFEAD0F"/>
    <w:lvl w:ilvl="0" w:tentative="0">
      <w:start w:val="1"/>
      <w:numFmt w:val="chineseCounting"/>
      <w:suff w:val="nothing"/>
      <w:lvlText w:val="%1、"/>
      <w:lvlJc w:val="left"/>
      <w:rPr>
        <w:rFonts w:hint="eastAsia"/>
      </w:rPr>
    </w:lvl>
  </w:abstractNum>
  <w:abstractNum w:abstractNumId="1">
    <w:nsid w:val="05911561"/>
    <w:multiLevelType w:val="singleLevel"/>
    <w:tmpl w:val="05911561"/>
    <w:lvl w:ilvl="0" w:tentative="0">
      <w:start w:val="1"/>
      <w:numFmt w:val="chineseCounting"/>
      <w:suff w:val="space"/>
      <w:lvlText w:val="第%1节"/>
      <w:lvlJc w:val="left"/>
      <w:rPr>
        <w:rFonts w:hint="eastAsia"/>
      </w:rPr>
    </w:lvl>
  </w:abstractNum>
  <w:abstractNum w:abstractNumId="2">
    <w:nsid w:val="4D83100F"/>
    <w:multiLevelType w:val="singleLevel"/>
    <w:tmpl w:val="4D83100F"/>
    <w:lvl w:ilvl="0" w:tentative="0">
      <w:start w:val="5"/>
      <w:numFmt w:val="chineseCounting"/>
      <w:suff w:val="space"/>
      <w:lvlText w:val="第%1章"/>
      <w:lvlJc w:val="left"/>
      <w:rPr>
        <w:rFonts w:hint="eastAsia"/>
      </w:rPr>
    </w:lvl>
  </w:abstractNum>
  <w:abstractNum w:abstractNumId="3">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700A08"/>
    <w:rsid w:val="01FA087B"/>
    <w:rsid w:val="022C1CE1"/>
    <w:rsid w:val="03072AAD"/>
    <w:rsid w:val="036B6479"/>
    <w:rsid w:val="036F795F"/>
    <w:rsid w:val="03A2514E"/>
    <w:rsid w:val="048E065E"/>
    <w:rsid w:val="04A95F96"/>
    <w:rsid w:val="04D730B2"/>
    <w:rsid w:val="04F06960"/>
    <w:rsid w:val="053D2B20"/>
    <w:rsid w:val="057B0C36"/>
    <w:rsid w:val="057D3CE2"/>
    <w:rsid w:val="05E33A9A"/>
    <w:rsid w:val="06B036DE"/>
    <w:rsid w:val="078C2235"/>
    <w:rsid w:val="07AF6F64"/>
    <w:rsid w:val="0875114B"/>
    <w:rsid w:val="089D58B2"/>
    <w:rsid w:val="08C94C62"/>
    <w:rsid w:val="093A33CA"/>
    <w:rsid w:val="0992531D"/>
    <w:rsid w:val="09D11379"/>
    <w:rsid w:val="09FD6245"/>
    <w:rsid w:val="0D137AF4"/>
    <w:rsid w:val="0D306B28"/>
    <w:rsid w:val="0D6C1FD6"/>
    <w:rsid w:val="10436028"/>
    <w:rsid w:val="105B189D"/>
    <w:rsid w:val="10D05E75"/>
    <w:rsid w:val="113420CC"/>
    <w:rsid w:val="11AC1F83"/>
    <w:rsid w:val="125239D5"/>
    <w:rsid w:val="128C1E06"/>
    <w:rsid w:val="12D55FFC"/>
    <w:rsid w:val="12F77E36"/>
    <w:rsid w:val="130E4CA0"/>
    <w:rsid w:val="13527085"/>
    <w:rsid w:val="135C01D3"/>
    <w:rsid w:val="139520CA"/>
    <w:rsid w:val="147E3DB9"/>
    <w:rsid w:val="161426FF"/>
    <w:rsid w:val="165D4D24"/>
    <w:rsid w:val="169B024C"/>
    <w:rsid w:val="16C03663"/>
    <w:rsid w:val="16EB465A"/>
    <w:rsid w:val="16FA6871"/>
    <w:rsid w:val="18190A57"/>
    <w:rsid w:val="185071DB"/>
    <w:rsid w:val="18FF7982"/>
    <w:rsid w:val="19672505"/>
    <w:rsid w:val="19D42739"/>
    <w:rsid w:val="19EA16F9"/>
    <w:rsid w:val="1AC81D4D"/>
    <w:rsid w:val="1B48009A"/>
    <w:rsid w:val="1B794854"/>
    <w:rsid w:val="1CC15FED"/>
    <w:rsid w:val="1EF06A5B"/>
    <w:rsid w:val="1F652A74"/>
    <w:rsid w:val="203820FA"/>
    <w:rsid w:val="20D361BA"/>
    <w:rsid w:val="21230A6C"/>
    <w:rsid w:val="21B328FC"/>
    <w:rsid w:val="21E81D91"/>
    <w:rsid w:val="220E6A08"/>
    <w:rsid w:val="22314093"/>
    <w:rsid w:val="22610AE0"/>
    <w:rsid w:val="22882760"/>
    <w:rsid w:val="22E51152"/>
    <w:rsid w:val="23CE7D97"/>
    <w:rsid w:val="24B74268"/>
    <w:rsid w:val="24B93D1C"/>
    <w:rsid w:val="24D21D2C"/>
    <w:rsid w:val="24FA6914"/>
    <w:rsid w:val="26240DA8"/>
    <w:rsid w:val="265E07A1"/>
    <w:rsid w:val="26757247"/>
    <w:rsid w:val="268B32D1"/>
    <w:rsid w:val="26D93AA6"/>
    <w:rsid w:val="28982AE1"/>
    <w:rsid w:val="28DF425E"/>
    <w:rsid w:val="292E79F8"/>
    <w:rsid w:val="295D6E46"/>
    <w:rsid w:val="2A363233"/>
    <w:rsid w:val="2A955DBE"/>
    <w:rsid w:val="2B5255EA"/>
    <w:rsid w:val="2C7C08C1"/>
    <w:rsid w:val="2CE45E72"/>
    <w:rsid w:val="2D16790F"/>
    <w:rsid w:val="2D215DCA"/>
    <w:rsid w:val="2F010FF0"/>
    <w:rsid w:val="2F1B7A4F"/>
    <w:rsid w:val="2FB20E79"/>
    <w:rsid w:val="307F1CED"/>
    <w:rsid w:val="30DC526C"/>
    <w:rsid w:val="310E1980"/>
    <w:rsid w:val="31207914"/>
    <w:rsid w:val="3130265C"/>
    <w:rsid w:val="32C35F76"/>
    <w:rsid w:val="32C95EA1"/>
    <w:rsid w:val="33155A71"/>
    <w:rsid w:val="33257E78"/>
    <w:rsid w:val="338A2F9D"/>
    <w:rsid w:val="33D457CE"/>
    <w:rsid w:val="345D28C0"/>
    <w:rsid w:val="346C1F29"/>
    <w:rsid w:val="34CE3D35"/>
    <w:rsid w:val="35AB7D0E"/>
    <w:rsid w:val="35F05ABA"/>
    <w:rsid w:val="360948FA"/>
    <w:rsid w:val="38033C94"/>
    <w:rsid w:val="38FD04D7"/>
    <w:rsid w:val="395727FA"/>
    <w:rsid w:val="39647C90"/>
    <w:rsid w:val="39A07BAF"/>
    <w:rsid w:val="39ED7E7E"/>
    <w:rsid w:val="3A0815EE"/>
    <w:rsid w:val="3A0B3419"/>
    <w:rsid w:val="3A56755C"/>
    <w:rsid w:val="3B5D137F"/>
    <w:rsid w:val="3CB3610E"/>
    <w:rsid w:val="3D043FDF"/>
    <w:rsid w:val="3D2F0ECE"/>
    <w:rsid w:val="3D332B76"/>
    <w:rsid w:val="3D8F4247"/>
    <w:rsid w:val="3DB94810"/>
    <w:rsid w:val="3DDE0472"/>
    <w:rsid w:val="3E330175"/>
    <w:rsid w:val="3E807EF3"/>
    <w:rsid w:val="3EA504D0"/>
    <w:rsid w:val="3ED01AE1"/>
    <w:rsid w:val="3EF13602"/>
    <w:rsid w:val="3F974712"/>
    <w:rsid w:val="3FED4454"/>
    <w:rsid w:val="401514E5"/>
    <w:rsid w:val="407F107B"/>
    <w:rsid w:val="40B63A9D"/>
    <w:rsid w:val="4113421C"/>
    <w:rsid w:val="41FE7E90"/>
    <w:rsid w:val="42BF2FC9"/>
    <w:rsid w:val="432A2463"/>
    <w:rsid w:val="43B16800"/>
    <w:rsid w:val="446E123D"/>
    <w:rsid w:val="44F966CE"/>
    <w:rsid w:val="46195F07"/>
    <w:rsid w:val="46D13DE5"/>
    <w:rsid w:val="47024B89"/>
    <w:rsid w:val="47305D6D"/>
    <w:rsid w:val="474434C3"/>
    <w:rsid w:val="47B72B13"/>
    <w:rsid w:val="47C20080"/>
    <w:rsid w:val="48335A33"/>
    <w:rsid w:val="485D7632"/>
    <w:rsid w:val="48834621"/>
    <w:rsid w:val="48A60652"/>
    <w:rsid w:val="49BB6BE4"/>
    <w:rsid w:val="4A68094E"/>
    <w:rsid w:val="4B6A62F3"/>
    <w:rsid w:val="4B87119C"/>
    <w:rsid w:val="4BCA69A8"/>
    <w:rsid w:val="4BF365FC"/>
    <w:rsid w:val="4C277575"/>
    <w:rsid w:val="4C48081E"/>
    <w:rsid w:val="4DD67440"/>
    <w:rsid w:val="4E1002A3"/>
    <w:rsid w:val="4E9D1AC5"/>
    <w:rsid w:val="4F562937"/>
    <w:rsid w:val="4FCC0647"/>
    <w:rsid w:val="509F26DD"/>
    <w:rsid w:val="524F64F8"/>
    <w:rsid w:val="528F76AF"/>
    <w:rsid w:val="52A674EA"/>
    <w:rsid w:val="52F87011"/>
    <w:rsid w:val="53074DA5"/>
    <w:rsid w:val="532A4BDE"/>
    <w:rsid w:val="5454595E"/>
    <w:rsid w:val="550314A0"/>
    <w:rsid w:val="565C4DDE"/>
    <w:rsid w:val="57D0693D"/>
    <w:rsid w:val="582B112C"/>
    <w:rsid w:val="58A40726"/>
    <w:rsid w:val="58E06668"/>
    <w:rsid w:val="599C0209"/>
    <w:rsid w:val="5BCA3AD7"/>
    <w:rsid w:val="5C92090E"/>
    <w:rsid w:val="5D480F4A"/>
    <w:rsid w:val="5E104FDB"/>
    <w:rsid w:val="5FAB1452"/>
    <w:rsid w:val="5FBB462C"/>
    <w:rsid w:val="5FC609F2"/>
    <w:rsid w:val="614B001F"/>
    <w:rsid w:val="61581B1D"/>
    <w:rsid w:val="618F4E92"/>
    <w:rsid w:val="61911EEA"/>
    <w:rsid w:val="61C32BD6"/>
    <w:rsid w:val="627D662F"/>
    <w:rsid w:val="631475F4"/>
    <w:rsid w:val="63AC02A0"/>
    <w:rsid w:val="642278D4"/>
    <w:rsid w:val="649E314A"/>
    <w:rsid w:val="64A31301"/>
    <w:rsid w:val="64FA4F5B"/>
    <w:rsid w:val="65332685"/>
    <w:rsid w:val="65870BC4"/>
    <w:rsid w:val="662717F2"/>
    <w:rsid w:val="67402916"/>
    <w:rsid w:val="67403DB7"/>
    <w:rsid w:val="67EF1E2D"/>
    <w:rsid w:val="686953E7"/>
    <w:rsid w:val="68FB3185"/>
    <w:rsid w:val="693F0663"/>
    <w:rsid w:val="69C07F49"/>
    <w:rsid w:val="6A512265"/>
    <w:rsid w:val="6A59675A"/>
    <w:rsid w:val="6AC81BFD"/>
    <w:rsid w:val="6CC4637A"/>
    <w:rsid w:val="6E1D17B3"/>
    <w:rsid w:val="6E6558DD"/>
    <w:rsid w:val="6F4B486A"/>
    <w:rsid w:val="6F8638C7"/>
    <w:rsid w:val="6FFF6442"/>
    <w:rsid w:val="703C2021"/>
    <w:rsid w:val="70471064"/>
    <w:rsid w:val="70A034D9"/>
    <w:rsid w:val="70E464B7"/>
    <w:rsid w:val="7149105F"/>
    <w:rsid w:val="71556992"/>
    <w:rsid w:val="71D03AE5"/>
    <w:rsid w:val="72732E92"/>
    <w:rsid w:val="731C357F"/>
    <w:rsid w:val="73D72D76"/>
    <w:rsid w:val="740D356A"/>
    <w:rsid w:val="74232622"/>
    <w:rsid w:val="75096FC1"/>
    <w:rsid w:val="75FA13C9"/>
    <w:rsid w:val="75FC2B2B"/>
    <w:rsid w:val="7628028B"/>
    <w:rsid w:val="764825BF"/>
    <w:rsid w:val="76765971"/>
    <w:rsid w:val="76F42728"/>
    <w:rsid w:val="77904935"/>
    <w:rsid w:val="780D33B9"/>
    <w:rsid w:val="78855930"/>
    <w:rsid w:val="7975646B"/>
    <w:rsid w:val="79BC1483"/>
    <w:rsid w:val="79D720E7"/>
    <w:rsid w:val="79DD5637"/>
    <w:rsid w:val="79E5644B"/>
    <w:rsid w:val="7AA15F66"/>
    <w:rsid w:val="7ADD6E09"/>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6">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1"/>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正文 首行缩进:  2 字符"/>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0">
    <w:name w:val="Blockquote"/>
    <w:basedOn w:val="1"/>
    <w:qFormat/>
    <w:uiPriority w:val="0"/>
    <w:pPr>
      <w:autoSpaceDE w:val="0"/>
      <w:autoSpaceDN w:val="0"/>
      <w:adjustRightInd w:val="0"/>
      <w:ind w:left="360" w:right="360"/>
      <w:jc w:val="left"/>
    </w:pPr>
    <w:rPr>
      <w:kern w:val="0"/>
      <w:sz w:val="24"/>
      <w:szCs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1"/>
    <w:basedOn w:val="1"/>
    <w:qFormat/>
    <w:uiPriority w:val="0"/>
    <w:pPr>
      <w:spacing w:line="300" w:lineRule="auto"/>
    </w:pPr>
    <w:rPr>
      <w:rFonts w:ascii="宋体" w:hAnsi="宋体"/>
      <w:b/>
      <w:sz w:val="24"/>
      <w:szCs w:val="20"/>
    </w:rPr>
  </w:style>
  <w:style w:type="paragraph" w:customStyle="1" w:styleId="33">
    <w:name w:val="纯文本 New"/>
    <w:basedOn w:val="1"/>
    <w:qFormat/>
    <w:uiPriority w:val="0"/>
    <w:rPr>
      <w:rFonts w:ascii="宋体" w:hAnsi="Courier New"/>
      <w:szCs w:val="20"/>
    </w:rPr>
  </w:style>
  <w:style w:type="paragraph" w:customStyle="1" w:styleId="34">
    <w:name w:val="表格文字"/>
    <w:basedOn w:val="1"/>
    <w:qFormat/>
    <w:uiPriority w:val="0"/>
    <w:pPr>
      <w:adjustRightInd w:val="0"/>
      <w:spacing w:line="420" w:lineRule="atLeast"/>
      <w:jc w:val="left"/>
      <w:textAlignment w:val="baseline"/>
    </w:pPr>
    <w:rPr>
      <w:kern w:val="0"/>
      <w:szCs w:val="20"/>
    </w:rPr>
  </w:style>
  <w:style w:type="character" w:customStyle="1" w:styleId="35">
    <w:name w:val="font31"/>
    <w:basedOn w:val="24"/>
    <w:qFormat/>
    <w:uiPriority w:val="0"/>
    <w:rPr>
      <w:rFonts w:hint="eastAsia" w:ascii="宋体" w:hAnsi="宋体" w:eastAsia="宋体" w:cs="宋体"/>
      <w:color w:val="000000"/>
      <w:sz w:val="20"/>
      <w:szCs w:val="20"/>
      <w:u w:val="none"/>
    </w:rPr>
  </w:style>
  <w:style w:type="character" w:customStyle="1" w:styleId="36">
    <w:name w:val="font11"/>
    <w:basedOn w:val="24"/>
    <w:qFormat/>
    <w:uiPriority w:val="0"/>
    <w:rPr>
      <w:rFonts w:hint="default" w:ascii="Times New Roman" w:hAnsi="Times New Roman" w:cs="Times New Roman"/>
      <w:color w:val="000000"/>
      <w:sz w:val="22"/>
      <w:szCs w:val="22"/>
      <w:u w:val="none"/>
    </w:rPr>
  </w:style>
  <w:style w:type="character" w:customStyle="1" w:styleId="37">
    <w:name w:val="font01"/>
    <w:basedOn w:val="24"/>
    <w:qFormat/>
    <w:uiPriority w:val="0"/>
    <w:rPr>
      <w:rFonts w:hint="eastAsia" w:ascii="宋体" w:hAnsi="宋体" w:eastAsia="宋体" w:cs="宋体"/>
      <w:color w:val="000000"/>
      <w:sz w:val="22"/>
      <w:szCs w:val="22"/>
      <w:u w:val="none"/>
    </w:rPr>
  </w:style>
  <w:style w:type="paragraph" w:styleId="38">
    <w:name w:val="List Paragraph"/>
    <w:basedOn w:val="1"/>
    <w:qFormat/>
    <w:uiPriority w:val="34"/>
    <w:pPr>
      <w:ind w:firstLine="420" w:firstLineChars="200"/>
    </w:pPr>
  </w:style>
  <w:style w:type="paragraph" w:customStyle="1" w:styleId="39">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40">
    <w:name w:val="L3"/>
    <w:next w:val="39"/>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1">
    <w:name w:val="正文文本 字符"/>
    <w:basedOn w:val="24"/>
    <w:link w:val="9"/>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3140</Words>
  <Characters>17899</Characters>
  <Lines>149</Lines>
  <Paragraphs>41</Paragraphs>
  <TotalTime>0</TotalTime>
  <ScaleCrop>false</ScaleCrop>
  <LinksUpToDate>false</LinksUpToDate>
  <CharactersWithSpaces>20998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2022-02-17T07:36:00Z</cp:lastPrinted>
  <dcterms:modified xsi:type="dcterms:W3CDTF">2022-02-25T00:03:03Z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DBDC18D58E784D878C37CEF0272B84F2</vt:lpwstr>
  </property>
</Properties>
</file>