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rFonts w:hint="eastAsia"/>
          <w:b/>
          <w:bCs/>
          <w:sz w:val="28"/>
          <w:szCs w:val="28"/>
        </w:rPr>
      </w:pPr>
      <w:r>
        <w:rPr>
          <w:rFonts w:hint="eastAsia"/>
          <w:b/>
          <w:bCs/>
          <w:sz w:val="28"/>
          <w:szCs w:val="28"/>
        </w:rPr>
        <w:t>张家口冀东高压柜及变压器预防性试验项目</w:t>
      </w:r>
    </w:p>
    <w:p>
      <w:pPr>
        <w:rPr>
          <w:rFonts w:hint="eastAsia"/>
          <w:sz w:val="28"/>
          <w:szCs w:val="36"/>
        </w:rPr>
      </w:pPr>
      <w:r>
        <w:rPr>
          <w:rFonts w:hint="eastAsia"/>
          <w:b/>
          <w:bCs/>
          <w:sz w:val="28"/>
          <w:szCs w:val="28"/>
        </w:rPr>
        <w:t>一、维修、施工、服务名称</w:t>
      </w:r>
      <w:r>
        <w:rPr>
          <w:rFonts w:hint="eastAsia"/>
          <w:b/>
          <w:bCs/>
          <w:sz w:val="32"/>
          <w:szCs w:val="40"/>
        </w:rPr>
        <w:t>：</w:t>
      </w:r>
      <w:r>
        <w:rPr>
          <w:rFonts w:hint="eastAsia"/>
          <w:sz w:val="28"/>
          <w:szCs w:val="36"/>
        </w:rPr>
        <w:t>张家口冀东</w:t>
      </w:r>
      <w:r>
        <w:rPr>
          <w:rFonts w:hint="eastAsia" w:ascii="微软雅黑" w:hAnsi="微软雅黑" w:eastAsia="微软雅黑"/>
          <w:color w:val="555555"/>
          <w:spacing w:val="15"/>
          <w:sz w:val="28"/>
          <w:szCs w:val="23"/>
        </w:rPr>
        <w:t>高压柜及变压器预防性试验项目</w:t>
      </w:r>
    </w:p>
    <w:p>
      <w:pPr>
        <w:rPr>
          <w:rFonts w:hint="eastAsia"/>
          <w:bCs/>
          <w:sz w:val="28"/>
          <w:szCs w:val="28"/>
        </w:rPr>
      </w:pPr>
      <w:r>
        <w:rPr>
          <w:rFonts w:hint="eastAsia"/>
          <w:b/>
          <w:bCs/>
          <w:sz w:val="28"/>
          <w:szCs w:val="28"/>
        </w:rPr>
        <w:t>二、工期要求</w:t>
      </w:r>
      <w:r>
        <w:rPr>
          <w:rFonts w:hint="eastAsia"/>
          <w:b/>
          <w:bCs/>
          <w:sz w:val="32"/>
          <w:szCs w:val="40"/>
        </w:rPr>
        <w:t>：</w:t>
      </w:r>
      <w:r>
        <w:rPr>
          <w:rFonts w:hint="eastAsia"/>
          <w:bCs/>
          <w:sz w:val="28"/>
          <w:szCs w:val="28"/>
        </w:rPr>
        <w:t>2022年春季检修期间完成，开工前，对乙方进场人员进行安全培训，工期2天。</w:t>
      </w:r>
      <w:bookmarkStart w:id="0" w:name="_GoBack"/>
      <w:bookmarkEnd w:id="0"/>
    </w:p>
    <w:p>
      <w:pPr>
        <w:pStyle w:val="2"/>
        <w:spacing w:line="450" w:lineRule="atLeast"/>
        <w:ind w:left="562" w:hanging="562" w:hangingChars="200"/>
        <w:jc w:val="both"/>
        <w:rPr>
          <w:rFonts w:hint="eastAsia"/>
          <w:bCs/>
          <w:sz w:val="28"/>
          <w:szCs w:val="28"/>
        </w:rPr>
      </w:pPr>
      <w:r>
        <w:rPr>
          <w:rFonts w:hint="eastAsia"/>
          <w:b/>
          <w:bCs/>
          <w:sz w:val="28"/>
          <w:szCs w:val="28"/>
        </w:rPr>
        <w:t>三、针对此外委施工供应商需要提供的资质：</w:t>
      </w:r>
    </w:p>
    <w:p>
      <w:pPr>
        <w:pStyle w:val="2"/>
        <w:spacing w:line="450" w:lineRule="atLeast"/>
        <w:ind w:left="620" w:hanging="620" w:hangingChars="200"/>
        <w:jc w:val="both"/>
        <w:rPr>
          <w:rFonts w:ascii="微软雅黑" w:hAnsi="微软雅黑" w:eastAsia="微软雅黑"/>
          <w:color w:val="555555"/>
          <w:spacing w:val="15"/>
          <w:sz w:val="28"/>
          <w:szCs w:val="23"/>
        </w:rPr>
      </w:pPr>
      <w:r>
        <w:rPr>
          <w:rFonts w:hint="eastAsia" w:ascii="微软雅黑" w:hAnsi="微软雅黑" w:eastAsia="微软雅黑"/>
          <w:color w:val="555555"/>
          <w:spacing w:val="15"/>
          <w:sz w:val="28"/>
          <w:szCs w:val="23"/>
        </w:rPr>
        <w:t xml:space="preserve"> 1、供方需具有电力工程施工总承包三级及以上资质或送变电工程专业承包三级资质或机电设备安装工程专业承包三级及以上资质。</w:t>
      </w:r>
    </w:p>
    <w:p>
      <w:pPr>
        <w:pStyle w:val="2"/>
        <w:spacing w:line="450" w:lineRule="atLeast"/>
        <w:ind w:left="520" w:leftChars="100" w:hanging="310" w:hangingChars="100"/>
        <w:jc w:val="both"/>
        <w:rPr>
          <w:rFonts w:ascii="微软雅黑" w:hAnsi="微软雅黑" w:eastAsia="微软雅黑"/>
          <w:color w:val="555555"/>
          <w:spacing w:val="15"/>
          <w:sz w:val="28"/>
          <w:szCs w:val="23"/>
        </w:rPr>
      </w:pPr>
      <w:r>
        <w:rPr>
          <w:rFonts w:hint="eastAsia" w:ascii="微软雅黑" w:hAnsi="微软雅黑" w:eastAsia="微软雅黑"/>
          <w:color w:val="555555"/>
          <w:spacing w:val="15"/>
          <w:sz w:val="28"/>
          <w:szCs w:val="23"/>
        </w:rPr>
        <w:t>2、此文件提出的是最低限度的技术要求，并未对一切技术细节作出规定，也未充分引述有关标准和规范的条文，供方应保证提供符合本规范书和有关工业标准，并且功能完整、性能优良的相应服务。同时必须满足国家有关安全、环保等强制性标准和规范的要求。</w:t>
      </w:r>
    </w:p>
    <w:p>
      <w:pPr>
        <w:pStyle w:val="2"/>
        <w:spacing w:line="450" w:lineRule="atLeast"/>
        <w:ind w:left="520" w:leftChars="100" w:hanging="310" w:hangingChars="100"/>
        <w:jc w:val="both"/>
        <w:rPr>
          <w:rFonts w:ascii="微软雅黑" w:hAnsi="微软雅黑" w:eastAsia="微软雅黑"/>
          <w:color w:val="555555"/>
          <w:spacing w:val="15"/>
          <w:sz w:val="28"/>
          <w:szCs w:val="23"/>
        </w:rPr>
      </w:pPr>
      <w:r>
        <w:rPr>
          <w:rFonts w:hint="eastAsia" w:ascii="微软雅黑" w:hAnsi="微软雅黑" w:eastAsia="微软雅黑"/>
          <w:color w:val="555555"/>
          <w:spacing w:val="15"/>
          <w:sz w:val="28"/>
          <w:szCs w:val="23"/>
        </w:rPr>
        <w:t>3、供方所做的试验项目必须符合《电力设备交接和预防性试验规程》的技术要求，同时遵守厂家出厂技术资料上的注意事项。</w:t>
      </w:r>
    </w:p>
    <w:p>
      <w:pPr>
        <w:pStyle w:val="2"/>
        <w:spacing w:line="450" w:lineRule="atLeast"/>
        <w:ind w:left="520" w:leftChars="100" w:hanging="310" w:hangingChars="100"/>
        <w:jc w:val="both"/>
        <w:rPr>
          <w:rFonts w:ascii="微软雅黑" w:hAnsi="微软雅黑" w:eastAsia="微软雅黑"/>
          <w:color w:val="555555"/>
          <w:spacing w:val="15"/>
          <w:sz w:val="28"/>
          <w:szCs w:val="23"/>
        </w:rPr>
      </w:pPr>
      <w:r>
        <w:rPr>
          <w:rFonts w:hint="eastAsia" w:ascii="微软雅黑" w:hAnsi="微软雅黑" w:eastAsia="微软雅黑"/>
          <w:color w:val="555555"/>
          <w:spacing w:val="15"/>
          <w:sz w:val="28"/>
          <w:szCs w:val="23"/>
        </w:rPr>
        <w:t>4、设备表内的设备型号和数量基本上和实际相符，供方根据设备表报价，试验、税金、交通等所有费用均计在设备单价内。如果最终实际价格超出供方中标价格，后果由供方自负。</w:t>
      </w:r>
    </w:p>
    <w:p>
      <w:pPr>
        <w:ind w:firstLine="310" w:firstLineChars="100"/>
        <w:rPr>
          <w:rFonts w:ascii="微软雅黑" w:hAnsi="微软雅黑" w:eastAsia="微软雅黑" w:cs="宋体"/>
          <w:color w:val="555555"/>
          <w:spacing w:val="15"/>
          <w:kern w:val="0"/>
          <w:sz w:val="28"/>
          <w:szCs w:val="23"/>
        </w:rPr>
      </w:pPr>
      <w:r>
        <w:rPr>
          <w:rFonts w:hint="eastAsia" w:ascii="微软雅黑" w:hAnsi="微软雅黑" w:eastAsia="微软雅黑" w:cs="宋体"/>
          <w:color w:val="555555"/>
          <w:spacing w:val="15"/>
          <w:kern w:val="0"/>
          <w:sz w:val="28"/>
          <w:szCs w:val="23"/>
        </w:rPr>
        <w:t>5、技术协议内未明确规定的细节,供需双方协商解决。</w:t>
      </w:r>
    </w:p>
    <w:p>
      <w:pPr>
        <w:rPr>
          <w:rFonts w:hint="eastAsia"/>
          <w:sz w:val="28"/>
          <w:szCs w:val="36"/>
        </w:rPr>
      </w:pPr>
      <w:r>
        <w:rPr>
          <w:rFonts w:hint="eastAsia"/>
          <w:b/>
          <w:bCs/>
          <w:sz w:val="28"/>
          <w:szCs w:val="28"/>
        </w:rPr>
        <w:t>四、承包方式：</w:t>
      </w:r>
      <w:r>
        <w:rPr>
          <w:rFonts w:hint="eastAsia" w:ascii="微软雅黑" w:hAnsi="微软雅黑" w:eastAsia="微软雅黑" w:cs="宋体"/>
          <w:color w:val="555555"/>
          <w:spacing w:val="15"/>
          <w:kern w:val="0"/>
          <w:sz w:val="28"/>
          <w:szCs w:val="23"/>
        </w:rPr>
        <w:t>包工包料。</w:t>
      </w:r>
    </w:p>
    <w:p>
      <w:pPr>
        <w:rPr>
          <w:rFonts w:hint="eastAsia"/>
          <w:b/>
          <w:bCs/>
          <w:sz w:val="28"/>
          <w:szCs w:val="28"/>
        </w:rPr>
      </w:pPr>
      <w:r>
        <w:rPr>
          <w:rFonts w:hint="eastAsia"/>
          <w:b/>
          <w:bCs/>
          <w:sz w:val="28"/>
          <w:szCs w:val="28"/>
        </w:rPr>
        <w:t>五、是否需勘踏现场：否。</w:t>
      </w:r>
    </w:p>
    <w:p>
      <w:pPr>
        <w:rPr>
          <w:rFonts w:hint="eastAsia"/>
          <w:b/>
          <w:bCs/>
          <w:sz w:val="28"/>
          <w:szCs w:val="28"/>
        </w:rPr>
      </w:pPr>
      <w:r>
        <w:rPr>
          <w:rFonts w:hint="eastAsia"/>
          <w:b/>
          <w:bCs/>
          <w:sz w:val="28"/>
          <w:szCs w:val="28"/>
        </w:rPr>
        <w:t>六、施工内容：</w:t>
      </w:r>
    </w:p>
    <w:tbl>
      <w:tblPr>
        <w:tblStyle w:val="3"/>
        <w:tblW w:w="8654" w:type="dxa"/>
        <w:tblInd w:w="96" w:type="dxa"/>
        <w:tblLayout w:type="autofit"/>
        <w:tblCellMar>
          <w:top w:w="0" w:type="dxa"/>
          <w:left w:w="108" w:type="dxa"/>
          <w:bottom w:w="0" w:type="dxa"/>
          <w:right w:w="108" w:type="dxa"/>
        </w:tblCellMar>
      </w:tblPr>
      <w:tblGrid>
        <w:gridCol w:w="879"/>
        <w:gridCol w:w="2358"/>
        <w:gridCol w:w="1286"/>
        <w:gridCol w:w="965"/>
        <w:gridCol w:w="543"/>
        <w:gridCol w:w="572"/>
        <w:gridCol w:w="885"/>
        <w:gridCol w:w="507"/>
        <w:gridCol w:w="659"/>
      </w:tblGrid>
      <w:tr>
        <w:tblPrEx>
          <w:tblCellMar>
            <w:top w:w="0" w:type="dxa"/>
            <w:left w:w="108" w:type="dxa"/>
            <w:bottom w:w="0" w:type="dxa"/>
            <w:right w:w="108" w:type="dxa"/>
          </w:tblCellMar>
        </w:tblPrEx>
        <w:trPr>
          <w:trHeight w:val="152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分项内容</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技术要求、规范、说明</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方案内容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地点</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单位</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单价上限</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质保期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质量、验收标准</w:t>
            </w:r>
          </w:p>
        </w:tc>
      </w:tr>
      <w:tr>
        <w:tblPrEx>
          <w:tblCellMar>
            <w:top w:w="0" w:type="dxa"/>
            <w:left w:w="108" w:type="dxa"/>
            <w:bottom w:w="0" w:type="dxa"/>
            <w:right w:w="108" w:type="dxa"/>
          </w:tblCellMar>
        </w:tblPrEx>
        <w:trPr>
          <w:trHeight w:val="3689"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内容</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1、施工中的各道工序应严格按照《电力设备预防性试验规程（DL/T596—1996）》与《继电保护及电网安全自动化装置检验条例》施工，确保试验质量。</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2、试验做到数据准确、不超期、不漏项目。试验工作结束后，试验负责人应认真核对试验项目，作好记录，当实验结果无误后，才能拆除试验接线，恢复设备原有接线。</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3、供方在做试验时有需方技术人员全程跟踪、配合，服从需方工作安排，接到需方需要做试验的通知后，尽快组织人力物力在规定的时间内赶到现场，需方尽量提前三天通知。</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4、供方做试验时必须遵守需方相关的厂规厂纪，自身劳保穿戴齐全，严格遵守安全操作规程，妥善保存自己携带的试验设备。</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5、供方单位人员在需方厂区范围内对自身安全负责，供方自身原因造成的人身伤害由供方自行承担全部责任</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6、如果供方损坏了需方设备需三日内原价赔偿，情节严重影响生产，则处以适当罚金</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7、供方对做完试验的电气设备进行清理，供、需双方检查无问题后供方必须将设备恢复原状，清理、打扫现场。</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7、涉及到拆装被试验设备的接线端子或者接线母排,由供方技术人员完成,做完试验后恢复。</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8、试验完毕后,供方出具正规的试验报告并签字、加盖试验单位的章,按照一定规则分类、对试验不合格的设备给出书面的整改意见</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9、供方安排一个工作日的时间对需方技术人员进行安全培训。</w:t>
            </w:r>
          </w:p>
          <w:p>
            <w:pPr>
              <w:widowControl/>
              <w:jc w:val="center"/>
              <w:textAlignment w:val="center"/>
              <w:rPr>
                <w:rFonts w:ascii="等线" w:hAnsi="等线" w:eastAsia="等线" w:cs="等线"/>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1、高压电容补偿柜</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电器检查、电容测量、耐压试验、真空断路器检测（包含：分合闸状态耐压试验、辅助回路和控制回路耐压试验、导电回路电阻测量、断路器机械特性等）、保护特性试验、避雷器检测试验等。数量2个。</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2、高压控制柜</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真空断路器试验（包含：分合闸状态耐压试验、辅助回路和控制回路耐压试验、导电回路电阻测量、断路器机械特性等）；综合保护校验；避雷器检测试验；互感器检测；高压带电装置检测；高压母线检查（测量头尾电阻必要时开盖紧固螺栓）。需检测的高压控制柜数量15个。</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3、变压器</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初极、次极线圈测量；绝缘电阻测量；瓦斯继电器测试；变压器油检测。数量3台。</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4、变压器地坑鹅卵石</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由中标方购买11立方米鹅卵石，并按标准添加到变压器地坑。</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5、检修方案</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中标方按我方要求提供各项资质。项目实施计划在停机后分两步进行，一、516合闸，隔离柜分闸，厂区不停电对1#段7面机柜及两面电容补偿柜进行测量试验，同时进行1#变压器测量试验。二、全厂停电，对余下8面机柜及两台变压器测量试验。具体实施方案由承揽方出具，我方审定，原则按电气检修安全制度法规进行；进场人员安全部登记培训，车辆备案（如需要车辆进厂）。</w:t>
            </w:r>
          </w:p>
          <w:p>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鹅卵石添加到位，购买及运输、施工由中标方负责。</w:t>
            </w:r>
          </w:p>
          <w:p>
            <w:pPr>
              <w:widowControl/>
              <w:jc w:val="center"/>
              <w:textAlignment w:val="center"/>
              <w:rPr>
                <w:rFonts w:ascii="等线" w:hAnsi="等线" w:eastAsia="等线" w:cs="等线"/>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施工位置：张家口冀东公司电气室。施工作业不存在高空作业</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r>
              <w:rPr>
                <w:rFonts w:hint="eastAsia" w:ascii="等线" w:hAnsi="等线" w:eastAsia="等线" w:cs="等线"/>
                <w:color w:val="000000"/>
                <w:sz w:val="22"/>
                <w:szCs w:val="22"/>
              </w:rPr>
              <w:t>数量见下表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多项内容需分项限价，参考市场价格，测算到位</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等线" w:hAnsi="等线" w:eastAsia="等线" w:cs="等线"/>
                <w:color w:val="000000"/>
                <w:kern w:val="0"/>
                <w:sz w:val="22"/>
                <w:szCs w:val="22"/>
              </w:rPr>
              <w:t>验收标准试验项目必须符合《电力设备交接和预防性试验规程》的技术要求，</w:t>
            </w:r>
          </w:p>
        </w:tc>
      </w:tr>
    </w:tbl>
    <w:p>
      <w:pPr>
        <w:rPr>
          <w:rFonts w:hint="eastAsia"/>
          <w:b/>
          <w:bCs/>
          <w:sz w:val="28"/>
          <w:szCs w:val="28"/>
        </w:rPr>
      </w:pPr>
    </w:p>
    <w:tbl>
      <w:tblPr>
        <w:tblStyle w:val="3"/>
        <w:tblW w:w="8520" w:type="dxa"/>
        <w:tblInd w:w="93" w:type="dxa"/>
        <w:tblLayout w:type="autofit"/>
        <w:tblCellMar>
          <w:top w:w="0" w:type="dxa"/>
          <w:left w:w="108" w:type="dxa"/>
          <w:bottom w:w="0" w:type="dxa"/>
          <w:right w:w="108" w:type="dxa"/>
        </w:tblCellMar>
      </w:tblPr>
      <w:tblGrid>
        <w:gridCol w:w="2425"/>
        <w:gridCol w:w="5103"/>
        <w:gridCol w:w="992"/>
      </w:tblGrid>
      <w:tr>
        <w:tblPrEx>
          <w:tblCellMar>
            <w:top w:w="0" w:type="dxa"/>
            <w:left w:w="108" w:type="dxa"/>
            <w:bottom w:w="0" w:type="dxa"/>
            <w:right w:w="108" w:type="dxa"/>
          </w:tblCellMar>
        </w:tblPrEx>
        <w:trPr>
          <w:trHeight w:val="285" w:hRule="atLeast"/>
        </w:trPr>
        <w:tc>
          <w:tcPr>
            <w:tcW w:w="242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名称</w:t>
            </w:r>
          </w:p>
        </w:tc>
        <w:tc>
          <w:tcPr>
            <w:tcW w:w="5103" w:type="dxa"/>
            <w:tcBorders>
              <w:top w:val="single" w:color="auto" w:sz="4" w:space="0"/>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测试项目</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Tahoma"/>
                <w:color w:val="000000"/>
                <w:sz w:val="24"/>
              </w:rPr>
            </w:pPr>
            <w:r>
              <w:rPr>
                <w:rFonts w:hint="eastAsia" w:ascii="宋体" w:hAnsi="宋体" w:eastAsia="宋体" w:cs="Tahoma"/>
                <w:color w:val="000000"/>
                <w:sz w:val="24"/>
              </w:rPr>
              <w:t>数量</w:t>
            </w:r>
          </w:p>
        </w:tc>
      </w:tr>
      <w:tr>
        <w:tblPrEx>
          <w:tblCellMar>
            <w:top w:w="0" w:type="dxa"/>
            <w:left w:w="108" w:type="dxa"/>
            <w:bottom w:w="0" w:type="dxa"/>
            <w:right w:w="108" w:type="dxa"/>
          </w:tblCellMar>
        </w:tblPrEx>
        <w:trPr>
          <w:trHeight w:val="402" w:hRule="atLeast"/>
        </w:trPr>
        <w:tc>
          <w:tcPr>
            <w:tcW w:w="2425"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Tahoma"/>
                <w:color w:val="000000"/>
                <w:sz w:val="24"/>
              </w:rPr>
            </w:pPr>
            <w:r>
              <w:rPr>
                <w:rFonts w:hint="eastAsia" w:ascii="宋体" w:hAnsi="宋体" w:eastAsia="宋体" w:cs="Tahoma"/>
                <w:color w:val="000000"/>
                <w:sz w:val="24"/>
              </w:rPr>
              <w:t>变压器（10KV、1600KVA）</w:t>
            </w: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高低压绕组线圈电阻测试</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eastAsia="宋体" w:cs="Tahoma"/>
                <w:color w:val="000000"/>
                <w:sz w:val="24"/>
              </w:rPr>
            </w:pPr>
            <w:r>
              <w:rPr>
                <w:rFonts w:eastAsia="宋体" w:cs="Tahoma"/>
                <w:color w:val="000000"/>
                <w:sz w:val="24"/>
              </w:rPr>
              <w:t>2</w:t>
            </w:r>
            <w:r>
              <w:rPr>
                <w:rFonts w:hint="eastAsia" w:ascii="宋体" w:hAnsi="宋体" w:eastAsia="宋体" w:cs="Tahoma"/>
                <w:color w:val="000000"/>
                <w:sz w:val="24"/>
              </w:rPr>
              <w:t>台</w:t>
            </w: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高低压侧对地绝缘电阻测试</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变压器绝缘油检测</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外观、油位、瓦斯继电器和温度报警装置检查</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轻重瓦斯传动试验</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Tahoma"/>
                <w:color w:val="000000"/>
                <w:sz w:val="24"/>
              </w:rPr>
            </w:pPr>
            <w:r>
              <w:rPr>
                <w:rFonts w:hint="eastAsia" w:ascii="宋体" w:hAnsi="宋体" w:eastAsia="宋体" w:cs="Tahoma"/>
                <w:color w:val="000000"/>
                <w:sz w:val="24"/>
              </w:rPr>
              <w:t>变压器（10KV、800KVA）</w:t>
            </w: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高低压绕组线圈电阻测试</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eastAsia="宋体" w:cs="Tahoma"/>
                <w:color w:val="000000"/>
                <w:sz w:val="24"/>
              </w:rPr>
            </w:pPr>
            <w:r>
              <w:rPr>
                <w:rFonts w:eastAsia="宋体" w:cs="Tahoma"/>
                <w:color w:val="000000"/>
                <w:sz w:val="24"/>
              </w:rPr>
              <w:t>1</w:t>
            </w:r>
            <w:r>
              <w:rPr>
                <w:rFonts w:hint="eastAsia" w:ascii="宋体" w:hAnsi="宋体" w:eastAsia="宋体" w:cs="Tahoma"/>
                <w:color w:val="000000"/>
                <w:sz w:val="24"/>
              </w:rPr>
              <w:t>台</w:t>
            </w: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高低压侧对地绝缘电阻测试</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变压器绝缘油检测</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外观、油位、瓦斯继电器和温度报警装置检查</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轻重瓦斯传动试验</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Tahoma"/>
                <w:color w:val="000000"/>
                <w:sz w:val="24"/>
              </w:rPr>
            </w:pPr>
            <w:r>
              <w:rPr>
                <w:rFonts w:hint="eastAsia" w:ascii="宋体" w:hAnsi="宋体" w:eastAsia="宋体" w:cs="Tahoma"/>
                <w:color w:val="000000"/>
                <w:sz w:val="24"/>
              </w:rPr>
              <w:t>高压开关柜</w:t>
            </w: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辅助和控制回路绝缘电阻测试</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eastAsia="宋体" w:cs="Tahoma"/>
                <w:color w:val="000000"/>
                <w:sz w:val="24"/>
              </w:rPr>
            </w:pPr>
            <w:r>
              <w:rPr>
                <w:rFonts w:eastAsia="宋体" w:cs="Tahoma"/>
                <w:color w:val="000000"/>
                <w:sz w:val="24"/>
              </w:rPr>
              <w:t>15</w:t>
            </w:r>
            <w:r>
              <w:rPr>
                <w:rFonts w:hint="eastAsia" w:ascii="宋体" w:hAnsi="宋体" w:eastAsia="宋体" w:cs="Tahoma"/>
                <w:color w:val="000000"/>
                <w:sz w:val="24"/>
              </w:rPr>
              <w:t>面</w:t>
            </w: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五防性能检查</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电流互感器检测</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避雷器检测</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Tahoma"/>
                <w:color w:val="000000"/>
                <w:sz w:val="24"/>
              </w:rPr>
            </w:pPr>
            <w:r>
              <w:rPr>
                <w:rFonts w:hint="eastAsia" w:ascii="宋体" w:hAnsi="宋体" w:eastAsia="宋体" w:cs="Tahoma"/>
                <w:color w:val="000000"/>
                <w:sz w:val="24"/>
              </w:rPr>
              <w:t>高压电容补偿柜</w:t>
            </w: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电容容量测试、耐压试验</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eastAsia="宋体" w:cs="Tahoma"/>
                <w:color w:val="000000"/>
                <w:sz w:val="24"/>
              </w:rPr>
            </w:pPr>
            <w:r>
              <w:rPr>
                <w:rFonts w:eastAsia="宋体" w:cs="Tahoma"/>
                <w:color w:val="000000"/>
                <w:sz w:val="24"/>
              </w:rPr>
              <w:t>2</w:t>
            </w:r>
            <w:r>
              <w:rPr>
                <w:rFonts w:hint="eastAsia" w:ascii="宋体" w:hAnsi="宋体" w:eastAsia="宋体" w:cs="Tahoma"/>
                <w:color w:val="000000"/>
                <w:sz w:val="24"/>
              </w:rPr>
              <w:t>面</w:t>
            </w: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外观、油位、瓦斯继电器和温度报警报警检查</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绝缘电阻测试</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五防性能检查</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避雷器检测</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Tahoma"/>
                <w:color w:val="000000"/>
                <w:sz w:val="24"/>
              </w:rPr>
            </w:pPr>
            <w:r>
              <w:rPr>
                <w:rFonts w:hint="eastAsia" w:ascii="宋体" w:hAnsi="宋体" w:eastAsia="宋体" w:cs="Tahoma"/>
                <w:color w:val="000000"/>
                <w:sz w:val="24"/>
              </w:rPr>
              <w:t>真空断路器</w:t>
            </w: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开关接触电阻测试</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eastAsia="宋体" w:cs="Tahoma"/>
                <w:color w:val="000000"/>
                <w:sz w:val="24"/>
              </w:rPr>
            </w:pPr>
            <w:r>
              <w:rPr>
                <w:rFonts w:eastAsia="宋体" w:cs="Tahoma"/>
                <w:color w:val="000000"/>
                <w:sz w:val="24"/>
              </w:rPr>
              <w:t>16</w:t>
            </w:r>
            <w:r>
              <w:rPr>
                <w:rFonts w:hint="eastAsia" w:eastAsia="宋体" w:cs="Tahoma"/>
                <w:color w:val="000000"/>
                <w:sz w:val="24"/>
              </w:rPr>
              <w:t>个</w:t>
            </w: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主回路对地、相间及断口交流耐压试验</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辅助回路和控制回路耐压试验</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断路器机械特性</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Tahoma"/>
                <w:color w:val="000000"/>
                <w:sz w:val="24"/>
              </w:rPr>
            </w:pPr>
            <w:r>
              <w:rPr>
                <w:rFonts w:hint="eastAsia" w:ascii="宋体" w:hAnsi="宋体" w:eastAsia="宋体" w:cs="Tahoma"/>
                <w:color w:val="000000"/>
                <w:sz w:val="24"/>
              </w:rPr>
              <w:t>各高压柜综合保护器</w:t>
            </w: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各柜综合保护装置定值校验</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rPr>
                <w:rFonts w:eastAsia="宋体" w:cs="Tahoma"/>
                <w:color w:val="000000"/>
                <w:sz w:val="24"/>
              </w:rPr>
            </w:pPr>
            <w:r>
              <w:rPr>
                <w:rFonts w:eastAsia="宋体" w:cs="Tahoma"/>
                <w:color w:val="000000"/>
                <w:sz w:val="24"/>
              </w:rPr>
              <w:t>16</w:t>
            </w:r>
            <w:r>
              <w:rPr>
                <w:rFonts w:hint="eastAsia" w:eastAsia="宋体" w:cs="Tahoma"/>
                <w:color w:val="000000"/>
                <w:sz w:val="24"/>
              </w:rPr>
              <w:t>个</w:t>
            </w: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ahoma"/>
                <w:color w:val="000000"/>
              </w:rPr>
            </w:pPr>
          </w:p>
        </w:tc>
        <w:tc>
          <w:tcPr>
            <w:tcW w:w="510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Tahoma"/>
                <w:color w:val="000000"/>
              </w:rPr>
            </w:pPr>
            <w:r>
              <w:rPr>
                <w:rFonts w:hint="eastAsia" w:ascii="宋体" w:hAnsi="宋体" w:eastAsia="宋体" w:cs="Tahoma"/>
                <w:color w:val="000000"/>
                <w:sz w:val="24"/>
              </w:rPr>
              <w:t>二次回路检查及绝缘电阻测试</w:t>
            </w:r>
          </w:p>
        </w:tc>
        <w:tc>
          <w:tcPr>
            <w:tcW w:w="992" w:type="dxa"/>
            <w:vMerge w:val="continue"/>
            <w:tcBorders>
              <w:top w:val="nil"/>
              <w:left w:val="single" w:color="auto" w:sz="4" w:space="0"/>
              <w:bottom w:val="single" w:color="auto" w:sz="4" w:space="0"/>
              <w:right w:val="single" w:color="auto" w:sz="4" w:space="0"/>
            </w:tcBorders>
            <w:vAlign w:val="center"/>
          </w:tcPr>
          <w:p>
            <w:pPr>
              <w:rPr>
                <w:rFonts w:eastAsia="宋体" w:cs="Tahoma"/>
                <w:color w:val="000000"/>
              </w:rPr>
            </w:pPr>
          </w:p>
        </w:tc>
      </w:tr>
      <w:tr>
        <w:tblPrEx>
          <w:tblCellMar>
            <w:top w:w="0" w:type="dxa"/>
            <w:left w:w="108" w:type="dxa"/>
            <w:bottom w:w="0" w:type="dxa"/>
            <w:right w:w="108" w:type="dxa"/>
          </w:tblCellMar>
        </w:tblPrEx>
        <w:trPr>
          <w:trHeight w:val="402" w:hRule="atLeast"/>
        </w:trPr>
        <w:tc>
          <w:tcPr>
            <w:tcW w:w="2425" w:type="dxa"/>
            <w:vMerge w:val="continue"/>
            <w:tcBorders>
              <w:top w:val="nil"/>
              <w:left w:val="single" w:color="auto" w:sz="4" w:space="0"/>
              <w:bottom w:val="nil"/>
              <w:right w:val="single" w:color="auto" w:sz="4" w:space="0"/>
            </w:tcBorders>
            <w:vAlign w:val="center"/>
          </w:tcPr>
          <w:p>
            <w:pPr>
              <w:rPr>
                <w:rFonts w:ascii="宋体" w:hAnsi="宋体" w:eastAsia="宋体" w:cs="Tahoma"/>
                <w:color w:val="000000"/>
                <w:sz w:val="24"/>
              </w:rPr>
            </w:pPr>
          </w:p>
        </w:tc>
        <w:tc>
          <w:tcPr>
            <w:tcW w:w="5103" w:type="dxa"/>
            <w:tcBorders>
              <w:top w:val="nil"/>
              <w:left w:val="nil"/>
              <w:bottom w:val="nil"/>
              <w:right w:val="single" w:color="auto" w:sz="4" w:space="0"/>
            </w:tcBorders>
            <w:shd w:val="clear" w:color="auto" w:fill="auto"/>
            <w:noWrap/>
            <w:vAlign w:val="bottom"/>
          </w:tcPr>
          <w:p>
            <w:pPr>
              <w:rPr>
                <w:rFonts w:ascii="宋体" w:hAnsi="宋体" w:eastAsia="宋体" w:cs="Tahoma"/>
                <w:color w:val="000000"/>
                <w:sz w:val="24"/>
              </w:rPr>
            </w:pPr>
            <w:r>
              <w:rPr>
                <w:rFonts w:hint="eastAsia" w:ascii="宋体" w:hAnsi="宋体" w:eastAsia="宋体" w:cs="Tahoma"/>
                <w:color w:val="000000"/>
                <w:sz w:val="24"/>
              </w:rPr>
              <w:t>二次回路及开关传动校验</w:t>
            </w:r>
          </w:p>
        </w:tc>
        <w:tc>
          <w:tcPr>
            <w:tcW w:w="992" w:type="dxa"/>
            <w:vMerge w:val="continue"/>
            <w:tcBorders>
              <w:top w:val="nil"/>
              <w:left w:val="single" w:color="auto" w:sz="4" w:space="0"/>
              <w:bottom w:val="nil"/>
              <w:right w:val="single" w:color="auto" w:sz="4" w:space="0"/>
            </w:tcBorders>
            <w:vAlign w:val="center"/>
          </w:tcPr>
          <w:p>
            <w:pPr>
              <w:rPr>
                <w:rFonts w:ascii="宋体" w:hAnsi="宋体"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c>
          <w:tcPr>
            <w:tcW w:w="5103" w:type="dxa"/>
            <w:tcBorders>
              <w:top w:val="nil"/>
              <w:left w:val="nil"/>
              <w:bottom w:val="single" w:color="auto" w:sz="4" w:space="0"/>
              <w:right w:val="single" w:color="auto" w:sz="4" w:space="0"/>
            </w:tcBorders>
            <w:shd w:val="clear" w:color="auto" w:fill="auto"/>
            <w:noWrap/>
            <w:vAlign w:val="bottom"/>
          </w:tcPr>
          <w:p>
            <w:pPr>
              <w:rPr>
                <w:rFonts w:hint="eastAsia" w:ascii="宋体" w:hAnsi="宋体" w:eastAsia="宋体" w:cs="Tahoma"/>
                <w:color w:val="000000"/>
                <w:sz w:val="24"/>
              </w:rPr>
            </w:pPr>
          </w:p>
        </w:tc>
        <w:tc>
          <w:tcPr>
            <w:tcW w:w="992" w:type="dxa"/>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p>
        </w:tc>
      </w:tr>
      <w:tr>
        <w:tblPrEx>
          <w:tblCellMar>
            <w:top w:w="0" w:type="dxa"/>
            <w:left w:w="108" w:type="dxa"/>
            <w:bottom w:w="0" w:type="dxa"/>
            <w:right w:w="108" w:type="dxa"/>
          </w:tblCellMar>
        </w:tblPrEx>
        <w:trPr>
          <w:trHeight w:val="402" w:hRule="atLeast"/>
        </w:trPr>
        <w:tc>
          <w:tcPr>
            <w:tcW w:w="2425" w:type="dxa"/>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r>
              <w:rPr>
                <w:rFonts w:hint="eastAsia" w:ascii="宋体" w:hAnsi="宋体" w:eastAsia="宋体" w:cs="Tahoma"/>
                <w:color w:val="000000"/>
                <w:sz w:val="24"/>
              </w:rPr>
              <w:t>鹅卵石</w:t>
            </w:r>
          </w:p>
        </w:tc>
        <w:tc>
          <w:tcPr>
            <w:tcW w:w="5103" w:type="dxa"/>
            <w:tcBorders>
              <w:top w:val="nil"/>
              <w:left w:val="nil"/>
              <w:bottom w:val="single" w:color="auto" w:sz="4" w:space="0"/>
              <w:right w:val="single" w:color="auto" w:sz="4" w:space="0"/>
            </w:tcBorders>
            <w:shd w:val="clear" w:color="auto" w:fill="auto"/>
            <w:noWrap/>
            <w:vAlign w:val="bottom"/>
          </w:tcPr>
          <w:p>
            <w:pPr>
              <w:rPr>
                <w:rFonts w:hint="eastAsia" w:ascii="宋体" w:hAnsi="宋体" w:eastAsia="宋体" w:cs="Tahoma"/>
                <w:color w:val="000000"/>
                <w:sz w:val="24"/>
              </w:rPr>
            </w:pPr>
            <w:r>
              <w:rPr>
                <w:rFonts w:hint="eastAsia" w:ascii="宋体" w:hAnsi="宋体" w:eastAsia="宋体" w:cs="Tahoma"/>
                <w:color w:val="000000"/>
                <w:sz w:val="24"/>
              </w:rPr>
              <w:t>11立方米</w:t>
            </w:r>
          </w:p>
        </w:tc>
        <w:tc>
          <w:tcPr>
            <w:tcW w:w="992" w:type="dxa"/>
            <w:tcBorders>
              <w:top w:val="nil"/>
              <w:left w:val="single" w:color="auto" w:sz="4" w:space="0"/>
              <w:bottom w:val="single" w:color="auto" w:sz="4" w:space="0"/>
              <w:right w:val="single" w:color="auto" w:sz="4" w:space="0"/>
            </w:tcBorders>
            <w:vAlign w:val="center"/>
          </w:tcPr>
          <w:p>
            <w:pPr>
              <w:rPr>
                <w:rFonts w:ascii="宋体" w:hAnsi="宋体" w:eastAsia="宋体" w:cs="Tahoma"/>
                <w:color w:val="000000"/>
                <w:sz w:val="24"/>
              </w:rPr>
            </w:pPr>
            <w:r>
              <w:rPr>
                <w:rFonts w:hint="eastAsia" w:ascii="宋体" w:hAnsi="宋体" w:eastAsia="宋体" w:cs="Tahoma"/>
                <w:color w:val="000000"/>
                <w:sz w:val="24"/>
              </w:rPr>
              <w:t>M３</w:t>
            </w:r>
          </w:p>
        </w:tc>
      </w:tr>
    </w:tbl>
    <w:p>
      <w:pPr>
        <w:rPr>
          <w:rFonts w:hint="eastAsia"/>
          <w:b/>
          <w:bCs/>
          <w:sz w:val="28"/>
          <w:szCs w:val="28"/>
        </w:rPr>
      </w:pPr>
      <w:r>
        <w:rPr>
          <w:rFonts w:hint="eastAsia"/>
          <w:b/>
          <w:bCs/>
          <w:sz w:val="28"/>
          <w:szCs w:val="28"/>
        </w:rPr>
        <w:t>七、付款方式：</w:t>
      </w:r>
      <w:r>
        <w:rPr>
          <w:rFonts w:hint="eastAsia" w:ascii="微软雅黑" w:hAnsi="微软雅黑" w:eastAsia="微软雅黑"/>
          <w:color w:val="555555"/>
          <w:spacing w:val="15"/>
          <w:sz w:val="28"/>
          <w:szCs w:val="23"/>
        </w:rPr>
        <w:t>工程完成验收后，供方开具6%增值税专用发票；需方支付合同总价90%货款，</w:t>
      </w:r>
      <w:r>
        <w:rPr>
          <w:rFonts w:hint="eastAsia" w:ascii="微软雅黑" w:hAnsi="微软雅黑" w:eastAsia="微软雅黑"/>
          <w:color w:val="FF0000"/>
          <w:spacing w:val="15"/>
          <w:sz w:val="28"/>
          <w:szCs w:val="23"/>
        </w:rPr>
        <w:t>合同总价10%作为质保金。</w:t>
      </w:r>
      <w:r>
        <w:rPr>
          <w:rFonts w:hint="eastAsia" w:ascii="微软雅黑" w:hAnsi="微软雅黑" w:eastAsia="微软雅黑"/>
          <w:color w:val="555555"/>
          <w:spacing w:val="15"/>
          <w:sz w:val="28"/>
          <w:szCs w:val="23"/>
        </w:rPr>
        <w:t>待质保期满（一年）无质量问题后一次性无息付清。</w:t>
      </w:r>
    </w:p>
    <w:p>
      <w:pPr>
        <w:rPr>
          <w:rFonts w:hint="eastAsia"/>
          <w:b/>
          <w:bCs/>
          <w:sz w:val="28"/>
          <w:szCs w:val="28"/>
        </w:rPr>
      </w:pPr>
      <w:r>
        <w:rPr>
          <w:rFonts w:hint="eastAsia"/>
          <w:b/>
          <w:bCs/>
          <w:sz w:val="28"/>
          <w:szCs w:val="28"/>
        </w:rPr>
        <w:t>八、疫情中风险及以上区域谢绝参加本项目。</w:t>
      </w:r>
    </w:p>
    <w:p>
      <w:pPr>
        <w:rPr>
          <w:rFonts w:hint="eastAsia"/>
          <w:b/>
          <w:bCs/>
          <w:sz w:val="28"/>
          <w:szCs w:val="28"/>
        </w:rPr>
      </w:pPr>
      <w:r>
        <w:rPr>
          <w:rFonts w:hint="eastAsia"/>
          <w:b/>
          <w:bCs/>
          <w:sz w:val="28"/>
          <w:szCs w:val="28"/>
        </w:rPr>
        <w:t>九、签订合同需提供的资料</w:t>
      </w:r>
    </w:p>
    <w:tbl>
      <w:tblPr>
        <w:tblStyle w:val="4"/>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25"/>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32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审查内容</w:t>
            </w:r>
          </w:p>
        </w:tc>
        <w:tc>
          <w:tcPr>
            <w:tcW w:w="5059"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营业执照</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资质证书</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提供原件及复印件，复印件公司公章。资质等级需与承包项目相符，且在专业平台如全国建筑市场监管公共服务平台可查。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3</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安全生产许可证</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4</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法定代表人身份证</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5</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法定代表人授权委托书及身份证</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6</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施工业绩</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7</w:t>
            </w:r>
          </w:p>
        </w:tc>
        <w:tc>
          <w:tcPr>
            <w:tcW w:w="1325" w:type="dxa"/>
            <w:vAlign w:val="center"/>
          </w:tcPr>
          <w:p>
            <w:pPr>
              <w:widowControl/>
              <w:jc w:val="center"/>
              <w:rPr>
                <w:rFonts w:ascii="宋体" w:hAnsi="宋体" w:eastAsia="宋体" w:cs="宋体"/>
                <w:bCs/>
                <w:szCs w:val="21"/>
              </w:rPr>
            </w:pPr>
            <w:r>
              <w:rPr>
                <w:rFonts w:hint="eastAsia" w:ascii="宋体" w:hAnsi="宋体" w:eastAsia="宋体" w:cs="宋体"/>
                <w:bCs/>
                <w:szCs w:val="21"/>
              </w:rPr>
              <w:t>安全施工保证金</w:t>
            </w:r>
          </w:p>
        </w:tc>
        <w:tc>
          <w:tcPr>
            <w:tcW w:w="5059" w:type="dxa"/>
          </w:tcPr>
          <w:p>
            <w:pPr>
              <w:widowControl/>
              <w:rPr>
                <w:rFonts w:ascii="宋体" w:hAnsi="宋体" w:eastAsia="宋体" w:cs="宋体"/>
                <w:bCs/>
                <w:szCs w:val="21"/>
              </w:rPr>
            </w:pPr>
            <w:r>
              <w:rPr>
                <w:rFonts w:hint="eastAsia" w:ascii="宋体" w:hAnsi="宋体" w:eastAsia="宋体" w:cs="宋体"/>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8</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安全承诺</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9</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三项管理制度及生产安全事故应急救援预案</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10</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项目负责人、拟进场专（兼）职安全管理人员的证书及特种作业人员操作证</w:t>
            </w:r>
          </w:p>
        </w:tc>
        <w:tc>
          <w:tcPr>
            <w:tcW w:w="5059" w:type="dxa"/>
          </w:tcPr>
          <w:p>
            <w:pPr>
              <w:widowControl/>
              <w:spacing w:line="340" w:lineRule="exact"/>
              <w:jc w:val="left"/>
              <w:rPr>
                <w:rFonts w:ascii="宋体" w:hAnsi="宋体" w:eastAsia="宋体" w:cs="宋体"/>
                <w:bCs/>
                <w:szCs w:val="21"/>
              </w:rPr>
            </w:pPr>
            <w:r>
              <w:rPr>
                <w:rFonts w:hint="eastAsia" w:ascii="宋体" w:hAnsi="宋体" w:eastAsia="宋体" w:cs="宋体"/>
                <w:bCs/>
                <w:szCs w:val="21"/>
              </w:rPr>
              <w:t>1、项目负责人、安全管理人员培训合格证明必须真实有效，且在有效期内，加盖单位公章。提供的安全管理人员必须在本次作业人员名单中，并负责现场安全。</w:t>
            </w:r>
          </w:p>
          <w:p>
            <w:pPr>
              <w:widowControl/>
              <w:rPr>
                <w:rFonts w:ascii="宋体" w:hAnsi="宋体" w:eastAsia="宋体" w:cs="宋体"/>
                <w:b/>
                <w:bCs/>
                <w:color w:val="000000"/>
                <w:kern w:val="0"/>
                <w:szCs w:val="21"/>
              </w:rPr>
            </w:pPr>
            <w:r>
              <w:rPr>
                <w:rFonts w:hint="eastAsia" w:ascii="宋体" w:hAnsi="宋体" w:eastAsia="宋体" w:cs="宋体"/>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11</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拟进场作业人员清单及身份证件</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12</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全体项目人员的安全教育培训考核记录</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13</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涉及职业禁忌症作业人员的健康体检证明</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14</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涉及职业健康危害岗位人员的职业健康岗前体检证明</w:t>
            </w:r>
          </w:p>
        </w:tc>
        <w:tc>
          <w:tcPr>
            <w:tcW w:w="5059" w:type="dxa"/>
          </w:tcPr>
          <w:p>
            <w:pPr>
              <w:widowControl/>
              <w:rPr>
                <w:rFonts w:ascii="宋体" w:hAnsi="宋体" w:eastAsia="宋体" w:cs="宋体"/>
                <w:b/>
                <w:bCs/>
                <w:color w:val="000000"/>
                <w:kern w:val="0"/>
                <w:szCs w:val="21"/>
              </w:rPr>
            </w:pPr>
            <w:r>
              <w:rPr>
                <w:rFonts w:hint="eastAsia" w:ascii="宋体" w:hAnsi="宋体" w:eastAsia="宋体" w:cs="宋体"/>
                <w:bCs/>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15</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拟进场作业人员缴纳工伤保险或人身意外伤害险证明</w:t>
            </w:r>
          </w:p>
        </w:tc>
        <w:tc>
          <w:tcPr>
            <w:tcW w:w="5059" w:type="dxa"/>
          </w:tcPr>
          <w:p>
            <w:pPr>
              <w:widowControl/>
              <w:spacing w:line="340" w:lineRule="exact"/>
              <w:jc w:val="left"/>
              <w:rPr>
                <w:rFonts w:ascii="宋体" w:hAnsi="宋体" w:eastAsia="宋体" w:cs="宋体"/>
                <w:bCs/>
                <w:szCs w:val="21"/>
              </w:rPr>
            </w:pPr>
            <w:r>
              <w:rPr>
                <w:rFonts w:hint="eastAsia" w:ascii="宋体" w:hAnsi="宋体" w:eastAsia="宋体" w:cs="宋体"/>
                <w:bCs/>
                <w:szCs w:val="21"/>
              </w:rPr>
              <w:t>1、提供的保险证明需由社保局或保险公司提供，并有社保局或保险公司印章。</w:t>
            </w:r>
          </w:p>
          <w:p>
            <w:pPr>
              <w:widowControl/>
              <w:spacing w:line="340" w:lineRule="exact"/>
              <w:jc w:val="left"/>
              <w:rPr>
                <w:rFonts w:ascii="宋体" w:hAnsi="宋体" w:eastAsia="宋体" w:cs="宋体"/>
                <w:bCs/>
                <w:szCs w:val="21"/>
              </w:rPr>
            </w:pPr>
            <w:r>
              <w:rPr>
                <w:rFonts w:hint="eastAsia" w:ascii="宋体" w:hAnsi="宋体" w:eastAsia="宋体" w:cs="宋体"/>
                <w:bCs/>
                <w:szCs w:val="21"/>
              </w:rPr>
              <w:t>2、人身意外伤害险保额不应低于工伤保险一次性工亡补助金的额度。</w:t>
            </w:r>
          </w:p>
          <w:p>
            <w:pPr>
              <w:widowControl/>
              <w:rPr>
                <w:rFonts w:ascii="宋体" w:hAnsi="宋体" w:eastAsia="宋体" w:cs="宋体"/>
                <w:b/>
                <w:bCs/>
                <w:color w:val="000000"/>
                <w:kern w:val="0"/>
                <w:szCs w:val="21"/>
              </w:rPr>
            </w:pPr>
            <w:r>
              <w:rPr>
                <w:rFonts w:hint="eastAsia" w:ascii="宋体" w:hAnsi="宋体" w:eastAsia="宋体" w:cs="宋体"/>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16</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拟进厂设备登记表</w:t>
            </w:r>
          </w:p>
        </w:tc>
        <w:tc>
          <w:tcPr>
            <w:tcW w:w="5059" w:type="dxa"/>
          </w:tcPr>
          <w:p>
            <w:pPr>
              <w:widowControl/>
              <w:spacing w:line="340" w:lineRule="exact"/>
              <w:jc w:val="left"/>
              <w:rPr>
                <w:rFonts w:ascii="宋体" w:hAnsi="宋体" w:eastAsia="宋体" w:cs="宋体"/>
                <w:bCs/>
                <w:szCs w:val="21"/>
              </w:rPr>
            </w:pPr>
            <w:r>
              <w:rPr>
                <w:rFonts w:hint="eastAsia" w:ascii="宋体" w:hAnsi="宋体" w:eastAsia="宋体" w:cs="宋体"/>
                <w:bCs/>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ascii="宋体" w:hAnsi="宋体" w:eastAsia="宋体" w:cs="宋体"/>
                <w:b/>
                <w:bCs/>
                <w:color w:val="000000"/>
                <w:kern w:val="0"/>
                <w:szCs w:val="21"/>
              </w:rPr>
            </w:pPr>
            <w:r>
              <w:rPr>
                <w:rFonts w:hint="eastAsia" w:ascii="宋体" w:hAnsi="宋体" w:eastAsia="宋体" w:cs="宋体"/>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17</w:t>
            </w:r>
          </w:p>
        </w:tc>
        <w:tc>
          <w:tcPr>
            <w:tcW w:w="132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Cs/>
                <w:szCs w:val="21"/>
              </w:rPr>
              <w:t>安全施工（作业）方案</w:t>
            </w:r>
          </w:p>
        </w:tc>
        <w:tc>
          <w:tcPr>
            <w:tcW w:w="5059" w:type="dxa"/>
          </w:tcPr>
          <w:p>
            <w:pPr>
              <w:widowControl/>
              <w:spacing w:line="340" w:lineRule="exact"/>
              <w:jc w:val="left"/>
              <w:rPr>
                <w:rFonts w:ascii="宋体" w:hAnsi="宋体" w:eastAsia="宋体" w:cs="宋体"/>
                <w:bCs/>
                <w:szCs w:val="21"/>
              </w:rPr>
            </w:pPr>
            <w:r>
              <w:rPr>
                <w:rFonts w:hint="eastAsia" w:ascii="宋体" w:hAnsi="宋体" w:eastAsia="宋体" w:cs="宋体"/>
                <w:bCs/>
                <w:szCs w:val="21"/>
              </w:rPr>
              <w:t xml:space="preserve">1、施工方案：安全管理网络、施工方式、作业流程、技术方案措施等； </w:t>
            </w:r>
          </w:p>
          <w:p>
            <w:pPr>
              <w:widowControl/>
              <w:spacing w:line="340" w:lineRule="exact"/>
              <w:jc w:val="left"/>
              <w:rPr>
                <w:rFonts w:ascii="宋体" w:hAnsi="宋体" w:eastAsia="宋体" w:cs="宋体"/>
                <w:bCs/>
                <w:szCs w:val="21"/>
              </w:rPr>
            </w:pPr>
            <w:r>
              <w:rPr>
                <w:rFonts w:hint="eastAsia" w:ascii="宋体" w:hAnsi="宋体" w:eastAsia="宋体" w:cs="宋体"/>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宋体"/>
                <w:bCs/>
                <w:szCs w:val="21"/>
              </w:rPr>
            </w:pPr>
            <w:r>
              <w:rPr>
                <w:rFonts w:hint="eastAsia" w:ascii="宋体" w:hAnsi="宋体" w:eastAsia="宋体" w:cs="宋体"/>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宋体" w:hAnsi="宋体" w:eastAsia="宋体" w:cs="宋体"/>
                <w:b/>
                <w:bCs/>
                <w:color w:val="000000"/>
                <w:kern w:val="0"/>
                <w:szCs w:val="21"/>
              </w:rPr>
            </w:pPr>
            <w:r>
              <w:rPr>
                <w:rFonts w:hint="eastAsia" w:ascii="宋体" w:hAnsi="宋体" w:eastAsia="宋体" w:cs="宋体"/>
                <w:bCs/>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92"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r>
              <w:rPr>
                <w:rFonts w:ascii="宋体" w:hAnsi="宋体" w:eastAsia="宋体" w:cs="宋体"/>
                <w:b/>
                <w:bCs/>
                <w:color w:val="000000"/>
                <w:kern w:val="0"/>
                <w:szCs w:val="21"/>
              </w:rPr>
              <w:t>8</w:t>
            </w:r>
          </w:p>
        </w:tc>
        <w:tc>
          <w:tcPr>
            <w:tcW w:w="1325" w:type="dxa"/>
            <w:vAlign w:val="center"/>
          </w:tcPr>
          <w:p>
            <w:pPr>
              <w:widowControl/>
              <w:jc w:val="center"/>
              <w:rPr>
                <w:rFonts w:ascii="宋体" w:hAnsi="宋体" w:eastAsia="宋体" w:cs="宋体"/>
                <w:bCs/>
                <w:szCs w:val="21"/>
              </w:rPr>
            </w:pPr>
            <w:r>
              <w:rPr>
                <w:rFonts w:hint="eastAsia" w:ascii="宋体" w:hAnsi="宋体" w:eastAsia="宋体" w:cs="仿宋_GB2312"/>
                <w:bCs/>
                <w:szCs w:val="21"/>
              </w:rPr>
              <w:t>视具体情况需要审查的其他有关材料</w:t>
            </w:r>
          </w:p>
        </w:tc>
        <w:tc>
          <w:tcPr>
            <w:tcW w:w="5059" w:type="dxa"/>
          </w:tcPr>
          <w:p>
            <w:pPr>
              <w:widowControl/>
              <w:spacing w:line="340" w:lineRule="exact"/>
              <w:jc w:val="left"/>
              <w:rPr>
                <w:rFonts w:ascii="宋体" w:hAnsi="宋体" w:eastAsia="宋体" w:cs="宋体"/>
                <w:bCs/>
                <w:szCs w:val="21"/>
              </w:rPr>
            </w:pPr>
          </w:p>
        </w:tc>
      </w:tr>
    </w:tbl>
    <w:p>
      <w:pPr>
        <w:rPr>
          <w:rFonts w:hint="eastAsia"/>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8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沈</cp:lastModifiedBy>
  <dcterms:modified xsi:type="dcterms:W3CDTF">2022-02-08T06:21:01Z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0BCBEAFE3EED40A69607F522B9DFAE63</vt:lpwstr>
  </property>
</Properties>
</file>