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wmf"/>
  <Default Extension="pct" ContentType="image/pct"/>
  <Default Extension="pcx" ContentType="image/pcx"/>
  <Default Extension="tga" ContentType="image/tga"/>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jc w:val="center"/>
        <w:rPr>
          <w:rFonts w:ascii="宋体" w:hAnsi="宋体" w:eastAsia="宋体" w:cs="宋体" w:hint="eastAsia"/>
          <w:b/>
          <w:bCs/>
          <w:sz w:val="44"/>
          <w:szCs w:val="44"/>
        </w:rPr>
      </w:pPr>
      <w:r>
        <w:rPr>
          <w:rFonts w:ascii="宋体" w:hAnsi="宋体" w:cs="宋体" w:hint="eastAsia"/>
          <w:b/>
          <w:bCs/>
          <w:sz w:val="44"/>
          <w:szCs w:val="44"/>
        </w:rPr>
        <w:t>2022年电子汽车衡外委维修方案</w:t>
      </w:r>
      <w:r>
        <w:rPr>
          <w:rFonts w:ascii="宋体" w:hAnsi="宋体" w:eastAsia="宋体" w:cs="宋体" w:hint="eastAsia"/>
          <w:b/>
          <w:bCs/>
          <w:sz w:val="44"/>
          <w:szCs w:val="44"/>
        </w:rPr>
      </w:r>
    </w:p>
    <w:p>
      <w:pPr>
        <w:rPr>
          <w:rFonts w:ascii="宋体" w:hAnsi="宋体" w:eastAsia="宋体" w:cs="宋体" w:hint="eastAsia"/>
          <w:sz w:val="28"/>
          <w:szCs w:val="28"/>
        </w:rPr>
      </w:pPr>
      <w:r>
        <w:rPr>
          <w:rFonts w:ascii="宋体" w:hAnsi="宋体" w:eastAsia="宋体" w:cs="宋体" w:hint="eastAsia"/>
          <w:b/>
          <w:bCs/>
          <w:sz w:val="28"/>
          <w:szCs w:val="28"/>
        </w:rPr>
        <w:t>一、维修、施工、服务名称：</w:t>
      </w:r>
      <w:r>
        <w:rPr>
          <w:rFonts w:ascii="宋体" w:hAnsi="宋体" w:eastAsia="宋体" w:cs="宋体" w:hint="eastAsia"/>
          <w:sz w:val="28"/>
          <w:szCs w:val="28"/>
        </w:rPr>
        <w:t>2022年电子汽车衡外委维修；</w:t>
      </w:r>
    </w:p>
    <w:p>
      <w:pPr>
        <w:rPr>
          <w:rFonts w:ascii="宋体" w:hAnsi="宋体" w:eastAsia="宋体" w:cs="宋体" w:hint="eastAsia"/>
          <w:sz w:val="28"/>
          <w:szCs w:val="28"/>
        </w:rPr>
      </w:pPr>
      <w:r>
        <w:rPr>
          <w:rFonts w:ascii="宋体" w:hAnsi="宋体" w:eastAsia="宋体" w:cs="宋体" w:hint="eastAsia"/>
          <w:b/>
          <w:bCs/>
          <w:sz w:val="28"/>
          <w:szCs w:val="28"/>
        </w:rPr>
        <w:t>二、工期要求：</w:t>
      </w:r>
      <w:r>
        <w:rPr>
          <w:rFonts w:ascii="宋体" w:hAnsi="宋体" w:eastAsia="宋体" w:cs="宋体" w:hint="eastAsia"/>
          <w:sz w:val="28"/>
          <w:szCs w:val="28"/>
        </w:rPr>
        <w:t>根据电子汽车衡需要维修情况，满足甲方要求时间，不能影响物流发运。</w:t>
      </w:r>
      <w:r>
        <w:rPr>
          <w:rFonts w:ascii="宋体" w:hAnsi="宋体" w:cs="宋体" w:hint="eastAsia"/>
          <w:sz w:val="28"/>
          <w:szCs w:val="28"/>
        </w:rPr>
        <w:t>（工期一年）</w:t>
      </w:r>
      <w:r>
        <w:rPr>
          <w:rFonts w:ascii="宋体" w:hAnsi="宋体" w:eastAsia="宋体" w:cs="宋体" w:hint="eastAsia"/>
          <w:sz w:val="28"/>
          <w:szCs w:val="28"/>
        </w:rPr>
      </w:r>
    </w:p>
    <w:p>
      <w:pPr>
        <w:rPr>
          <w:rFonts w:ascii="宋体" w:hAnsi="宋体" w:eastAsia="宋体" w:cs="宋体" w:hint="eastAsia"/>
          <w:sz w:val="28"/>
          <w:szCs w:val="28"/>
        </w:rPr>
      </w:pPr>
      <w:r>
        <w:rPr>
          <w:rFonts w:ascii="宋体" w:hAnsi="宋体" w:eastAsia="宋体" w:cs="宋体" w:hint="eastAsia"/>
          <w:b/>
          <w:bCs/>
          <w:sz w:val="28"/>
          <w:szCs w:val="28"/>
        </w:rPr>
        <w:t>三、针对此外委施工供应商需要提供的资质：</w:t>
      </w:r>
      <w:r>
        <w:rPr>
          <w:rFonts w:ascii="宋体" w:hAnsi="宋体" w:eastAsia="宋体" w:cs="宋体" w:hint="eastAsia"/>
          <w:sz w:val="28"/>
          <w:szCs w:val="28"/>
        </w:rPr>
        <w:t>外委施工供应商营业执照中必须包计量设备制造及维修。</w:t>
      </w:r>
    </w:p>
    <w:p>
      <w:pPr>
        <w:rPr>
          <w:rFonts w:ascii="宋体" w:hAnsi="宋体" w:eastAsia="宋体" w:cs="宋体" w:hint="eastAsia"/>
          <w:sz w:val="28"/>
          <w:szCs w:val="28"/>
        </w:rPr>
      </w:pPr>
      <w:r>
        <w:rPr>
          <w:rFonts w:ascii="宋体" w:hAnsi="宋体" w:eastAsia="宋体" w:cs="宋体" w:hint="eastAsia"/>
          <w:b/>
          <w:bCs/>
          <w:sz w:val="28"/>
          <w:szCs w:val="28"/>
        </w:rPr>
        <w:t>四、承包方式：</w:t>
      </w:r>
      <w:r>
        <w:rPr>
          <w:rFonts w:ascii="宋体" w:hAnsi="宋体" w:eastAsia="宋体" w:cs="宋体" w:hint="eastAsia"/>
          <w:sz w:val="28"/>
          <w:szCs w:val="28"/>
        </w:rPr>
        <w:t>包工包料</w:t>
      </w:r>
      <w:r>
        <w:rPr>
          <w:rFonts w:ascii="宋体" w:hAnsi="宋体" w:cs="宋体" w:hint="eastAsia"/>
          <w:sz w:val="28"/>
          <w:szCs w:val="28"/>
        </w:rPr>
        <w:t>。</w:t>
      </w:r>
      <w:r>
        <w:rPr>
          <w:rFonts w:ascii="宋体" w:hAnsi="宋体" w:eastAsia="宋体" w:cs="宋体" w:hint="eastAsia"/>
          <w:sz w:val="28"/>
          <w:szCs w:val="28"/>
        </w:rPr>
      </w:r>
    </w:p>
    <w:p>
      <w:pPr>
        <w:rPr>
          <w:rFonts w:ascii="宋体" w:hAnsi="宋体" w:cs="宋体" w:hint="eastAsia"/>
          <w:b/>
          <w:bCs/>
          <w:sz w:val="28"/>
          <w:szCs w:val="28"/>
        </w:rPr>
      </w:pPr>
      <w:r>
        <w:rPr>
          <w:rFonts w:ascii="宋体" w:hAnsi="宋体" w:eastAsia="宋体" w:cs="宋体" w:hint="eastAsia"/>
          <w:b/>
          <w:bCs/>
          <w:sz w:val="28"/>
          <w:szCs w:val="28"/>
        </w:rPr>
        <w:t>五、是否需勘踏现场</w:t>
      </w:r>
      <w:r>
        <w:rPr>
          <w:rFonts w:ascii="宋体" w:hAnsi="宋体" w:cs="宋体" w:hint="eastAsia"/>
          <w:b/>
          <w:bCs/>
          <w:sz w:val="28"/>
          <w:szCs w:val="28"/>
        </w:rPr>
        <w:t>：否</w:t>
      </w:r>
    </w:p>
    <w:p>
      <w:pPr>
        <w:rPr>
          <w:b/>
          <w:bCs/>
          <w:sz w:val="28"/>
          <w:szCs w:val="28"/>
        </w:rPr>
      </w:pPr>
      <w:r>
        <w:rPr>
          <w:rFonts w:ascii="宋体" w:hAnsi="宋体" w:cs="宋体" w:hint="eastAsia"/>
          <w:b/>
          <w:bCs/>
          <w:sz w:val="28"/>
          <w:szCs w:val="28"/>
        </w:rPr>
        <w:t>六、施工内容</w:t>
      </w:r>
      <w:r>
        <w:rPr>
          <w:b/>
          <w:bCs/>
          <w:sz w:val="28"/>
          <w:szCs w:val="28"/>
        </w:rPr>
      </w:r>
    </w:p>
    <w:tbl>
      <w:tblPr>
        <w:jc w:val="left"/>
        <w:tblInd w:w="-12" w:type="dxa"/>
        <w:tblW w:w="8654" w:type="dxa"/>
      </w:tblPr>
      <w:tblGrid>
        <w:gridCol w:w="1110"/>
        <w:gridCol w:w="1298"/>
        <w:gridCol w:w="1671"/>
        <w:gridCol w:w="1115"/>
        <w:gridCol w:w="599"/>
        <w:gridCol w:w="643"/>
        <w:gridCol w:w="1016"/>
        <w:gridCol w:w="543"/>
        <w:gridCol w:w="659"/>
      </w:tblGrid>
      <w:tr>
        <w:trPr>
          <w:trHeight w:val="1520" w:hRule="atLeast"/>
        </w:trPr>
        <w:tc>
          <w:tcPr>
            <w:tcW w:w="1110"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等线" w:hAnsi="等线" w:eastAsia="等线" w:cs="等线"/>
                <w:b/>
                <w:bCs/>
                <w:sz w:val="22"/>
                <w:szCs w:val="22"/>
              </w:rPr>
            </w:pPr>
            <w:r>
              <w:rPr>
                <w:rFonts w:ascii="等线" w:hAnsi="等线" w:eastAsia="等线" w:cs="等线" w:hint="eastAsia"/>
                <w:b/>
                <w:bCs/>
                <w:sz w:val="22"/>
                <w:szCs w:val="22"/>
              </w:rPr>
              <w:t>分项内容</w:t>
            </w:r>
            <w:r>
              <w:rPr>
                <w:rFonts w:ascii="等线" w:hAnsi="等线" w:eastAsia="等线" w:cs="等线"/>
                <w:b/>
                <w:bCs/>
                <w:sz w:val="22"/>
                <w:szCs w:val="22"/>
              </w:rPr>
            </w:r>
          </w:p>
        </w:tc>
        <w:tc>
          <w:tcPr>
            <w:tcW w:w="1298"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等线" w:hAnsi="等线" w:eastAsia="等线" w:cs="等线"/>
                <w:b/>
                <w:bCs/>
                <w:sz w:val="22"/>
                <w:szCs w:val="22"/>
              </w:rPr>
            </w:pPr>
            <w:r>
              <w:rPr>
                <w:rFonts w:ascii="等线" w:hAnsi="等线" w:eastAsia="等线" w:cs="等线" w:hint="eastAsia"/>
                <w:b/>
                <w:bCs/>
                <w:sz w:val="22"/>
                <w:szCs w:val="22"/>
              </w:rPr>
              <w:t>技术要求、规范、说明</w:t>
            </w:r>
            <w:r>
              <w:rPr>
                <w:rFonts w:ascii="等线" w:hAnsi="等线" w:eastAsia="等线" w:cs="等线"/>
                <w:b/>
                <w:bCs/>
                <w:sz w:val="22"/>
                <w:szCs w:val="22"/>
              </w:rPr>
            </w:r>
          </w:p>
        </w:tc>
        <w:tc>
          <w:tcPr>
            <w:tcW w:w="1671"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left"/>
              <w:widowControl/>
              <w:rPr>
                <w:rFonts w:ascii="等线" w:hAnsi="等线" w:eastAsia="等线" w:cs="等线"/>
                <w:b/>
                <w:bCs/>
                <w:sz w:val="22"/>
                <w:szCs w:val="22"/>
              </w:rPr>
            </w:pPr>
            <w:r>
              <w:rPr>
                <w:rFonts w:ascii="等线" w:hAnsi="等线" w:eastAsia="等线" w:cs="等线" w:hint="eastAsia"/>
                <w:b/>
                <w:bCs/>
                <w:sz w:val="22"/>
                <w:szCs w:val="22"/>
              </w:rPr>
              <w:t>方案内容</w:t>
            </w:r>
            <w:r>
              <w:rPr>
                <w:rFonts w:ascii="等线" w:hAnsi="等线" w:eastAsia="等线" w:cs="等线"/>
                <w:b/>
                <w:bCs/>
                <w:sz w:val="22"/>
                <w:szCs w:val="22"/>
              </w:rPr>
            </w:r>
          </w:p>
        </w:tc>
        <w:tc>
          <w:tcPr>
            <w:tcW w:w="1115"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等线" w:hAnsi="等线" w:eastAsia="等线" w:cs="等线"/>
                <w:b/>
                <w:bCs/>
                <w:sz w:val="22"/>
                <w:szCs w:val="22"/>
              </w:rPr>
            </w:pPr>
            <w:r>
              <w:rPr>
                <w:rFonts w:ascii="等线" w:hAnsi="等线" w:eastAsia="等线" w:cs="等线" w:hint="eastAsia"/>
                <w:b/>
                <w:bCs/>
                <w:sz w:val="22"/>
                <w:szCs w:val="22"/>
              </w:rPr>
              <w:t>地点</w:t>
            </w:r>
            <w:r>
              <w:rPr>
                <w:rFonts w:ascii="等线" w:hAnsi="等线" w:eastAsia="等线" w:cs="等线"/>
                <w:b/>
                <w:bCs/>
                <w:sz w:val="22"/>
                <w:szCs w:val="22"/>
              </w:rPr>
            </w:r>
          </w:p>
        </w:tc>
        <w:tc>
          <w:tcPr>
            <w:tcW w:w="599"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等线" w:hAnsi="等线" w:eastAsia="等线" w:cs="等线"/>
                <w:b/>
                <w:bCs/>
                <w:sz w:val="22"/>
                <w:szCs w:val="22"/>
              </w:rPr>
            </w:pPr>
            <w:r>
              <w:rPr>
                <w:rFonts w:ascii="等线" w:hAnsi="等线" w:eastAsia="等线" w:cs="等线" w:hint="eastAsia"/>
                <w:b/>
                <w:bCs/>
                <w:sz w:val="22"/>
                <w:szCs w:val="22"/>
              </w:rPr>
              <w:t>数量</w:t>
            </w:r>
            <w:r>
              <w:rPr>
                <w:rFonts w:ascii="等线" w:hAnsi="等线" w:eastAsia="等线" w:cs="等线"/>
                <w:b/>
                <w:bCs/>
                <w:sz w:val="22"/>
                <w:szCs w:val="22"/>
              </w:rPr>
            </w:r>
          </w:p>
        </w:tc>
        <w:tc>
          <w:tcPr>
            <w:tcW w:w="643"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等线" w:hAnsi="等线" w:eastAsia="等线" w:cs="等线"/>
                <w:b/>
                <w:bCs/>
                <w:sz w:val="22"/>
                <w:szCs w:val="22"/>
              </w:rPr>
            </w:pPr>
            <w:r>
              <w:rPr>
                <w:rFonts w:ascii="等线" w:hAnsi="等线" w:eastAsia="等线" w:cs="等线" w:hint="eastAsia"/>
                <w:b/>
                <w:bCs/>
                <w:sz w:val="22"/>
                <w:szCs w:val="22"/>
              </w:rPr>
              <w:t>单位</w:t>
            </w:r>
            <w:r>
              <w:rPr>
                <w:rFonts w:ascii="等线" w:hAnsi="等线" w:eastAsia="等线" w:cs="等线"/>
                <w:b/>
                <w:bCs/>
                <w:sz w:val="22"/>
                <w:szCs w:val="22"/>
              </w:rPr>
            </w:r>
          </w:p>
        </w:tc>
        <w:tc>
          <w:tcPr>
            <w:tcW w:w="1016"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等线" w:hAnsi="等线" w:eastAsia="等线" w:cs="等线"/>
                <w:b/>
                <w:bCs/>
                <w:sz w:val="22"/>
                <w:szCs w:val="22"/>
              </w:rPr>
            </w:pPr>
            <w:r>
              <w:rPr>
                <w:rFonts w:ascii="等线" w:hAnsi="等线" w:eastAsia="等线" w:cs="等线" w:hint="eastAsia"/>
                <w:b/>
                <w:bCs/>
                <w:sz w:val="22"/>
                <w:szCs w:val="22"/>
              </w:rPr>
              <w:t>单价上限</w:t>
            </w:r>
            <w:r>
              <w:rPr>
                <w:rFonts w:ascii="等线" w:hAnsi="等线" w:eastAsia="等线" w:cs="等线"/>
                <w:b/>
                <w:bCs/>
                <w:sz w:val="22"/>
                <w:szCs w:val="22"/>
              </w:rPr>
            </w:r>
          </w:p>
        </w:tc>
        <w:tc>
          <w:tcPr>
            <w:tcW w:w="543"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等线" w:hAnsi="等线" w:eastAsia="等线" w:cs="等线"/>
                <w:b/>
                <w:bCs/>
                <w:sz w:val="22"/>
                <w:szCs w:val="22"/>
              </w:rPr>
            </w:pPr>
            <w:r>
              <w:rPr>
                <w:rFonts w:ascii="等线" w:hAnsi="等线" w:eastAsia="等线" w:cs="等线" w:hint="eastAsia"/>
                <w:b/>
                <w:bCs/>
                <w:sz w:val="22"/>
                <w:szCs w:val="22"/>
              </w:rPr>
              <w:t>质保期</w:t>
            </w:r>
            <w:r>
              <w:rPr>
                <w:rFonts w:ascii="等线" w:hAnsi="等线" w:eastAsia="等线" w:cs="等线"/>
                <w:b/>
                <w:bCs/>
                <w:sz w:val="22"/>
                <w:szCs w:val="22"/>
              </w:rPr>
            </w:r>
          </w:p>
        </w:tc>
        <w:tc>
          <w:tcPr>
            <w:tcW w:w="659"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left"/>
              <w:widowControl/>
              <w:rPr>
                <w:rFonts w:ascii="宋体" w:hAnsi="宋体" w:eastAsia="宋体" w:cs="宋体"/>
                <w:b/>
                <w:bCs/>
                <w:sz w:val="22"/>
                <w:szCs w:val="22"/>
              </w:rPr>
            </w:pPr>
            <w:r>
              <w:rPr>
                <w:rFonts w:ascii="宋体" w:hAnsi="宋体" w:eastAsia="宋体" w:cs="宋体" w:hint="eastAsia"/>
                <w:b/>
                <w:bCs/>
                <w:sz w:val="22"/>
                <w:szCs w:val="22"/>
              </w:rPr>
              <w:t>质量、验收标准</w:t>
            </w:r>
            <w:r>
              <w:rPr>
                <w:rFonts w:ascii="宋体" w:hAnsi="宋体" w:eastAsia="宋体" w:cs="宋体"/>
                <w:b/>
                <w:bCs/>
                <w:sz w:val="22"/>
                <w:szCs w:val="22"/>
              </w:rPr>
            </w:r>
          </w:p>
        </w:tc>
      </w:tr>
      <w:tr>
        <w:trPr>
          <w:trHeight w:val="2461" w:hRule="atLeast"/>
        </w:trPr>
        <w:tc>
          <w:tcPr>
            <w:tcW w:w="1110"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等线" w:hAnsi="等线" w:eastAsia="等线" w:cs="等线" w:hint="eastAsia"/>
                <w:sz w:val="22"/>
                <w:szCs w:val="22"/>
              </w:rPr>
            </w:pPr>
            <w:r>
              <w:rPr>
                <w:rFonts w:ascii="等线" w:hAnsi="等线" w:eastAsia="等线" w:cs="等线" w:hint="eastAsia"/>
                <w:sz w:val="22"/>
                <w:szCs w:val="22"/>
              </w:rPr>
              <w:t>汽车衡更换传感器。</w:t>
            </w:r>
          </w:p>
        </w:tc>
        <w:tc>
          <w:tcPr>
            <w:tcW w:w="1298"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等线" w:hAnsi="等线" w:eastAsia="等线" w:cs="等线"/>
                <w:kern w:val="0"/>
                <w:sz w:val="22"/>
                <w:szCs w:val="22"/>
                <w:lang w:val="en-us" w:eastAsia="zh-cn" w:bidi="ar-sa"/>
              </w:rPr>
            </w:pPr>
            <w:r>
              <w:rPr>
                <w:rFonts w:ascii="等线" w:hAnsi="等线" w:eastAsia="等线" w:cs="等线" w:hint="eastAsia"/>
                <w:sz w:val="22"/>
                <w:szCs w:val="22"/>
              </w:rPr>
              <w:t>型号</w:t>
            </w:r>
            <w:r>
              <w:rPr>
                <w:rFonts w:ascii="等线" w:hAnsi="等线" w:eastAsia="等线" w:cs="等线"/>
                <w:sz w:val="22"/>
                <w:szCs w:val="22"/>
              </w:rPr>
              <w:t>QS-D50吨</w:t>
            </w:r>
            <w:r>
              <w:rPr>
                <w:rFonts w:ascii="等线" w:hAnsi="等线" w:eastAsia="等线" w:cs="等线" w:hint="eastAsia"/>
                <w:kern w:val="0"/>
                <w:sz w:val="22"/>
                <w:szCs w:val="22"/>
                <w:lang w:val="en-us" w:eastAsia="zh-cn" w:bidi="ar-sa"/>
              </w:rPr>
              <w:t>、</w:t>
            </w:r>
            <w:r>
              <w:rPr>
                <w:rFonts w:ascii="等线" w:hAnsi="等线" w:eastAsia="等线" w:cs="等线"/>
                <w:kern w:val="0"/>
                <w:sz w:val="22"/>
                <w:szCs w:val="22"/>
                <w:lang w:val="en-us" w:eastAsia="zh-cn" w:bidi="ar-sa"/>
              </w:rPr>
              <w:t>满足装配工差</w:t>
            </w:r>
          </w:p>
        </w:tc>
        <w:tc>
          <w:tcPr>
            <w:tcW w:w="1671"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等线" w:hAnsi="等线" w:eastAsia="等线" w:cs="等线"/>
                <w:sz w:val="22"/>
                <w:szCs w:val="22"/>
              </w:rPr>
            </w:pPr>
            <w:r>
              <w:rPr>
                <w:rFonts w:ascii="宋体" w:hAnsi="宋体" w:cs="宋体" w:hint="eastAsia"/>
                <w:sz w:val="22"/>
                <w:szCs w:val="22"/>
              </w:rPr>
              <w:t xml:space="preserve">1、拆下损坏的传感器2、将新传感器换上3、砝码标定（需要时更换 </w:t>
            </w:r>
            <w:r>
              <w:rPr>
                <w:rFonts w:ascii="等线" w:hAnsi="等线" w:eastAsia="等线" w:cs="等线"/>
                <w:sz w:val="22"/>
                <w:szCs w:val="22"/>
              </w:rPr>
            </w:r>
          </w:p>
        </w:tc>
        <w:tc>
          <w:tcPr>
            <w:tcW w:w="1115"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等线" w:hAnsi="等线" w:eastAsia="等线" w:cs="等线"/>
                <w:sz w:val="22"/>
                <w:szCs w:val="22"/>
              </w:rPr>
            </w:pPr>
            <w:r>
              <w:rPr>
                <w:rFonts w:ascii="等线" w:hAnsi="等线" w:eastAsia="等线" w:cs="等线" w:hint="eastAsia"/>
                <w:sz w:val="22"/>
                <w:szCs w:val="22"/>
              </w:rPr>
              <w:t>张家口金隅水泥有限公司厂内车库</w:t>
            </w:r>
            <w:r>
              <w:rPr>
                <w:rFonts w:ascii="等线" w:hAnsi="等线" w:eastAsia="等线" w:cs="等线"/>
                <w:sz w:val="22"/>
                <w:szCs w:val="22"/>
              </w:rPr>
            </w:r>
          </w:p>
        </w:tc>
        <w:tc>
          <w:tcPr>
            <w:tcW w:w="599"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eastAsia="宋体" w:cs="宋体" w:hint="eastAsia"/>
                <w:sz w:val="22"/>
                <w:szCs w:val="22"/>
              </w:rPr>
            </w:pPr>
            <w:r>
              <w:rPr>
                <w:rFonts w:ascii="宋体" w:hAnsi="宋体" w:eastAsia="宋体" w:cs="宋体" w:hint="eastAsia"/>
                <w:sz w:val="22"/>
                <w:szCs w:val="22"/>
              </w:rPr>
              <w:t>2</w:t>
            </w:r>
          </w:p>
        </w:tc>
        <w:tc>
          <w:tcPr>
            <w:tcW w:w="643"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eastAsia="宋体" w:cs="宋体" w:hint="eastAsia"/>
                <w:sz w:val="22"/>
                <w:szCs w:val="22"/>
              </w:rPr>
            </w:pPr>
            <w:r>
              <w:rPr>
                <w:rFonts w:ascii="宋体" w:hAnsi="宋体" w:eastAsia="宋体" w:cs="宋体" w:hint="eastAsia"/>
                <w:sz w:val="22"/>
                <w:szCs w:val="22"/>
              </w:rPr>
              <w:t>个</w:t>
            </w:r>
          </w:p>
        </w:tc>
        <w:tc>
          <w:tcPr>
            <w:tcW w:w="1016"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eastAsia="宋体" w:cs="宋体" w:hint="eastAsia"/>
                <w:sz w:val="22"/>
                <w:szCs w:val="22"/>
              </w:rPr>
            </w:pPr>
            <w:r>
              <w:rPr>
                <w:rFonts w:ascii="宋体" w:hAnsi="宋体" w:eastAsia="宋体" w:cs="宋体" w:hint="eastAsia"/>
                <w:sz w:val="22"/>
                <w:szCs w:val="22"/>
              </w:rPr>
              <w:t>4000</w:t>
            </w:r>
          </w:p>
        </w:tc>
        <w:tc>
          <w:tcPr>
            <w:tcW w:w="543"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等线" w:hAnsi="等线" w:eastAsia="等线" w:cs="等线"/>
                <w:sz w:val="22"/>
                <w:szCs w:val="22"/>
              </w:rPr>
            </w:pPr>
            <w:r>
              <w:rPr>
                <w:rFonts w:ascii="宋体" w:hAnsi="宋体" w:eastAsia="宋体" w:cs="宋体" w:hint="eastAsia"/>
                <w:sz w:val="22"/>
                <w:szCs w:val="22"/>
              </w:rPr>
              <w:t>一年</w:t>
            </w:r>
            <w:r>
              <w:rPr>
                <w:rFonts w:ascii="等线" w:hAnsi="等线" w:eastAsia="等线" w:cs="等线"/>
                <w:sz w:val="22"/>
                <w:szCs w:val="22"/>
              </w:rPr>
            </w:r>
          </w:p>
        </w:tc>
        <w:tc>
          <w:tcPr>
            <w:tcW w:w="659"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left"/>
              <w:widowControl/>
              <w:rPr>
                <w:rFonts w:ascii="Times New Roman" w:hAnsi="Times New Roman" w:eastAsia="宋体" w:hint="eastAsia"/>
                <w:kern w:val="0"/>
                <w:sz w:val="20"/>
                <w:szCs w:val="20"/>
                <w:lang w:val="en-us" w:eastAsia="zh-cn" w:bidi="ar-sa"/>
              </w:rPr>
            </w:pPr>
            <w:r>
              <w:rPr>
                <w:rFonts w:ascii="Times New Roman" w:hAnsi="Times New Roman" w:eastAsia="宋体" w:hint="eastAsia"/>
                <w:kern w:val="0"/>
                <w:sz w:val="20"/>
                <w:szCs w:val="20"/>
                <w:lang w:val="en-us" w:eastAsia="zh-cn" w:bidi="ar-sa"/>
              </w:rPr>
              <w:t>满足计量要求</w:t>
            </w:r>
          </w:p>
        </w:tc>
      </w:tr>
      <w:tr>
        <w:trPr>
          <w:trHeight w:val="288" w:hRule="atLeast"/>
        </w:trPr>
        <w:tc>
          <w:tcPr>
            <w:tcW w:w="1110"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rPr>
                <w:rFonts w:ascii="等线" w:hAnsi="等线" w:eastAsia="等线" w:cs="等线"/>
                <w:sz w:val="22"/>
                <w:szCs w:val="22"/>
              </w:rPr>
            </w:pPr>
            <w:r>
              <w:rPr>
                <w:rFonts w:ascii="等线" w:hAnsi="等线" w:eastAsia="等线" w:cs="等线"/>
                <w:sz w:val="22"/>
                <w:szCs w:val="22"/>
              </w:rPr>
              <w:t>汽车衡下线、除锈防腐.调整称台焊接，复位，汽车衡砝码标定（5t）。甲方负责叉车</w:t>
            </w:r>
          </w:p>
        </w:tc>
        <w:tc>
          <w:tcPr>
            <w:tcW w:w="1298"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rPr>
                <w:rFonts w:ascii="等线" w:hAnsi="等线" w:eastAsia="等线" w:cs="等线"/>
                <w:sz w:val="22"/>
                <w:szCs w:val="22"/>
              </w:rPr>
            </w:pPr>
            <w:r>
              <w:rPr>
                <w:rFonts w:ascii="等线" w:hAnsi="等线" w:eastAsia="等线" w:cs="等线" w:hint="eastAsia"/>
                <w:sz w:val="22"/>
                <w:szCs w:val="22"/>
              </w:rPr>
              <w:t>型号：</w:t>
            </w:r>
            <w:r>
              <w:rPr>
                <w:rFonts w:ascii="等线" w:hAnsi="等线" w:eastAsia="等线" w:cs="等线"/>
                <w:sz w:val="22"/>
                <w:szCs w:val="22"/>
              </w:rPr>
              <w:t>20米×3.5米</w:t>
            </w:r>
            <w:r>
              <w:rPr>
                <w:rFonts w:ascii="等线" w:hAnsi="等线" w:eastAsia="等线" w:cs="等线" w:hint="eastAsia"/>
                <w:sz w:val="22"/>
                <w:szCs w:val="22"/>
              </w:rPr>
              <w:t>、</w:t>
            </w:r>
            <w:r>
              <w:rPr>
                <w:rFonts w:ascii="等线" w:hAnsi="等线" w:eastAsia="等线" w:cs="等线"/>
                <w:sz w:val="22"/>
                <w:szCs w:val="22"/>
              </w:rPr>
              <w:t>按施工工序施工</w:t>
            </w:r>
          </w:p>
        </w:tc>
        <w:tc>
          <w:tcPr>
            <w:tcW w:w="1671"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rPr>
                <w:rFonts w:ascii="等线" w:hAnsi="等线" w:eastAsia="等线" w:cs="等线"/>
                <w:sz w:val="22"/>
                <w:szCs w:val="22"/>
              </w:rPr>
            </w:pPr>
            <w:r>
              <w:rPr>
                <w:rFonts w:ascii="等线" w:hAnsi="等线" w:eastAsia="等线" w:cs="等线"/>
                <w:sz w:val="22"/>
                <w:szCs w:val="22"/>
              </w:rPr>
              <w:t>1、除锈2、检查开焊处，修复磨损部位并找平，焊接3、打底漆1遍刷防腐漆2遍4、汽车衡复位，砝码标定标定。</w:t>
            </w:r>
          </w:p>
        </w:tc>
        <w:tc>
          <w:tcPr>
            <w:tcW w:w="1115"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等线" w:hAnsi="等线" w:eastAsia="等线" w:cs="等线" w:hint="eastAsia"/>
                <w:sz w:val="22"/>
                <w:szCs w:val="22"/>
              </w:rPr>
            </w:pPr>
            <w:r>
              <w:rPr>
                <w:rFonts w:ascii="等线" w:hAnsi="等线" w:eastAsia="等线" w:cs="等线" w:hint="eastAsia"/>
                <w:sz w:val="22"/>
                <w:szCs w:val="22"/>
              </w:rPr>
              <w:t>张家口金隅水泥有限公司厂内车库</w:t>
            </w:r>
          </w:p>
        </w:tc>
        <w:tc>
          <w:tcPr>
            <w:tcW w:w="599"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rPr>
                <w:rFonts w:ascii="等线" w:hAnsi="等线" w:eastAsia="等线" w:cs="等线" w:hint="eastAsia"/>
                <w:sz w:val="22"/>
                <w:szCs w:val="22"/>
              </w:rPr>
            </w:pPr>
            <w:r>
              <w:rPr>
                <w:rFonts w:ascii="等线" w:hAnsi="等线" w:eastAsia="等线" w:cs="等线" w:hint="eastAsia"/>
                <w:sz w:val="22"/>
                <w:szCs w:val="22"/>
              </w:rPr>
              <w:t>1</w:t>
            </w:r>
          </w:p>
        </w:tc>
        <w:tc>
          <w:tcPr>
            <w:tcW w:w="643"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rPr>
                <w:rFonts w:ascii="等线" w:hAnsi="等线" w:eastAsia="等线" w:cs="等线" w:hint="eastAsia"/>
                <w:sz w:val="22"/>
                <w:szCs w:val="22"/>
              </w:rPr>
            </w:pPr>
            <w:r>
              <w:rPr>
                <w:rFonts w:ascii="等线" w:hAnsi="等线" w:eastAsia="等线" w:cs="等线" w:hint="eastAsia"/>
                <w:sz w:val="22"/>
                <w:szCs w:val="22"/>
              </w:rPr>
              <w:t>台</w:t>
            </w:r>
          </w:p>
        </w:tc>
        <w:tc>
          <w:tcPr>
            <w:tcW w:w="1016"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rPr>
                <w:rFonts w:ascii="等线" w:hAnsi="等线" w:eastAsia="等线" w:cs="等线" w:hint="eastAsia"/>
                <w:sz w:val="22"/>
                <w:szCs w:val="22"/>
              </w:rPr>
            </w:pPr>
            <w:r>
              <w:rPr>
                <w:rFonts w:ascii="等线" w:hAnsi="等线" w:eastAsia="等线" w:cs="等线" w:hint="eastAsia"/>
                <w:sz w:val="22"/>
                <w:szCs w:val="22"/>
              </w:rPr>
              <w:t>9000</w:t>
            </w:r>
          </w:p>
        </w:tc>
        <w:tc>
          <w:tcPr>
            <w:tcW w:w="543"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eastAsia="宋体" w:cs="宋体" w:hint="eastAsia"/>
                <w:sz w:val="22"/>
                <w:szCs w:val="22"/>
              </w:rPr>
            </w:pPr>
            <w:r>
              <w:rPr>
                <w:rFonts w:ascii="宋体" w:hAnsi="宋体" w:eastAsia="宋体" w:cs="宋体" w:hint="eastAsia"/>
                <w:sz w:val="22"/>
                <w:szCs w:val="22"/>
              </w:rPr>
              <w:t>一年</w:t>
            </w:r>
          </w:p>
        </w:tc>
        <w:tc>
          <w:tcPr>
            <w:tcW w:w="659"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rPr>
                <w:rFonts w:ascii="宋体" w:hAnsi="宋体" w:eastAsia="宋体" w:cs="宋体" w:hint="eastAsia"/>
                <w:sz w:val="22"/>
                <w:szCs w:val="22"/>
              </w:rPr>
            </w:pPr>
            <w:r>
              <w:rPr>
                <w:rFonts w:ascii="宋体" w:hAnsi="宋体" w:eastAsia="宋体" w:cs="宋体" w:hint="eastAsia"/>
                <w:sz w:val="22"/>
                <w:szCs w:val="22"/>
              </w:rPr>
              <w:t>满足工序要求</w:t>
            </w:r>
          </w:p>
        </w:tc>
      </w:tr>
      <w:tr>
        <w:trPr>
          <w:trHeight w:val="288" w:hRule="atLeast"/>
        </w:trPr>
        <w:tc>
          <w:tcPr>
            <w:tcW w:w="1110"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rPr>
                <w:rFonts w:ascii="等线" w:hAnsi="等线" w:eastAsia="等线" w:cs="等线"/>
                <w:sz w:val="22"/>
                <w:szCs w:val="22"/>
              </w:rPr>
            </w:pPr>
            <w:r>
              <w:rPr>
                <w:rFonts w:ascii="等线" w:hAnsi="等线" w:eastAsia="等线" w:cs="等线"/>
                <w:sz w:val="22"/>
                <w:szCs w:val="22"/>
              </w:rPr>
              <w:t>称重仪</w:t>
            </w:r>
          </w:p>
        </w:tc>
        <w:tc>
          <w:tcPr>
            <w:tcW w:w="1298"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等线" w:hAnsi="等线" w:eastAsia="等线" w:cs="等线"/>
                <w:sz w:val="22"/>
                <w:szCs w:val="22"/>
              </w:rPr>
            </w:pPr>
            <w:r>
              <w:rPr>
                <w:rFonts w:ascii="等线" w:hAnsi="等线" w:eastAsia="等线" w:cs="等线"/>
                <w:sz w:val="22"/>
                <w:szCs w:val="22"/>
              </w:rPr>
              <w:t>XK-3190DS10</w:t>
            </w:r>
          </w:p>
          <w:p>
            <w:pPr>
              <w:spacing/>
              <w:jc w:val="center"/>
              <w:rPr>
                <w:rFonts w:ascii="等线" w:hAnsi="等线" w:eastAsia="等线" w:cs="等线"/>
                <w:sz w:val="22"/>
                <w:szCs w:val="22"/>
              </w:rPr>
            </w:pPr>
            <w:r>
              <w:rPr>
                <w:rFonts w:ascii="等线" w:hAnsi="等线" w:eastAsia="等线" w:cs="等线"/>
                <w:sz w:val="22"/>
                <w:szCs w:val="22"/>
              </w:rPr>
            </w:r>
          </w:p>
        </w:tc>
        <w:tc>
          <w:tcPr>
            <w:tcW w:w="1671"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left"/>
              <w:tabs/>
              <w:rPr>
                <w:rFonts w:ascii="等线" w:hAnsi="等线" w:eastAsia="等线" w:cs="等线"/>
                <w:kern w:val="0"/>
                <w:sz w:val="22"/>
                <w:szCs w:val="22"/>
                <w:lang w:val="en-us" w:eastAsia="zh-cn" w:bidi="ar-sa"/>
              </w:rPr>
            </w:pPr>
            <w:r>
              <w:rPr>
                <w:rFonts w:ascii="等线" w:hAnsi="等线" w:eastAsia="等线" w:cs="等线"/>
                <w:kern w:val="0"/>
                <w:sz w:val="22"/>
                <w:szCs w:val="22"/>
                <w:lang w:val="en-us" w:eastAsia="zh-cn" w:bidi="ar-sa"/>
              </w:rPr>
              <w:t>更换西发散、粉煤灰仓下汽车衡称重仪（需要时更换）</w:t>
            </w:r>
          </w:p>
        </w:tc>
        <w:tc>
          <w:tcPr>
            <w:tcW w:w="1115"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等线" w:hAnsi="等线" w:eastAsia="等线" w:cs="等线" w:hint="eastAsia"/>
                <w:sz w:val="22"/>
                <w:szCs w:val="22"/>
              </w:rPr>
            </w:pPr>
            <w:r>
              <w:rPr>
                <w:rFonts w:ascii="等线" w:hAnsi="等线" w:eastAsia="等线" w:cs="等线" w:hint="eastAsia"/>
                <w:sz w:val="22"/>
                <w:szCs w:val="22"/>
              </w:rPr>
              <w:t>张家口金隅水泥有限公司厂内车库</w:t>
            </w:r>
          </w:p>
        </w:tc>
        <w:tc>
          <w:tcPr>
            <w:tcW w:w="599"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rPr>
                <w:rFonts w:ascii="等线" w:hAnsi="等线" w:eastAsia="等线" w:cs="等线" w:hint="eastAsia"/>
                <w:sz w:val="22"/>
                <w:szCs w:val="22"/>
              </w:rPr>
            </w:pPr>
            <w:r>
              <w:rPr>
                <w:rFonts w:ascii="等线" w:hAnsi="等线" w:eastAsia="等线" w:cs="等线" w:hint="eastAsia"/>
                <w:sz w:val="22"/>
                <w:szCs w:val="22"/>
              </w:rPr>
              <w:t>1</w:t>
            </w:r>
          </w:p>
        </w:tc>
        <w:tc>
          <w:tcPr>
            <w:tcW w:w="643"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rPr>
                <w:rFonts w:ascii="等线" w:hAnsi="等线" w:eastAsia="等线" w:cs="等线" w:hint="eastAsia"/>
                <w:sz w:val="22"/>
                <w:szCs w:val="22"/>
              </w:rPr>
            </w:pPr>
            <w:r>
              <w:rPr>
                <w:rFonts w:ascii="等线" w:hAnsi="等线" w:eastAsia="等线" w:cs="等线" w:hint="eastAsia"/>
                <w:sz w:val="22"/>
                <w:szCs w:val="22"/>
              </w:rPr>
              <w:t>台</w:t>
            </w:r>
          </w:p>
        </w:tc>
        <w:tc>
          <w:tcPr>
            <w:tcW w:w="1016"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rPr>
                <w:rFonts w:ascii="等线" w:hAnsi="等线" w:eastAsia="等线" w:cs="等线" w:hint="eastAsia"/>
                <w:sz w:val="22"/>
                <w:szCs w:val="22"/>
              </w:rPr>
            </w:pPr>
            <w:r>
              <w:rPr>
                <w:rFonts w:ascii="等线" w:hAnsi="等线" w:eastAsia="等线" w:cs="等线" w:hint="eastAsia"/>
                <w:sz w:val="22"/>
                <w:szCs w:val="22"/>
              </w:rPr>
              <w:t>3000</w:t>
            </w:r>
          </w:p>
        </w:tc>
        <w:tc>
          <w:tcPr>
            <w:tcW w:w="543"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eastAsia="宋体" w:cs="宋体" w:hint="eastAsia"/>
                <w:sz w:val="22"/>
                <w:szCs w:val="22"/>
              </w:rPr>
            </w:pPr>
            <w:r>
              <w:rPr>
                <w:rFonts w:ascii="宋体" w:hAnsi="宋体" w:eastAsia="宋体" w:cs="宋体" w:hint="eastAsia"/>
                <w:sz w:val="22"/>
                <w:szCs w:val="22"/>
              </w:rPr>
              <w:t>一年</w:t>
            </w:r>
          </w:p>
        </w:tc>
        <w:tc>
          <w:tcPr>
            <w:tcW w:w="659"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rPr>
                <w:rFonts w:ascii="宋体" w:hAnsi="宋体" w:eastAsia="宋体" w:cs="宋体" w:hint="eastAsia"/>
                <w:sz w:val="22"/>
                <w:szCs w:val="22"/>
              </w:rPr>
            </w:pPr>
            <w:r>
              <w:rPr>
                <w:rFonts w:ascii="宋体" w:hAnsi="宋体" w:eastAsia="宋体" w:cs="宋体" w:hint="eastAsia"/>
                <w:sz w:val="22"/>
                <w:szCs w:val="22"/>
              </w:rPr>
              <w:t>国标产品</w:t>
            </w:r>
          </w:p>
        </w:tc>
      </w:tr>
      <w:tr>
        <w:trPr>
          <w:trHeight w:val="288" w:hRule="atLeast"/>
        </w:trPr>
        <w:tc>
          <w:tcPr>
            <w:tcW w:w="1110"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rPr>
                <w:rFonts w:ascii="等线" w:hAnsi="等线" w:eastAsia="等线" w:cs="等线"/>
                <w:sz w:val="22"/>
                <w:szCs w:val="22"/>
              </w:rPr>
            </w:pPr>
            <w:r>
              <w:rPr>
                <w:rFonts w:ascii="等线" w:hAnsi="等线" w:eastAsia="等线" w:cs="等线"/>
                <w:sz w:val="22"/>
                <w:szCs w:val="22"/>
              </w:rPr>
              <w:t>户外显示屏</w:t>
            </w:r>
          </w:p>
        </w:tc>
        <w:tc>
          <w:tcPr>
            <w:tcW w:w="1298"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rPr>
                <w:rFonts w:ascii="等线" w:hAnsi="等线" w:eastAsia="等线" w:cs="等线" w:hint="eastAsia"/>
                <w:sz w:val="22"/>
                <w:szCs w:val="22"/>
              </w:rPr>
            </w:pPr>
            <w:r>
              <w:rPr>
                <w:rFonts w:ascii="等线" w:hAnsi="等线" w:eastAsia="等线" w:cs="等线" w:hint="eastAsia"/>
                <w:sz w:val="22"/>
                <w:szCs w:val="22"/>
              </w:rPr>
              <w:t>5寸</w:t>
            </w:r>
          </w:p>
        </w:tc>
        <w:tc>
          <w:tcPr>
            <w:tcW w:w="1671"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left"/>
              <w:tabs/>
              <w:rPr>
                <w:rFonts w:ascii="等线" w:hAnsi="等线" w:eastAsia="等线" w:cs="等线"/>
                <w:kern w:val="0"/>
                <w:sz w:val="22"/>
                <w:szCs w:val="22"/>
                <w:lang w:val="en-us" w:eastAsia="zh-cn" w:bidi="ar-sa"/>
              </w:rPr>
            </w:pPr>
            <w:r>
              <w:rPr>
                <w:rFonts w:ascii="等线" w:hAnsi="等线" w:eastAsia="等线" w:cs="等线"/>
                <w:kern w:val="0"/>
                <w:sz w:val="22"/>
                <w:szCs w:val="22"/>
                <w:lang w:val="en-us" w:eastAsia="zh-cn" w:bidi="ar-sa"/>
              </w:rPr>
              <w:t>西发散两台汽车衡安装粉煤灰3台</w:t>
            </w:r>
          </w:p>
        </w:tc>
        <w:tc>
          <w:tcPr>
            <w:tcW w:w="1115"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等线" w:hAnsi="等线" w:eastAsia="等线" w:cs="等线" w:hint="eastAsia"/>
                <w:sz w:val="22"/>
                <w:szCs w:val="22"/>
              </w:rPr>
            </w:pPr>
            <w:r>
              <w:rPr>
                <w:rFonts w:ascii="等线" w:hAnsi="等线" w:eastAsia="等线" w:cs="等线" w:hint="eastAsia"/>
                <w:sz w:val="22"/>
                <w:szCs w:val="22"/>
              </w:rPr>
              <w:t>张家口金隅水泥有限公司厂内车库</w:t>
            </w:r>
          </w:p>
        </w:tc>
        <w:tc>
          <w:tcPr>
            <w:tcW w:w="599"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rPr>
                <w:rFonts w:ascii="等线" w:hAnsi="等线" w:eastAsia="等线" w:cs="等线" w:hint="eastAsia"/>
                <w:sz w:val="22"/>
                <w:szCs w:val="22"/>
              </w:rPr>
            </w:pPr>
            <w:r>
              <w:rPr>
                <w:rFonts w:ascii="等线" w:hAnsi="等线" w:eastAsia="等线" w:cs="等线" w:hint="eastAsia"/>
                <w:sz w:val="22"/>
                <w:szCs w:val="22"/>
              </w:rPr>
              <w:t>5</w:t>
            </w:r>
          </w:p>
        </w:tc>
        <w:tc>
          <w:tcPr>
            <w:tcW w:w="643"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rPr>
                <w:rFonts w:ascii="等线" w:hAnsi="等线" w:eastAsia="等线" w:cs="等线" w:hint="eastAsia"/>
                <w:sz w:val="22"/>
                <w:szCs w:val="22"/>
              </w:rPr>
            </w:pPr>
            <w:r>
              <w:rPr>
                <w:rFonts w:ascii="等线" w:hAnsi="等线" w:eastAsia="等线" w:cs="等线" w:hint="eastAsia"/>
                <w:sz w:val="22"/>
                <w:szCs w:val="22"/>
              </w:rPr>
              <w:t>台</w:t>
            </w:r>
          </w:p>
        </w:tc>
        <w:tc>
          <w:tcPr>
            <w:tcW w:w="1016"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rPr>
                <w:rFonts w:ascii="等线" w:hAnsi="等线" w:eastAsia="等线" w:cs="等线" w:hint="eastAsia"/>
                <w:sz w:val="22"/>
                <w:szCs w:val="22"/>
              </w:rPr>
            </w:pPr>
            <w:r>
              <w:rPr>
                <w:rFonts w:ascii="等线" w:hAnsi="等线" w:eastAsia="等线" w:cs="等线" w:hint="eastAsia"/>
                <w:sz w:val="22"/>
                <w:szCs w:val="22"/>
              </w:rPr>
              <w:t>2500</w:t>
            </w:r>
          </w:p>
        </w:tc>
        <w:tc>
          <w:tcPr>
            <w:tcW w:w="543"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eastAsia="宋体" w:cs="宋体" w:hint="eastAsia"/>
                <w:sz w:val="22"/>
                <w:szCs w:val="22"/>
              </w:rPr>
            </w:pPr>
            <w:r>
              <w:rPr>
                <w:rFonts w:ascii="宋体" w:hAnsi="宋体" w:eastAsia="宋体" w:cs="宋体" w:hint="eastAsia"/>
                <w:sz w:val="22"/>
                <w:szCs w:val="22"/>
              </w:rPr>
              <w:t>一年</w:t>
            </w:r>
          </w:p>
        </w:tc>
        <w:tc>
          <w:tcPr>
            <w:tcW w:w="659"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rPr>
                <w:rFonts w:ascii="宋体" w:hAnsi="宋体" w:eastAsia="宋体" w:cs="宋体" w:hint="eastAsia"/>
                <w:sz w:val="22"/>
                <w:szCs w:val="22"/>
              </w:rPr>
            </w:pPr>
            <w:r>
              <w:rPr>
                <w:rFonts w:ascii="宋体" w:hAnsi="宋体" w:eastAsia="宋体" w:cs="宋体" w:hint="eastAsia"/>
                <w:sz w:val="22"/>
                <w:szCs w:val="22"/>
              </w:rPr>
              <w:t>国标产品</w:t>
            </w:r>
          </w:p>
        </w:tc>
      </w:tr>
      <w:tr>
        <w:trPr>
          <w:trHeight w:val="288" w:hRule="atLeast"/>
        </w:trPr>
        <w:tc>
          <w:tcPr>
            <w:tcW w:w="1110"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rPr>
                <w:rFonts w:ascii="等线" w:hAnsi="等线" w:eastAsia="等线" w:cs="等线"/>
                <w:sz w:val="22"/>
                <w:szCs w:val="22"/>
              </w:rPr>
            </w:pPr>
            <w:r>
              <w:rPr>
                <w:rFonts w:ascii="等线" w:hAnsi="等线" w:eastAsia="等线" w:cs="等线"/>
                <w:sz w:val="22"/>
                <w:szCs w:val="22"/>
              </w:rPr>
              <w:t>汽车衡砝码标定（5t），带检定证，甲方负责叉车</w:t>
            </w:r>
          </w:p>
        </w:tc>
        <w:tc>
          <w:tcPr>
            <w:tcW w:w="1298"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rPr>
                <w:rFonts w:ascii="等线" w:hAnsi="等线" w:eastAsia="等线" w:cs="等线"/>
                <w:sz w:val="22"/>
                <w:szCs w:val="22"/>
              </w:rPr>
            </w:pPr>
            <w:r>
              <w:rPr>
                <w:rFonts w:ascii="等线" w:hAnsi="等线" w:eastAsia="等线" w:cs="等线"/>
                <w:sz w:val="22"/>
                <w:szCs w:val="22"/>
              </w:rPr>
              <w:t>3.5米×20米2台</w:t>
            </w:r>
          </w:p>
        </w:tc>
        <w:tc>
          <w:tcPr>
            <w:tcW w:w="1671"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left"/>
              <w:tabs/>
              <w:rPr>
                <w:rFonts w:ascii="等线" w:hAnsi="等线" w:eastAsia="等线" w:cs="等线" w:hint="eastAsia"/>
                <w:kern w:val="0"/>
                <w:sz w:val="22"/>
                <w:szCs w:val="22"/>
                <w:lang w:val="en-us" w:eastAsia="zh-cn" w:bidi="ar-sa"/>
              </w:rPr>
            </w:pPr>
            <w:r>
              <w:rPr>
                <w:rFonts w:ascii="等线" w:hAnsi="等线" w:eastAsia="等线" w:cs="等线" w:hint="eastAsia"/>
                <w:kern w:val="0"/>
                <w:sz w:val="22"/>
                <w:szCs w:val="22"/>
                <w:lang w:val="en-us" w:eastAsia="zh-cn" w:bidi="ar-sa"/>
              </w:rPr>
              <w:t>用砝码分别在传感器上方调试、标定满足计量要求。</w:t>
            </w:r>
          </w:p>
        </w:tc>
        <w:tc>
          <w:tcPr>
            <w:tcW w:w="1115"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等线" w:hAnsi="等线" w:eastAsia="等线" w:cs="等线" w:hint="eastAsia"/>
                <w:sz w:val="22"/>
                <w:szCs w:val="22"/>
              </w:rPr>
            </w:pPr>
            <w:r>
              <w:rPr>
                <w:rFonts w:ascii="等线" w:hAnsi="等线" w:eastAsia="等线" w:cs="等线" w:hint="eastAsia"/>
                <w:sz w:val="22"/>
                <w:szCs w:val="22"/>
              </w:rPr>
              <w:t>张家口金隅水泥有限公司厂内车库</w:t>
            </w:r>
          </w:p>
        </w:tc>
        <w:tc>
          <w:tcPr>
            <w:tcW w:w="599"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rPr>
                <w:rFonts w:ascii="等线" w:hAnsi="等线" w:eastAsia="等线" w:cs="等线" w:hint="eastAsia"/>
                <w:sz w:val="22"/>
                <w:szCs w:val="22"/>
              </w:rPr>
            </w:pPr>
            <w:r>
              <w:rPr>
                <w:rFonts w:ascii="等线" w:hAnsi="等线" w:eastAsia="等线" w:cs="等线" w:hint="eastAsia"/>
                <w:sz w:val="22"/>
                <w:szCs w:val="22"/>
              </w:rPr>
              <w:t>2</w:t>
            </w:r>
          </w:p>
        </w:tc>
        <w:tc>
          <w:tcPr>
            <w:tcW w:w="643"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rPr>
                <w:rFonts w:ascii="等线" w:hAnsi="等线" w:eastAsia="等线" w:cs="等线" w:hint="eastAsia"/>
                <w:sz w:val="22"/>
                <w:szCs w:val="22"/>
              </w:rPr>
            </w:pPr>
            <w:r>
              <w:rPr>
                <w:rFonts w:ascii="等线" w:hAnsi="等线" w:eastAsia="等线" w:cs="等线" w:hint="eastAsia"/>
                <w:sz w:val="22"/>
                <w:szCs w:val="22"/>
              </w:rPr>
              <w:t>台</w:t>
            </w:r>
          </w:p>
        </w:tc>
        <w:tc>
          <w:tcPr>
            <w:tcW w:w="1016"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rPr>
                <w:rFonts w:ascii="等线" w:hAnsi="等线" w:eastAsia="等线" w:cs="等线" w:hint="eastAsia"/>
                <w:sz w:val="22"/>
                <w:szCs w:val="22"/>
              </w:rPr>
            </w:pPr>
            <w:r>
              <w:rPr>
                <w:rFonts w:ascii="等线" w:hAnsi="等线" w:eastAsia="等线" w:cs="等线" w:hint="eastAsia"/>
                <w:sz w:val="22"/>
                <w:szCs w:val="22"/>
              </w:rPr>
              <w:t>3000</w:t>
            </w:r>
          </w:p>
        </w:tc>
        <w:tc>
          <w:tcPr>
            <w:tcW w:w="543"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eastAsia="宋体" w:cs="宋体" w:hint="eastAsia"/>
                <w:sz w:val="22"/>
                <w:szCs w:val="22"/>
              </w:rPr>
            </w:pPr>
            <w:r>
              <w:rPr>
                <w:rFonts w:ascii="宋体" w:hAnsi="宋体" w:eastAsia="宋体" w:cs="宋体" w:hint="eastAsia"/>
                <w:sz w:val="22"/>
                <w:szCs w:val="22"/>
              </w:rPr>
              <w:t>半年</w:t>
            </w:r>
          </w:p>
        </w:tc>
        <w:tc>
          <w:tcPr>
            <w:tcW w:w="659"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rPr>
                <w:rFonts w:ascii="等线" w:hAnsi="等线" w:eastAsia="等线" w:cs="等线"/>
                <w:kern w:val="0"/>
                <w:sz w:val="22"/>
                <w:szCs w:val="22"/>
                <w:lang w:val="en-us" w:eastAsia="zh-cn" w:bidi="ar-sa"/>
              </w:rPr>
            </w:pPr>
            <w:r>
              <w:rPr>
                <w:rFonts w:ascii="宋体" w:hAnsi="宋体" w:eastAsia="宋体" w:cs="宋体" w:hint="eastAsia"/>
                <w:sz w:val="22"/>
                <w:szCs w:val="22"/>
              </w:rPr>
              <w:t>满足计量要求</w:t>
            </w:r>
            <w:r>
              <w:rPr>
                <w:rFonts w:ascii="等线" w:hAnsi="等线" w:eastAsia="等线" w:cs="等线"/>
                <w:kern w:val="0"/>
                <w:sz w:val="22"/>
                <w:szCs w:val="22"/>
                <w:lang w:val="en-us" w:eastAsia="zh-cn" w:bidi="ar-sa"/>
              </w:rPr>
              <w:t>符合国标</w:t>
            </w:r>
          </w:p>
        </w:tc>
      </w:tr>
      <w:tr>
        <w:trPr>
          <w:trHeight w:val="288" w:hRule="atLeast"/>
        </w:trPr>
        <w:tc>
          <w:tcPr>
            <w:tcW w:w="1110"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rPr>
                <w:rFonts w:ascii="等线" w:hAnsi="等线" w:eastAsia="等线" w:cs="等线"/>
                <w:sz w:val="22"/>
                <w:szCs w:val="22"/>
              </w:rPr>
            </w:pPr>
            <w:r>
              <w:rPr>
                <w:rFonts w:ascii="等线" w:hAnsi="等线" w:eastAsia="等线" w:cs="等线"/>
                <w:sz w:val="22"/>
                <w:szCs w:val="22"/>
              </w:rPr>
              <w:t>汽车衡零时维修</w:t>
            </w:r>
          </w:p>
        </w:tc>
        <w:tc>
          <w:tcPr>
            <w:tcW w:w="1298"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rPr>
                <w:rFonts w:ascii="等线" w:hAnsi="等线" w:eastAsia="等线" w:cs="等线"/>
                <w:sz w:val="22"/>
                <w:szCs w:val="22"/>
              </w:rPr>
            </w:pPr>
            <w:r>
              <w:rPr>
                <w:rFonts w:ascii="等线" w:hAnsi="等线" w:eastAsia="等线" w:cs="等线"/>
                <w:sz w:val="22"/>
                <w:szCs w:val="22"/>
              </w:rPr>
              <w:t>3.5米×20米2台3.4米×18米4台3.4米×16米4台</w:t>
            </w:r>
          </w:p>
        </w:tc>
        <w:tc>
          <w:tcPr>
            <w:tcW w:w="1671"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rPr>
                <w:rFonts w:ascii="等线" w:hAnsi="等线" w:eastAsia="等线" w:cs="等线"/>
                <w:sz w:val="22"/>
                <w:szCs w:val="22"/>
              </w:rPr>
            </w:pPr>
            <w:r>
              <w:rPr>
                <w:rFonts w:ascii="等线" w:hAnsi="等线" w:eastAsia="等线" w:cs="等线"/>
                <w:sz w:val="22"/>
                <w:szCs w:val="22"/>
              </w:rPr>
              <w:t>随着季节变化调整磅体限位，磅体的角差（需要时进行）</w:t>
            </w:r>
          </w:p>
        </w:tc>
        <w:tc>
          <w:tcPr>
            <w:tcW w:w="1115"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等线" w:hAnsi="等线" w:eastAsia="等线" w:cs="等线" w:hint="eastAsia"/>
                <w:sz w:val="22"/>
                <w:szCs w:val="22"/>
              </w:rPr>
            </w:pPr>
            <w:r>
              <w:rPr>
                <w:rFonts w:ascii="等线" w:hAnsi="等线" w:eastAsia="等线" w:cs="等线" w:hint="eastAsia"/>
                <w:sz w:val="22"/>
                <w:szCs w:val="22"/>
              </w:rPr>
              <w:t>张家口金隅水泥有限公司厂内车库</w:t>
            </w:r>
          </w:p>
        </w:tc>
        <w:tc>
          <w:tcPr>
            <w:tcW w:w="599"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rPr>
                <w:rFonts w:ascii="等线" w:hAnsi="等线" w:eastAsia="等线" w:cs="等线" w:hint="eastAsia"/>
                <w:sz w:val="22"/>
                <w:szCs w:val="22"/>
              </w:rPr>
            </w:pPr>
            <w:r>
              <w:rPr>
                <w:rFonts w:ascii="等线" w:hAnsi="等线" w:eastAsia="等线" w:cs="等线" w:hint="eastAsia"/>
                <w:sz w:val="22"/>
                <w:szCs w:val="22"/>
              </w:rPr>
              <w:t>10</w:t>
            </w:r>
          </w:p>
        </w:tc>
        <w:tc>
          <w:tcPr>
            <w:tcW w:w="643"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rPr>
                <w:rFonts w:ascii="等线" w:hAnsi="等线" w:eastAsia="等线" w:cs="等线" w:hint="eastAsia"/>
                <w:sz w:val="22"/>
                <w:szCs w:val="22"/>
              </w:rPr>
            </w:pPr>
            <w:r>
              <w:rPr>
                <w:rFonts w:ascii="等线" w:hAnsi="等线" w:eastAsia="等线" w:cs="等线" w:hint="eastAsia"/>
                <w:sz w:val="22"/>
                <w:szCs w:val="22"/>
              </w:rPr>
              <w:t>台</w:t>
            </w:r>
          </w:p>
        </w:tc>
        <w:tc>
          <w:tcPr>
            <w:tcW w:w="1016"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rPr>
                <w:rFonts w:ascii="等线" w:hAnsi="等线" w:eastAsia="等线" w:cs="等线" w:hint="eastAsia"/>
                <w:sz w:val="22"/>
                <w:szCs w:val="22"/>
              </w:rPr>
            </w:pPr>
            <w:r>
              <w:rPr>
                <w:rFonts w:ascii="等线" w:hAnsi="等线" w:eastAsia="等线" w:cs="等线" w:hint="eastAsia"/>
                <w:sz w:val="22"/>
                <w:szCs w:val="22"/>
              </w:rPr>
              <w:t>500</w:t>
            </w:r>
          </w:p>
        </w:tc>
        <w:tc>
          <w:tcPr>
            <w:tcW w:w="543"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eastAsia="宋体" w:cs="宋体" w:hint="eastAsia"/>
                <w:sz w:val="22"/>
                <w:szCs w:val="22"/>
              </w:rPr>
            </w:pPr>
            <w:r>
              <w:rPr>
                <w:rFonts w:ascii="宋体" w:hAnsi="宋体" w:eastAsia="宋体" w:cs="宋体" w:hint="eastAsia"/>
                <w:sz w:val="22"/>
                <w:szCs w:val="22"/>
              </w:rPr>
              <w:t>一年</w:t>
            </w:r>
          </w:p>
        </w:tc>
        <w:tc>
          <w:tcPr>
            <w:tcW w:w="659"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rPr>
                <w:rFonts w:ascii="宋体" w:hAnsi="宋体" w:eastAsia="宋体" w:cs="宋体" w:hint="eastAsia"/>
                <w:sz w:val="22"/>
                <w:szCs w:val="22"/>
              </w:rPr>
            </w:pPr>
            <w:r>
              <w:rPr>
                <w:rFonts w:ascii="宋体" w:hAnsi="宋体" w:eastAsia="宋体" w:cs="宋体" w:hint="eastAsia"/>
                <w:sz w:val="22"/>
                <w:szCs w:val="22"/>
              </w:rPr>
              <w:t>满足计量要求</w:t>
            </w:r>
          </w:p>
        </w:tc>
      </w:tr>
      <w:tr>
        <w:trPr>
          <w:trHeight w:val="288" w:hRule="atLeast"/>
        </w:trPr>
        <w:tc>
          <w:tcPr>
            <w:tcW w:w="1110"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rPr>
                <w:rFonts w:ascii="等线" w:hAnsi="等线" w:eastAsia="等线" w:cs="等线"/>
                <w:sz w:val="22"/>
                <w:szCs w:val="22"/>
              </w:rPr>
            </w:pPr>
            <w:r>
              <w:rPr>
                <w:rFonts w:ascii="等线" w:hAnsi="等线" w:eastAsia="等线" w:cs="等线"/>
                <w:sz w:val="22"/>
                <w:szCs w:val="22"/>
              </w:rPr>
              <w:t>更换称体两端封严皮</w:t>
            </w:r>
          </w:p>
        </w:tc>
        <w:tc>
          <w:tcPr>
            <w:tcW w:w="1298"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rPr>
                <w:rFonts w:ascii="等线" w:hAnsi="等线" w:eastAsia="等线" w:cs="等线"/>
                <w:sz w:val="22"/>
                <w:szCs w:val="22"/>
              </w:rPr>
            </w:pPr>
            <w:r>
              <w:rPr>
                <w:rFonts w:ascii="等线" w:hAnsi="等线" w:eastAsia="等线" w:cs="等线"/>
                <w:sz w:val="22"/>
                <w:szCs w:val="22"/>
              </w:rPr>
              <w:t>3.5米×20米2台3.4米×18米4台3.4米×16米1台</w:t>
            </w:r>
          </w:p>
        </w:tc>
        <w:tc>
          <w:tcPr>
            <w:tcW w:w="1671"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rPr>
                <w:rFonts w:ascii="等线" w:hAnsi="等线" w:eastAsia="等线" w:cs="等线"/>
                <w:sz w:val="22"/>
                <w:szCs w:val="22"/>
              </w:rPr>
            </w:pPr>
            <w:r>
              <w:rPr>
                <w:rFonts w:ascii="等线" w:hAnsi="等线" w:eastAsia="等线" w:cs="等线"/>
                <w:sz w:val="22"/>
                <w:szCs w:val="22"/>
              </w:rPr>
              <w:t>1、将紧固两端头封严皮螺丝扣重新过扣，更换8号16螺丝。更换护皮（护皮甲方提供）</w:t>
            </w:r>
          </w:p>
        </w:tc>
        <w:tc>
          <w:tcPr>
            <w:tcW w:w="1115"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等线" w:hAnsi="等线" w:eastAsia="等线" w:cs="等线" w:hint="eastAsia"/>
                <w:sz w:val="22"/>
                <w:szCs w:val="22"/>
              </w:rPr>
            </w:pPr>
            <w:r>
              <w:rPr>
                <w:rFonts w:ascii="等线" w:hAnsi="等线" w:eastAsia="等线" w:cs="等线" w:hint="eastAsia"/>
                <w:sz w:val="22"/>
                <w:szCs w:val="22"/>
              </w:rPr>
              <w:t>张家口金隅水泥有限公司厂内车库</w:t>
            </w:r>
          </w:p>
        </w:tc>
        <w:tc>
          <w:tcPr>
            <w:tcW w:w="599"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rPr>
                <w:rFonts w:ascii="等线" w:hAnsi="等线" w:eastAsia="等线" w:cs="等线" w:hint="eastAsia"/>
                <w:sz w:val="22"/>
                <w:szCs w:val="22"/>
              </w:rPr>
            </w:pPr>
            <w:r>
              <w:rPr>
                <w:rFonts w:ascii="等线" w:hAnsi="等线" w:eastAsia="等线" w:cs="等线" w:hint="eastAsia"/>
                <w:sz w:val="22"/>
                <w:szCs w:val="22"/>
              </w:rPr>
              <w:t>6</w:t>
            </w:r>
          </w:p>
        </w:tc>
        <w:tc>
          <w:tcPr>
            <w:tcW w:w="643"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rPr>
                <w:rFonts w:ascii="等线" w:hAnsi="等线" w:eastAsia="等线" w:cs="等线" w:hint="eastAsia"/>
                <w:sz w:val="22"/>
                <w:szCs w:val="22"/>
              </w:rPr>
            </w:pPr>
            <w:r>
              <w:rPr>
                <w:rFonts w:ascii="等线" w:hAnsi="等线" w:eastAsia="等线" w:cs="等线" w:hint="eastAsia"/>
                <w:sz w:val="22"/>
                <w:szCs w:val="22"/>
              </w:rPr>
              <w:t>台</w:t>
            </w:r>
          </w:p>
        </w:tc>
        <w:tc>
          <w:tcPr>
            <w:tcW w:w="1016"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rPr>
                <w:rFonts w:ascii="等线" w:hAnsi="等线" w:eastAsia="等线" w:cs="等线" w:hint="eastAsia"/>
                <w:sz w:val="22"/>
                <w:szCs w:val="22"/>
              </w:rPr>
            </w:pPr>
            <w:r>
              <w:rPr>
                <w:rFonts w:ascii="等线" w:hAnsi="等线" w:eastAsia="等线" w:cs="等线" w:hint="eastAsia"/>
                <w:sz w:val="22"/>
                <w:szCs w:val="22"/>
              </w:rPr>
              <w:t>500</w:t>
            </w:r>
          </w:p>
        </w:tc>
        <w:tc>
          <w:tcPr>
            <w:tcW w:w="543"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eastAsia="宋体" w:cs="宋体" w:hint="eastAsia"/>
                <w:sz w:val="22"/>
                <w:szCs w:val="22"/>
              </w:rPr>
            </w:pPr>
            <w:r>
              <w:rPr>
                <w:rFonts w:ascii="宋体" w:hAnsi="宋体" w:eastAsia="宋体" w:cs="宋体" w:hint="eastAsia"/>
                <w:sz w:val="22"/>
                <w:szCs w:val="22"/>
              </w:rPr>
              <w:t>一年</w:t>
            </w:r>
          </w:p>
        </w:tc>
        <w:tc>
          <w:tcPr>
            <w:tcW w:w="659"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rPr>
                <w:rFonts w:ascii="宋体" w:hAnsi="宋体" w:eastAsia="宋体" w:cs="宋体" w:hint="eastAsia"/>
                <w:sz w:val="22"/>
                <w:szCs w:val="22"/>
              </w:rPr>
            </w:pPr>
            <w:r>
              <w:rPr>
                <w:rFonts w:ascii="宋体" w:hAnsi="宋体" w:eastAsia="宋体" w:cs="宋体" w:hint="eastAsia"/>
                <w:sz w:val="22"/>
                <w:szCs w:val="22"/>
              </w:rPr>
              <w:t>满足甲方要求</w:t>
            </w:r>
          </w:p>
        </w:tc>
      </w:tr>
      <w:tr>
        <w:trPr>
          <w:trHeight w:val="288" w:hRule="atLeast"/>
        </w:trPr>
        <w:tc>
          <w:tcPr>
            <w:tcW w:w="1110"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rPr>
                <w:rFonts w:ascii="等线" w:hAnsi="等线" w:eastAsia="等线" w:cs="等线"/>
                <w:sz w:val="22"/>
                <w:szCs w:val="22"/>
              </w:rPr>
            </w:pPr>
            <w:r>
              <w:rPr>
                <w:rFonts w:ascii="等线" w:hAnsi="等线" w:eastAsia="等线" w:cs="等线"/>
                <w:sz w:val="22"/>
                <w:szCs w:val="22"/>
              </w:rPr>
              <w:t>配合检定机构年度检定</w:t>
            </w:r>
          </w:p>
        </w:tc>
        <w:tc>
          <w:tcPr>
            <w:tcW w:w="1298"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rPr>
                <w:rFonts w:ascii="等线" w:hAnsi="等线" w:eastAsia="等线" w:cs="等线"/>
                <w:sz w:val="22"/>
                <w:szCs w:val="22"/>
              </w:rPr>
            </w:pPr>
            <w:r>
              <w:rPr>
                <w:rFonts w:ascii="等线" w:hAnsi="等线" w:eastAsia="等线" w:cs="等线"/>
                <w:sz w:val="22"/>
                <w:szCs w:val="22"/>
              </w:rPr>
              <w:t>3.5米×20米2台3.4米×18米1台</w:t>
            </w:r>
          </w:p>
        </w:tc>
        <w:tc>
          <w:tcPr>
            <w:tcW w:w="1671"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left"/>
              <w:tabs/>
              <w:rPr>
                <w:rFonts w:ascii="等线" w:hAnsi="等线" w:eastAsia="等线" w:cs="等线" w:hint="eastAsia"/>
                <w:kern w:val="0"/>
                <w:sz w:val="22"/>
                <w:szCs w:val="22"/>
                <w:lang w:val="en-us" w:eastAsia="zh-cn" w:bidi="ar-sa"/>
              </w:rPr>
            </w:pPr>
            <w:r>
              <w:rPr>
                <w:rFonts w:ascii="等线" w:hAnsi="等线" w:eastAsia="等线" w:cs="等线"/>
                <w:kern w:val="0"/>
                <w:sz w:val="22"/>
                <w:szCs w:val="22"/>
                <w:lang w:val="en-us" w:eastAsia="zh-cn" w:bidi="ar-sa"/>
              </w:rPr>
              <w:t>仪表、称台、线路全方位检查、调整</w:t>
            </w:r>
            <w:r>
              <w:rPr>
                <w:rFonts w:ascii="等线" w:hAnsi="等线" w:eastAsia="等线" w:cs="等线" w:hint="eastAsia"/>
                <w:kern w:val="0"/>
                <w:sz w:val="22"/>
                <w:szCs w:val="22"/>
                <w:lang w:val="en-us" w:eastAsia="zh-cn" w:bidi="ar-sa"/>
              </w:rPr>
              <w:t>、及标定。</w:t>
            </w:r>
          </w:p>
        </w:tc>
        <w:tc>
          <w:tcPr>
            <w:tcW w:w="1115"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等线" w:hAnsi="等线" w:eastAsia="等线" w:cs="等线" w:hint="eastAsia"/>
                <w:sz w:val="22"/>
                <w:szCs w:val="22"/>
              </w:rPr>
            </w:pPr>
            <w:r>
              <w:rPr>
                <w:rFonts w:ascii="等线" w:hAnsi="等线" w:eastAsia="等线" w:cs="等线" w:hint="eastAsia"/>
                <w:sz w:val="22"/>
                <w:szCs w:val="22"/>
              </w:rPr>
              <w:t>张家口金隅水泥有限公司厂内车库</w:t>
            </w:r>
          </w:p>
        </w:tc>
        <w:tc>
          <w:tcPr>
            <w:tcW w:w="599"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rPr>
                <w:rFonts w:ascii="等线" w:hAnsi="等线" w:eastAsia="等线" w:cs="等线" w:hint="eastAsia"/>
                <w:sz w:val="22"/>
                <w:szCs w:val="22"/>
              </w:rPr>
            </w:pPr>
            <w:r>
              <w:rPr>
                <w:rFonts w:ascii="等线" w:hAnsi="等线" w:eastAsia="等线" w:cs="等线" w:hint="eastAsia"/>
                <w:sz w:val="22"/>
                <w:szCs w:val="22"/>
              </w:rPr>
              <w:t>3</w:t>
            </w:r>
          </w:p>
        </w:tc>
        <w:tc>
          <w:tcPr>
            <w:tcW w:w="643"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rPr>
                <w:rFonts w:ascii="等线" w:hAnsi="等线" w:eastAsia="等线" w:cs="等线" w:hint="eastAsia"/>
                <w:sz w:val="22"/>
                <w:szCs w:val="22"/>
              </w:rPr>
            </w:pPr>
            <w:r>
              <w:rPr>
                <w:rFonts w:ascii="等线" w:hAnsi="等线" w:eastAsia="等线" w:cs="等线" w:hint="eastAsia"/>
                <w:sz w:val="22"/>
                <w:szCs w:val="22"/>
              </w:rPr>
              <w:t>台</w:t>
            </w:r>
          </w:p>
        </w:tc>
        <w:tc>
          <w:tcPr>
            <w:tcW w:w="1016"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rPr>
                <w:rFonts w:ascii="等线" w:hAnsi="等线" w:eastAsia="等线" w:cs="等线" w:hint="eastAsia"/>
                <w:sz w:val="22"/>
                <w:szCs w:val="22"/>
              </w:rPr>
            </w:pPr>
            <w:r>
              <w:rPr>
                <w:rFonts w:ascii="等线" w:hAnsi="等线" w:eastAsia="等线" w:cs="等线" w:hint="eastAsia"/>
                <w:sz w:val="22"/>
                <w:szCs w:val="22"/>
              </w:rPr>
              <w:t>500</w:t>
            </w:r>
          </w:p>
        </w:tc>
        <w:tc>
          <w:tcPr>
            <w:tcW w:w="543"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eastAsia="宋体" w:cs="宋体" w:hint="eastAsia"/>
                <w:sz w:val="22"/>
                <w:szCs w:val="22"/>
              </w:rPr>
            </w:pPr>
            <w:r>
              <w:rPr>
                <w:rFonts w:ascii="宋体" w:hAnsi="宋体" w:eastAsia="宋体" w:cs="宋体" w:hint="eastAsia"/>
                <w:sz w:val="22"/>
                <w:szCs w:val="22"/>
              </w:rPr>
              <w:t>半年</w:t>
            </w:r>
          </w:p>
        </w:tc>
        <w:tc>
          <w:tcPr>
            <w:tcW w:w="659"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rPr>
                <w:rFonts w:ascii="宋体" w:hAnsi="宋体" w:eastAsia="宋体" w:cs="宋体" w:hint="eastAsia"/>
                <w:sz w:val="22"/>
                <w:szCs w:val="22"/>
              </w:rPr>
            </w:pPr>
            <w:r>
              <w:rPr>
                <w:rFonts w:ascii="宋体" w:hAnsi="宋体" w:eastAsia="宋体" w:cs="宋体" w:hint="eastAsia"/>
                <w:sz w:val="22"/>
                <w:szCs w:val="22"/>
              </w:rPr>
              <w:t>满足计量要求</w:t>
            </w:r>
          </w:p>
        </w:tc>
      </w:tr>
    </w:tbl>
    <w:p>
      <w:pPr>
        <w:rPr>
          <w:rFonts w:ascii="宋体" w:hAnsi="宋体" w:eastAsia="宋体" w:cs="宋体" w:hint="eastAsia"/>
          <w:b/>
          <w:bCs/>
          <w:sz w:val="28"/>
          <w:szCs w:val="28"/>
        </w:rPr>
      </w:pPr>
      <w:r>
        <w:rPr>
          <w:b/>
          <w:bCs/>
          <w:sz w:val="28"/>
          <w:szCs w:val="28"/>
        </w:rPr>
        <w:t>七、付款方式：</w:t>
      </w:r>
      <w:r>
        <w:rPr>
          <w:rFonts w:ascii="宋体" w:hAnsi="宋体" w:eastAsia="宋体" w:cs="宋体" w:hint="eastAsia"/>
          <w:sz w:val="24"/>
        </w:rPr>
        <w:t>施工完毕，按技术要求验收合格，出具维修结算单，开具13％增值税票入账，按照甲方的资金计划安排及资金实际情况进行付款。</w:t>
      </w:r>
      <w:r>
        <w:rPr>
          <w:rFonts w:ascii="宋体" w:hAnsi="宋体" w:eastAsia="宋体" w:cs="宋体" w:hint="eastAsia"/>
          <w:b/>
          <w:bCs/>
          <w:sz w:val="28"/>
          <w:szCs w:val="28"/>
        </w:rPr>
      </w:r>
    </w:p>
    <w:p>
      <w:pPr>
        <w:rPr>
          <w:b/>
          <w:bCs/>
          <w:sz w:val="28"/>
          <w:szCs w:val="28"/>
        </w:rPr>
      </w:pPr>
      <w:r>
        <w:rPr>
          <w:b/>
          <w:bCs/>
          <w:sz w:val="28"/>
          <w:szCs w:val="28"/>
        </w:rPr>
      </w:r>
    </w:p>
    <w:p>
      <w:pPr>
        <w:rPr>
          <w:b/>
          <w:bCs/>
          <w:sz w:val="28"/>
          <w:szCs w:val="28"/>
        </w:rPr>
      </w:pPr>
      <w:r>
        <w:rPr>
          <w:b/>
          <w:bCs/>
          <w:sz w:val="28"/>
          <w:szCs w:val="28"/>
        </w:rPr>
        <w:t>八、签订合同需提供的资料</w:t>
      </w:r>
    </w:p>
    <w:tbl>
      <w:tblPr>
        <w:jc w:val="center"/>
        <w:tblW w:w="7076" w:type="dxa"/>
      </w:tblPr>
      <w:tblGrid>
        <w:gridCol w:w="692"/>
        <w:gridCol w:w="1325"/>
        <w:gridCol w:w="5059"/>
      </w:tblGrid>
      <w:tr>
        <w:trPr>
          <w:trHeight w:val="140" w:hRule="atLeast"/>
        </w:trPr>
        <w:tc>
          <w:tcPr>
            <w:tcW w:w="692"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仿宋" w:hAnsi="仿宋" w:eastAsia="仿宋" w:cs="仿宋"/>
                <w:b/>
                <w:bCs/>
                <w:szCs w:val="21"/>
              </w:rPr>
            </w:pPr>
            <w:r>
              <w:rPr>
                <w:rFonts w:ascii="仿宋" w:hAnsi="仿宋" w:eastAsia="仿宋" w:cs="仿宋" w:hint="eastAsia"/>
                <w:b/>
                <w:bCs/>
                <w:szCs w:val="21"/>
              </w:rPr>
              <w:t>序号</w:t>
            </w:r>
            <w:r>
              <w:rPr>
                <w:rFonts w:ascii="仿宋" w:hAnsi="仿宋" w:eastAsia="仿宋" w:cs="仿宋"/>
                <w:b/>
                <w:bCs/>
                <w:szCs w:val="21"/>
              </w:rPr>
            </w:r>
          </w:p>
        </w:tc>
        <w:tc>
          <w:tcPr>
            <w:tcW w:w="1325"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仿宋" w:hAnsi="仿宋" w:eastAsia="仿宋" w:cs="仿宋"/>
                <w:b/>
                <w:bCs/>
                <w:szCs w:val="21"/>
              </w:rPr>
            </w:pPr>
            <w:r>
              <w:rPr>
                <w:rFonts w:ascii="仿宋" w:hAnsi="仿宋" w:eastAsia="仿宋" w:cs="仿宋" w:hint="eastAsia"/>
                <w:b/>
                <w:bCs/>
                <w:szCs w:val="21"/>
              </w:rPr>
              <w:t>审查内容</w:t>
            </w:r>
            <w:r>
              <w:rPr>
                <w:rFonts w:ascii="仿宋" w:hAnsi="仿宋" w:eastAsia="仿宋" w:cs="仿宋"/>
                <w:b/>
                <w:bCs/>
                <w:szCs w:val="21"/>
              </w:rPr>
            </w:r>
          </w:p>
        </w:tc>
        <w:tc>
          <w:tcPr>
            <w:tcW w:w="5059"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仿宋" w:hAnsi="仿宋" w:eastAsia="仿宋" w:cs="仿宋"/>
                <w:b/>
                <w:bCs/>
                <w:szCs w:val="21"/>
              </w:rPr>
            </w:pPr>
            <w:r>
              <w:rPr>
                <w:rFonts w:ascii="仿宋" w:hAnsi="仿宋" w:eastAsia="仿宋" w:cs="仿宋" w:hint="eastAsia"/>
                <w:b/>
                <w:bCs/>
                <w:szCs w:val="21"/>
              </w:rPr>
              <w:t>相关要求</w:t>
            </w:r>
            <w:r>
              <w:rPr>
                <w:rFonts w:ascii="仿宋" w:hAnsi="仿宋" w:eastAsia="仿宋" w:cs="仿宋"/>
                <w:b/>
                <w:bCs/>
                <w:szCs w:val="21"/>
              </w:rPr>
            </w:r>
          </w:p>
        </w:tc>
      </w:tr>
      <w:tr>
        <w:trPr>
          <w:trHeight w:val="140" w:hRule="atLeast"/>
        </w:trPr>
        <w:tc>
          <w:tcPr>
            <w:tcW w:w="692"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eastAsia="宋体" w:cs="宋体"/>
                <w:b/>
                <w:bCs/>
                <w:szCs w:val="21"/>
              </w:rPr>
            </w:pPr>
            <w:r>
              <w:rPr>
                <w:rFonts w:ascii="宋体" w:hAnsi="宋体" w:eastAsia="宋体" w:cs="宋体" w:hint="eastAsia"/>
                <w:b/>
                <w:bCs/>
                <w:szCs w:val="21"/>
              </w:rPr>
              <w:t>1</w:t>
            </w:r>
            <w:r>
              <w:rPr>
                <w:rFonts w:ascii="宋体" w:hAnsi="宋体" w:eastAsia="宋体" w:cs="宋体"/>
                <w:b/>
                <w:bCs/>
                <w:szCs w:val="21"/>
              </w:rPr>
            </w:r>
          </w:p>
        </w:tc>
        <w:tc>
          <w:tcPr>
            <w:tcW w:w="1325"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eastAsia="宋体" w:cs="宋体"/>
                <w:b/>
                <w:bCs/>
                <w:szCs w:val="21"/>
              </w:rPr>
            </w:pPr>
            <w:r>
              <w:rPr>
                <w:rFonts w:ascii="宋体" w:hAnsi="宋体" w:eastAsia="宋体" w:cs="宋体" w:hint="eastAsia"/>
                <w:bCs/>
                <w:szCs w:val="21"/>
              </w:rPr>
              <w:t>营业执照</w:t>
            </w:r>
            <w:r>
              <w:rPr>
                <w:rFonts w:ascii="宋体" w:hAnsi="宋体" w:eastAsia="宋体" w:cs="宋体"/>
                <w:b/>
                <w:bCs/>
                <w:szCs w:val="21"/>
              </w:rPr>
            </w:r>
          </w:p>
        </w:tc>
        <w:tc>
          <w:tcPr>
            <w:tcW w:w="5059" w:type="dxa"/>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widowControl/>
              <w:rPr>
                <w:rFonts w:ascii="宋体" w:hAnsi="宋体" w:eastAsia="宋体" w:cs="宋体"/>
                <w:b/>
                <w:bCs/>
                <w:szCs w:val="21"/>
              </w:rPr>
            </w:pPr>
            <w:r>
              <w:rPr>
                <w:rFonts w:ascii="宋体" w:hAnsi="宋体" w:eastAsia="宋体" w:cs="宋体" w:hint="eastAsia"/>
                <w:bCs/>
                <w:szCs w:val="21"/>
              </w:rPr>
              <w:t>提供原件及复印件，复印件加盖公章。</w:t>
            </w:r>
            <w:r>
              <w:rPr>
                <w:rFonts w:ascii="宋体" w:hAnsi="宋体" w:eastAsia="宋体" w:cs="宋体"/>
                <w:b/>
                <w:bCs/>
                <w:szCs w:val="21"/>
              </w:rPr>
            </w:r>
          </w:p>
        </w:tc>
      </w:tr>
      <w:tr>
        <w:trPr>
          <w:trHeight w:val="140" w:hRule="atLeast"/>
        </w:trPr>
        <w:tc>
          <w:tcPr>
            <w:tcW w:w="692"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eastAsia="宋体" w:cs="宋体"/>
                <w:b/>
                <w:bCs/>
                <w:szCs w:val="21"/>
              </w:rPr>
            </w:pPr>
            <w:r>
              <w:rPr>
                <w:rFonts w:ascii="宋体" w:hAnsi="宋体" w:eastAsia="宋体" w:cs="宋体" w:hint="eastAsia"/>
                <w:b/>
                <w:bCs/>
                <w:szCs w:val="21"/>
              </w:rPr>
              <w:t>2</w:t>
            </w:r>
            <w:r>
              <w:rPr>
                <w:rFonts w:ascii="宋体" w:hAnsi="宋体" w:eastAsia="宋体" w:cs="宋体"/>
                <w:b/>
                <w:bCs/>
                <w:szCs w:val="21"/>
              </w:rPr>
            </w:r>
          </w:p>
        </w:tc>
        <w:tc>
          <w:tcPr>
            <w:tcW w:w="1325"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eastAsia="宋体" w:cs="宋体"/>
                <w:b/>
                <w:bCs/>
                <w:szCs w:val="21"/>
              </w:rPr>
            </w:pPr>
            <w:r>
              <w:rPr>
                <w:rFonts w:ascii="宋体" w:hAnsi="宋体" w:eastAsia="宋体" w:cs="宋体" w:hint="eastAsia"/>
                <w:bCs/>
                <w:szCs w:val="21"/>
              </w:rPr>
              <w:t>资质证书</w:t>
            </w:r>
            <w:r>
              <w:rPr>
                <w:rFonts w:ascii="宋体" w:hAnsi="宋体" w:eastAsia="宋体" w:cs="宋体"/>
                <w:b/>
                <w:bCs/>
                <w:szCs w:val="21"/>
              </w:rPr>
            </w:r>
          </w:p>
        </w:tc>
        <w:tc>
          <w:tcPr>
            <w:tcW w:w="5059" w:type="dxa"/>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widowControl/>
              <w:rPr>
                <w:rFonts w:ascii="宋体" w:hAnsi="宋体" w:eastAsia="宋体" w:cs="宋体"/>
                <w:b/>
                <w:bCs/>
                <w:szCs w:val="21"/>
              </w:rPr>
            </w:pPr>
            <w:r>
              <w:rPr>
                <w:rFonts w:ascii="宋体" w:hAnsi="宋体" w:eastAsia="宋体" w:cs="宋体" w:hint="eastAsia"/>
                <w:bCs/>
                <w:szCs w:val="21"/>
              </w:rPr>
              <w:t>提供原件及复印件，复印件公司公章。资质等级需与承包项目相符，且在专业平台如全国建筑市场监管公共服务平台可查。</w:t>
            </w:r>
            <w:r>
              <w:rPr>
                <w:rFonts w:ascii="宋体" w:hAnsi="宋体" w:eastAsia="宋体" w:cs="宋体"/>
                <w:b/>
                <w:bCs/>
                <w:szCs w:val="21"/>
              </w:rPr>
            </w:r>
          </w:p>
        </w:tc>
      </w:tr>
      <w:tr>
        <w:trPr>
          <w:trHeight w:val="140" w:hRule="atLeast"/>
        </w:trPr>
        <w:tc>
          <w:tcPr>
            <w:tcW w:w="692"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eastAsia="宋体" w:cs="宋体"/>
                <w:b/>
                <w:bCs/>
                <w:szCs w:val="21"/>
              </w:rPr>
            </w:pPr>
            <w:r>
              <w:rPr>
                <w:rFonts w:ascii="宋体" w:hAnsi="宋体" w:eastAsia="宋体" w:cs="宋体" w:hint="eastAsia"/>
                <w:b/>
                <w:bCs/>
                <w:szCs w:val="21"/>
              </w:rPr>
              <w:t>3</w:t>
            </w:r>
            <w:r>
              <w:rPr>
                <w:rFonts w:ascii="宋体" w:hAnsi="宋体" w:eastAsia="宋体" w:cs="宋体"/>
                <w:b/>
                <w:bCs/>
                <w:szCs w:val="21"/>
              </w:rPr>
            </w:r>
          </w:p>
        </w:tc>
        <w:tc>
          <w:tcPr>
            <w:tcW w:w="1325"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eastAsia="宋体" w:cs="宋体"/>
                <w:b/>
                <w:bCs/>
                <w:szCs w:val="21"/>
              </w:rPr>
            </w:pPr>
            <w:r>
              <w:rPr>
                <w:rFonts w:ascii="宋体" w:hAnsi="宋体" w:eastAsia="宋体" w:cs="宋体" w:hint="eastAsia"/>
                <w:bCs/>
                <w:szCs w:val="21"/>
              </w:rPr>
              <w:t>安全生产许可证</w:t>
            </w:r>
            <w:r>
              <w:rPr>
                <w:rFonts w:ascii="宋体" w:hAnsi="宋体" w:eastAsia="宋体" w:cs="宋体"/>
                <w:b/>
                <w:bCs/>
                <w:szCs w:val="21"/>
              </w:rPr>
            </w:r>
          </w:p>
        </w:tc>
        <w:tc>
          <w:tcPr>
            <w:tcW w:w="5059" w:type="dxa"/>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ind w:firstLine="2100"/>
              <w:widowControl/>
              <w:rPr>
                <w:rFonts w:ascii="宋体" w:hAnsi="宋体" w:eastAsia="宋体" w:cs="宋体" w:hint="eastAsia"/>
                <w:b/>
                <w:bCs/>
                <w:szCs w:val="21"/>
              </w:rPr>
            </w:pPr>
            <w:r>
              <w:rPr>
                <w:rFonts w:ascii="宋体" w:hAnsi="宋体" w:eastAsia="宋体" w:cs="宋体" w:hint="eastAsia"/>
                <w:bCs/>
                <w:szCs w:val="21"/>
              </w:rPr>
              <w:t>无</w:t>
            </w:r>
            <w:r>
              <w:rPr>
                <w:rFonts w:ascii="宋体" w:hAnsi="宋体" w:eastAsia="宋体" w:cs="宋体" w:hint="eastAsia"/>
                <w:b/>
                <w:bCs/>
                <w:szCs w:val="21"/>
              </w:rPr>
            </w:r>
          </w:p>
        </w:tc>
      </w:tr>
      <w:tr>
        <w:trPr>
          <w:trHeight w:val="140" w:hRule="atLeast"/>
        </w:trPr>
        <w:tc>
          <w:tcPr>
            <w:tcW w:w="692"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eastAsia="宋体" w:cs="宋体"/>
                <w:b/>
                <w:bCs/>
                <w:szCs w:val="21"/>
              </w:rPr>
            </w:pPr>
            <w:r>
              <w:rPr>
                <w:rFonts w:ascii="宋体" w:hAnsi="宋体" w:eastAsia="宋体" w:cs="宋体" w:hint="eastAsia"/>
                <w:b/>
                <w:bCs/>
                <w:szCs w:val="21"/>
              </w:rPr>
              <w:t>4</w:t>
            </w:r>
            <w:r>
              <w:rPr>
                <w:rFonts w:ascii="宋体" w:hAnsi="宋体" w:eastAsia="宋体" w:cs="宋体"/>
                <w:b/>
                <w:bCs/>
                <w:szCs w:val="21"/>
              </w:rPr>
            </w:r>
          </w:p>
        </w:tc>
        <w:tc>
          <w:tcPr>
            <w:tcW w:w="1325"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eastAsia="宋体" w:cs="宋体"/>
                <w:b/>
                <w:bCs/>
                <w:szCs w:val="21"/>
              </w:rPr>
            </w:pPr>
            <w:r>
              <w:rPr>
                <w:rFonts w:ascii="宋体" w:hAnsi="宋体" w:eastAsia="宋体" w:cs="宋体" w:hint="eastAsia"/>
                <w:bCs/>
                <w:szCs w:val="21"/>
              </w:rPr>
              <w:t>法定代表人身份证</w:t>
            </w:r>
            <w:r>
              <w:rPr>
                <w:rFonts w:ascii="宋体" w:hAnsi="宋体" w:eastAsia="宋体" w:cs="宋体"/>
                <w:b/>
                <w:bCs/>
                <w:szCs w:val="21"/>
              </w:rPr>
            </w:r>
          </w:p>
        </w:tc>
        <w:tc>
          <w:tcPr>
            <w:tcW w:w="5059" w:type="dxa"/>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widowControl/>
              <w:rPr>
                <w:rFonts w:ascii="宋体" w:hAnsi="宋体" w:eastAsia="宋体" w:cs="宋体"/>
                <w:b/>
                <w:bCs/>
                <w:szCs w:val="21"/>
              </w:rPr>
            </w:pPr>
            <w:r>
              <w:rPr>
                <w:rFonts w:ascii="宋体" w:hAnsi="宋体" w:eastAsia="宋体" w:cs="宋体" w:hint="eastAsia"/>
                <w:bCs/>
                <w:szCs w:val="21"/>
              </w:rPr>
              <w:t>合同或安全协议签订人为法定代表人时，需提供身份证复印件。</w:t>
            </w:r>
            <w:r>
              <w:rPr>
                <w:rFonts w:ascii="宋体" w:hAnsi="宋体" w:eastAsia="宋体" w:cs="宋体"/>
                <w:b/>
                <w:bCs/>
                <w:szCs w:val="21"/>
              </w:rPr>
            </w:r>
          </w:p>
        </w:tc>
      </w:tr>
      <w:tr>
        <w:trPr>
          <w:trHeight w:val="140" w:hRule="atLeast"/>
        </w:trPr>
        <w:tc>
          <w:tcPr>
            <w:tcW w:w="692"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eastAsia="宋体" w:cs="宋体"/>
                <w:b/>
                <w:bCs/>
                <w:szCs w:val="21"/>
              </w:rPr>
            </w:pPr>
            <w:r>
              <w:rPr>
                <w:rFonts w:ascii="宋体" w:hAnsi="宋体" w:eastAsia="宋体" w:cs="宋体" w:hint="eastAsia"/>
                <w:b/>
                <w:bCs/>
                <w:szCs w:val="21"/>
              </w:rPr>
              <w:t>5</w:t>
            </w:r>
            <w:r>
              <w:rPr>
                <w:rFonts w:ascii="宋体" w:hAnsi="宋体" w:eastAsia="宋体" w:cs="宋体"/>
                <w:b/>
                <w:bCs/>
                <w:szCs w:val="21"/>
              </w:rPr>
            </w:r>
          </w:p>
        </w:tc>
        <w:tc>
          <w:tcPr>
            <w:tcW w:w="1325"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eastAsia="宋体" w:cs="宋体"/>
                <w:b/>
                <w:bCs/>
                <w:szCs w:val="21"/>
              </w:rPr>
            </w:pPr>
            <w:r>
              <w:rPr>
                <w:rFonts w:ascii="宋体" w:hAnsi="宋体" w:eastAsia="宋体" w:cs="宋体" w:hint="eastAsia"/>
                <w:bCs/>
                <w:szCs w:val="21"/>
              </w:rPr>
              <w:t>法定代表人授权委托书及身份证</w:t>
            </w:r>
            <w:r>
              <w:rPr>
                <w:rFonts w:ascii="宋体" w:hAnsi="宋体" w:eastAsia="宋体" w:cs="宋体"/>
                <w:b/>
                <w:bCs/>
                <w:szCs w:val="21"/>
              </w:rPr>
            </w:r>
          </w:p>
        </w:tc>
        <w:tc>
          <w:tcPr>
            <w:tcW w:w="5059" w:type="dxa"/>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widowControl/>
              <w:rPr>
                <w:rFonts w:ascii="宋体" w:hAnsi="宋体" w:eastAsia="宋体" w:cs="宋体"/>
                <w:b/>
                <w:bCs/>
                <w:szCs w:val="21"/>
              </w:rPr>
            </w:pPr>
            <w:r>
              <w:rPr>
                <w:rFonts w:ascii="宋体" w:hAnsi="宋体" w:eastAsia="宋体" w:cs="宋体" w:hint="eastAsia"/>
                <w:bCs/>
                <w:szCs w:val="21"/>
              </w:rPr>
              <w:t>合同或安全协议签订人不是法人代表本人时，须提供授权委托书（由法定代表人签字或签章，有身份证照片并加盖公司公章。）及委托代理人身份证。</w:t>
            </w:r>
            <w:r>
              <w:rPr>
                <w:rFonts w:ascii="宋体" w:hAnsi="宋体" w:eastAsia="宋体" w:cs="宋体"/>
                <w:b/>
                <w:bCs/>
                <w:szCs w:val="21"/>
              </w:rPr>
            </w:r>
          </w:p>
        </w:tc>
      </w:tr>
      <w:tr>
        <w:trPr>
          <w:trHeight w:val="140" w:hRule="atLeast"/>
        </w:trPr>
        <w:tc>
          <w:tcPr>
            <w:tcW w:w="692"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eastAsia="宋体" w:cs="宋体"/>
                <w:b/>
                <w:bCs/>
                <w:szCs w:val="21"/>
              </w:rPr>
            </w:pPr>
            <w:r>
              <w:rPr>
                <w:rFonts w:ascii="宋体" w:hAnsi="宋体" w:eastAsia="宋体" w:cs="宋体" w:hint="eastAsia"/>
                <w:b/>
                <w:bCs/>
                <w:szCs w:val="21"/>
              </w:rPr>
              <w:t>6</w:t>
            </w:r>
            <w:r>
              <w:rPr>
                <w:rFonts w:ascii="宋体" w:hAnsi="宋体" w:eastAsia="宋体" w:cs="宋体"/>
                <w:b/>
                <w:bCs/>
                <w:szCs w:val="21"/>
              </w:rPr>
            </w:r>
          </w:p>
        </w:tc>
        <w:tc>
          <w:tcPr>
            <w:tcW w:w="1325"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eastAsia="宋体" w:cs="宋体"/>
                <w:b/>
                <w:bCs/>
                <w:szCs w:val="21"/>
              </w:rPr>
            </w:pPr>
            <w:r>
              <w:rPr>
                <w:rFonts w:ascii="宋体" w:hAnsi="宋体" w:eastAsia="宋体" w:cs="宋体" w:hint="eastAsia"/>
                <w:bCs/>
                <w:szCs w:val="21"/>
              </w:rPr>
              <w:t>施工业绩</w:t>
            </w:r>
            <w:r>
              <w:rPr>
                <w:rFonts w:ascii="宋体" w:hAnsi="宋体" w:eastAsia="宋体" w:cs="宋体"/>
                <w:b/>
                <w:bCs/>
                <w:szCs w:val="21"/>
              </w:rPr>
            </w:r>
          </w:p>
        </w:tc>
        <w:tc>
          <w:tcPr>
            <w:tcW w:w="5059" w:type="dxa"/>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widowControl/>
              <w:rPr>
                <w:rFonts w:ascii="宋体" w:hAnsi="宋体" w:eastAsia="宋体" w:cs="宋体"/>
                <w:b/>
                <w:bCs/>
                <w:szCs w:val="21"/>
              </w:rPr>
            </w:pPr>
            <w:r>
              <w:rPr>
                <w:rFonts w:ascii="宋体" w:hAnsi="宋体" w:eastAsia="宋体" w:cs="宋体" w:hint="eastAsia"/>
                <w:bCs/>
                <w:szCs w:val="21"/>
              </w:rPr>
              <w:t>施工业绩需与承揽项目一致或类似，证明具有承揽同类项目施工能力，且业绩良好。</w:t>
            </w:r>
            <w:r>
              <w:rPr>
                <w:rFonts w:ascii="宋体" w:hAnsi="宋体" w:eastAsia="宋体" w:cs="宋体"/>
                <w:b/>
                <w:bCs/>
                <w:szCs w:val="21"/>
              </w:rPr>
            </w:r>
          </w:p>
        </w:tc>
      </w:tr>
      <w:tr>
        <w:trPr>
          <w:trHeight w:val="1713" w:hRule="atLeast"/>
        </w:trPr>
        <w:tc>
          <w:tcPr>
            <w:tcW w:w="692"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eastAsia="宋体" w:cs="宋体"/>
                <w:b/>
                <w:bCs/>
                <w:szCs w:val="21"/>
              </w:rPr>
            </w:pPr>
            <w:r>
              <w:rPr>
                <w:rFonts w:ascii="宋体" w:hAnsi="宋体" w:eastAsia="宋体" w:cs="宋体" w:hint="eastAsia"/>
                <w:b/>
                <w:bCs/>
                <w:szCs w:val="21"/>
              </w:rPr>
              <w:t>7</w:t>
            </w:r>
            <w:r>
              <w:rPr>
                <w:rFonts w:ascii="宋体" w:hAnsi="宋体" w:eastAsia="宋体" w:cs="宋体"/>
                <w:b/>
                <w:bCs/>
                <w:szCs w:val="21"/>
              </w:rPr>
            </w:r>
          </w:p>
        </w:tc>
        <w:tc>
          <w:tcPr>
            <w:tcW w:w="1325"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eastAsia="宋体" w:cs="宋体"/>
                <w:bCs/>
                <w:szCs w:val="21"/>
              </w:rPr>
            </w:pPr>
            <w:r>
              <w:rPr>
                <w:rFonts w:ascii="宋体" w:hAnsi="宋体" w:eastAsia="宋体" w:cs="宋体" w:hint="eastAsia"/>
                <w:bCs/>
                <w:szCs w:val="21"/>
              </w:rPr>
              <w:t>安全施工保证金</w:t>
            </w:r>
            <w:r>
              <w:rPr>
                <w:rFonts w:ascii="宋体" w:hAnsi="宋体" w:eastAsia="宋体" w:cs="宋体"/>
                <w:bCs/>
                <w:szCs w:val="21"/>
              </w:rPr>
            </w:r>
          </w:p>
        </w:tc>
        <w:tc>
          <w:tcPr>
            <w:tcW w:w="5059" w:type="dxa"/>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widowControl/>
              <w:rPr>
                <w:rFonts w:ascii="宋体" w:hAnsi="宋体" w:eastAsia="宋体" w:cs="宋体"/>
                <w:bCs/>
                <w:szCs w:val="21"/>
              </w:rPr>
            </w:pPr>
            <w:r>
              <w:rPr>
                <w:rFonts w:ascii="宋体" w:hAnsi="宋体" w:eastAsia="宋体" w:cs="宋体" w:hint="eastAsia"/>
                <w:bCs/>
                <w:szCs w:val="21"/>
              </w:rPr>
              <w:t>按照项目进行缴纳，每个项目均需缴纳安全保证金，金额按照合同标的2%-10%（最低不少于2000元，最高不多于20万元）；如外包单位没有缴纳安全责任险或意外险，需缴纳不低</w:t>
            </w:r>
            <w:r/>
            <w:bookmarkStart w:id="0" w:name="_GoBack"/>
            <w:bookmarkEnd w:id="0"/>
            <w:r/>
            <w:r>
              <w:rPr>
                <w:rFonts w:ascii="宋体" w:hAnsi="宋体" w:eastAsia="宋体" w:cs="宋体" w:hint="eastAsia"/>
                <w:bCs/>
                <w:szCs w:val="21"/>
              </w:rPr>
              <w:t>于150万元的安全施工保证金，中标后收取。</w:t>
            </w:r>
            <w:r>
              <w:rPr>
                <w:rFonts w:ascii="宋体" w:hAnsi="宋体" w:eastAsia="宋体" w:cs="宋体"/>
                <w:bCs/>
                <w:szCs w:val="21"/>
              </w:rPr>
            </w:r>
          </w:p>
        </w:tc>
      </w:tr>
      <w:tr>
        <w:trPr>
          <w:trHeight w:val="140" w:hRule="atLeast"/>
        </w:trPr>
        <w:tc>
          <w:tcPr>
            <w:tcW w:w="692"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eastAsia="宋体" w:cs="宋体"/>
                <w:b/>
                <w:bCs/>
                <w:szCs w:val="21"/>
              </w:rPr>
            </w:pPr>
            <w:r>
              <w:rPr>
                <w:rFonts w:ascii="宋体" w:hAnsi="宋体" w:eastAsia="宋体" w:cs="宋体" w:hint="eastAsia"/>
                <w:b/>
                <w:bCs/>
                <w:szCs w:val="21"/>
              </w:rPr>
              <w:t>8</w:t>
            </w:r>
            <w:r>
              <w:rPr>
                <w:rFonts w:ascii="宋体" w:hAnsi="宋体" w:eastAsia="宋体" w:cs="宋体"/>
                <w:b/>
                <w:bCs/>
                <w:szCs w:val="21"/>
              </w:rPr>
            </w:r>
          </w:p>
        </w:tc>
        <w:tc>
          <w:tcPr>
            <w:tcW w:w="1325"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eastAsia="宋体" w:cs="宋体"/>
                <w:b/>
                <w:bCs/>
                <w:szCs w:val="21"/>
              </w:rPr>
            </w:pPr>
            <w:r>
              <w:rPr>
                <w:rFonts w:ascii="宋体" w:hAnsi="宋体" w:eastAsia="宋体" w:cs="宋体" w:hint="eastAsia"/>
                <w:bCs/>
                <w:szCs w:val="21"/>
              </w:rPr>
              <w:t>安全承诺</w:t>
            </w:r>
            <w:r>
              <w:rPr>
                <w:rFonts w:ascii="宋体" w:hAnsi="宋体" w:eastAsia="宋体" w:cs="宋体"/>
                <w:b/>
                <w:bCs/>
                <w:szCs w:val="21"/>
              </w:rPr>
            </w:r>
          </w:p>
        </w:tc>
        <w:tc>
          <w:tcPr>
            <w:tcW w:w="5059" w:type="dxa"/>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widowControl/>
              <w:rPr>
                <w:rFonts w:ascii="宋体" w:hAnsi="宋体" w:eastAsia="宋体" w:cs="宋体"/>
                <w:b/>
                <w:bCs/>
                <w:szCs w:val="21"/>
              </w:rPr>
            </w:pPr>
            <w:r>
              <w:rPr>
                <w:rFonts w:ascii="宋体" w:hAnsi="宋体" w:eastAsia="宋体" w:cs="宋体" w:hint="eastAsia"/>
                <w:bCs/>
                <w:szCs w:val="21"/>
              </w:rPr>
              <w:t>企业三年无一般及以上安全生产责任事故及提供材料证实性承诺，提供国家企业信用信息公示系统查询结果，并均加盖公章。</w:t>
            </w:r>
            <w:r>
              <w:rPr>
                <w:rFonts w:ascii="宋体" w:hAnsi="宋体" w:eastAsia="宋体" w:cs="宋体"/>
                <w:b/>
                <w:bCs/>
                <w:szCs w:val="21"/>
              </w:rPr>
            </w:r>
          </w:p>
        </w:tc>
      </w:tr>
      <w:tr>
        <w:trPr>
          <w:trHeight w:val="140" w:hRule="atLeast"/>
        </w:trPr>
        <w:tc>
          <w:tcPr>
            <w:tcW w:w="692"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eastAsia="宋体" w:cs="宋体"/>
                <w:b/>
                <w:bCs/>
                <w:szCs w:val="21"/>
              </w:rPr>
            </w:pPr>
            <w:r>
              <w:rPr>
                <w:rFonts w:ascii="宋体" w:hAnsi="宋体" w:eastAsia="宋体" w:cs="宋体" w:hint="eastAsia"/>
                <w:b/>
                <w:bCs/>
                <w:szCs w:val="21"/>
              </w:rPr>
              <w:t>9</w:t>
            </w:r>
            <w:r>
              <w:rPr>
                <w:rFonts w:ascii="宋体" w:hAnsi="宋体" w:eastAsia="宋体" w:cs="宋体"/>
                <w:b/>
                <w:bCs/>
                <w:szCs w:val="21"/>
              </w:rPr>
            </w:r>
          </w:p>
        </w:tc>
        <w:tc>
          <w:tcPr>
            <w:tcW w:w="1325"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eastAsia="宋体" w:cs="宋体"/>
                <w:b/>
                <w:bCs/>
                <w:szCs w:val="21"/>
              </w:rPr>
            </w:pPr>
            <w:r>
              <w:rPr>
                <w:rFonts w:ascii="宋体" w:hAnsi="宋体" w:eastAsia="宋体" w:cs="宋体" w:hint="eastAsia"/>
                <w:bCs/>
                <w:szCs w:val="21"/>
              </w:rPr>
              <w:t>三项管理制度及生产安全事故应急救援预案</w:t>
            </w:r>
            <w:r>
              <w:rPr>
                <w:rFonts w:ascii="宋体" w:hAnsi="宋体" w:eastAsia="宋体" w:cs="宋体"/>
                <w:b/>
                <w:bCs/>
                <w:szCs w:val="21"/>
              </w:rPr>
            </w:r>
          </w:p>
        </w:tc>
        <w:tc>
          <w:tcPr>
            <w:tcW w:w="5059" w:type="dxa"/>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widowControl/>
              <w:rPr>
                <w:rFonts w:ascii="宋体" w:hAnsi="宋体" w:eastAsia="宋体" w:cs="宋体"/>
                <w:b/>
                <w:bCs/>
                <w:szCs w:val="21"/>
              </w:rPr>
            </w:pPr>
            <w:r>
              <w:rPr>
                <w:rFonts w:ascii="宋体" w:hAnsi="宋体" w:eastAsia="宋体" w:cs="宋体" w:hint="eastAsia"/>
                <w:bCs/>
                <w:szCs w:val="21"/>
              </w:rPr>
              <w:t>提供安全生产责任制、安全管理制度和岗位安全操作规程目录，提供涉及本项目的生产安全事故应急救援预案，复印加盖单位公章。</w:t>
            </w:r>
            <w:r>
              <w:rPr>
                <w:rFonts w:ascii="宋体" w:hAnsi="宋体" w:eastAsia="宋体" w:cs="宋体"/>
                <w:b/>
                <w:bCs/>
                <w:szCs w:val="21"/>
              </w:rPr>
            </w:r>
          </w:p>
        </w:tc>
      </w:tr>
      <w:tr>
        <w:trPr>
          <w:trHeight w:val="2259" w:hRule="atLeast"/>
        </w:trPr>
        <w:tc>
          <w:tcPr>
            <w:tcW w:w="692"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eastAsia="宋体" w:cs="宋体"/>
                <w:b/>
                <w:bCs/>
                <w:szCs w:val="21"/>
              </w:rPr>
            </w:pPr>
            <w:r>
              <w:rPr>
                <w:rFonts w:ascii="宋体" w:hAnsi="宋体" w:eastAsia="宋体" w:cs="宋体" w:hint="eastAsia"/>
                <w:b/>
                <w:bCs/>
                <w:szCs w:val="21"/>
              </w:rPr>
              <w:t>10</w:t>
            </w:r>
            <w:r>
              <w:rPr>
                <w:rFonts w:ascii="宋体" w:hAnsi="宋体" w:eastAsia="宋体" w:cs="宋体"/>
                <w:b/>
                <w:bCs/>
                <w:szCs w:val="21"/>
              </w:rPr>
            </w:r>
          </w:p>
        </w:tc>
        <w:tc>
          <w:tcPr>
            <w:tcW w:w="1325"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eastAsia="宋体" w:cs="宋体"/>
                <w:b/>
                <w:bCs/>
                <w:szCs w:val="21"/>
              </w:rPr>
            </w:pPr>
            <w:r>
              <w:rPr>
                <w:rFonts w:ascii="宋体" w:hAnsi="宋体" w:eastAsia="宋体" w:cs="宋体" w:hint="eastAsia"/>
                <w:bCs/>
                <w:szCs w:val="21"/>
              </w:rPr>
              <w:t>项目负责人、拟进场专（兼）职安全管理人员的证书及特种作业人员操作证</w:t>
            </w:r>
            <w:r>
              <w:rPr>
                <w:rFonts w:ascii="宋体" w:hAnsi="宋体" w:eastAsia="宋体" w:cs="宋体"/>
                <w:b/>
                <w:bCs/>
                <w:szCs w:val="21"/>
              </w:rPr>
            </w:r>
          </w:p>
        </w:tc>
        <w:tc>
          <w:tcPr>
            <w:tcW w:w="5059" w:type="dxa"/>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line="340" w:lineRule="exact"/>
              <w:jc w:val="left"/>
              <w:widowControl/>
              <w:rPr>
                <w:rFonts w:ascii="宋体" w:hAnsi="宋体" w:eastAsia="宋体" w:cs="宋体"/>
                <w:bCs/>
                <w:szCs w:val="21"/>
              </w:rPr>
            </w:pPr>
            <w:r>
              <w:rPr>
                <w:rFonts w:ascii="宋体" w:hAnsi="宋体" w:eastAsia="宋体" w:cs="宋体" w:hint="eastAsia"/>
                <w:bCs/>
                <w:szCs w:val="21"/>
              </w:rPr>
              <w:t>1、项目负责人、安全管理人员培训合格证明必须真实有效，且在有效期内，加盖单位公章。提供的安全管理人员必须在本次作业人员名单中，并负责现场安全。</w:t>
            </w:r>
            <w:r>
              <w:rPr>
                <w:rFonts w:ascii="宋体" w:hAnsi="宋体" w:eastAsia="宋体" w:cs="宋体"/>
                <w:bCs/>
                <w:szCs w:val="21"/>
              </w:rPr>
            </w:r>
          </w:p>
          <w:p>
            <w:pPr>
              <w:widowControl/>
              <w:rPr>
                <w:rFonts w:ascii="宋体" w:hAnsi="宋体" w:eastAsia="宋体" w:cs="宋体"/>
                <w:b/>
                <w:bCs/>
                <w:szCs w:val="21"/>
              </w:rPr>
            </w:pPr>
            <w:r>
              <w:rPr>
                <w:rFonts w:ascii="宋体" w:hAnsi="宋体" w:eastAsia="宋体" w:cs="宋体" w:hint="eastAsia"/>
                <w:bCs/>
                <w:szCs w:val="21"/>
              </w:rPr>
              <w:t>2、特种作业人员操作证应提供国家应急管理部网站查询结果纸质版并加盖公司公章。</w:t>
            </w:r>
            <w:r>
              <w:rPr>
                <w:rFonts w:ascii="宋体" w:hAnsi="宋体" w:eastAsia="宋体" w:cs="宋体"/>
                <w:b/>
                <w:bCs/>
                <w:szCs w:val="21"/>
              </w:rPr>
            </w:r>
          </w:p>
        </w:tc>
      </w:tr>
      <w:tr>
        <w:trPr>
          <w:trHeight w:val="1715" w:hRule="atLeast"/>
        </w:trPr>
        <w:tc>
          <w:tcPr>
            <w:tcW w:w="692"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eastAsia="宋体" w:cs="宋体"/>
                <w:b/>
                <w:bCs/>
                <w:szCs w:val="21"/>
              </w:rPr>
            </w:pPr>
            <w:r>
              <w:rPr>
                <w:rFonts w:ascii="宋体" w:hAnsi="宋体" w:eastAsia="宋体" w:cs="宋体" w:hint="eastAsia"/>
                <w:b/>
                <w:bCs/>
                <w:szCs w:val="21"/>
              </w:rPr>
              <w:t>11</w:t>
            </w:r>
            <w:r>
              <w:rPr>
                <w:rFonts w:ascii="宋体" w:hAnsi="宋体" w:eastAsia="宋体" w:cs="宋体"/>
                <w:b/>
                <w:bCs/>
                <w:szCs w:val="21"/>
              </w:rPr>
            </w:r>
          </w:p>
        </w:tc>
        <w:tc>
          <w:tcPr>
            <w:tcW w:w="1325"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eastAsia="宋体" w:cs="宋体"/>
                <w:b/>
                <w:bCs/>
                <w:szCs w:val="21"/>
              </w:rPr>
            </w:pPr>
            <w:r>
              <w:rPr>
                <w:rFonts w:ascii="宋体" w:hAnsi="宋体" w:eastAsia="宋体" w:cs="宋体" w:hint="eastAsia"/>
                <w:bCs/>
                <w:szCs w:val="21"/>
              </w:rPr>
              <w:t>拟进场作业人员清单及身份证件</w:t>
            </w:r>
            <w:r>
              <w:rPr>
                <w:rFonts w:ascii="宋体" w:hAnsi="宋体" w:eastAsia="宋体" w:cs="宋体"/>
                <w:b/>
                <w:bCs/>
                <w:szCs w:val="21"/>
              </w:rPr>
            </w:r>
          </w:p>
        </w:tc>
        <w:tc>
          <w:tcPr>
            <w:tcW w:w="5059" w:type="dxa"/>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widowControl/>
              <w:rPr>
                <w:rFonts w:ascii="宋体" w:hAnsi="宋体" w:eastAsia="宋体" w:cs="宋体"/>
                <w:b/>
                <w:bCs/>
                <w:szCs w:val="21"/>
              </w:rPr>
            </w:pPr>
            <w:r>
              <w:rPr>
                <w:rFonts w:ascii="宋体" w:hAnsi="宋体" w:eastAsia="宋体" w:cs="宋体" w:hint="eastAsia"/>
                <w:bCs/>
                <w:szCs w:val="21"/>
              </w:rPr>
              <w:t>人员信息包括姓名、性别、出生年月、文化程度、所在岗位和资格证书、血型、健康状况、保险有效期等。作业人员年龄必须符合《劳动法》要求，普工年龄男不大于60周岁、女不大于50周岁；对年龄有特殊规定的，按照规定执行，如清库作业为21～50周岁。</w:t>
            </w:r>
            <w:r>
              <w:rPr>
                <w:rFonts w:ascii="宋体" w:hAnsi="宋体" w:eastAsia="宋体" w:cs="宋体"/>
                <w:b/>
                <w:bCs/>
                <w:szCs w:val="21"/>
              </w:rPr>
            </w:r>
          </w:p>
        </w:tc>
      </w:tr>
      <w:tr>
        <w:trPr>
          <w:trHeight w:val="1251" w:hRule="atLeast"/>
        </w:trPr>
        <w:tc>
          <w:tcPr>
            <w:tcW w:w="692"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eastAsia="宋体" w:cs="宋体"/>
                <w:b/>
                <w:bCs/>
                <w:szCs w:val="21"/>
              </w:rPr>
            </w:pPr>
            <w:r>
              <w:rPr>
                <w:rFonts w:ascii="宋体" w:hAnsi="宋体" w:eastAsia="宋体" w:cs="宋体" w:hint="eastAsia"/>
                <w:b/>
                <w:bCs/>
                <w:szCs w:val="21"/>
              </w:rPr>
              <w:t>12</w:t>
            </w:r>
            <w:r>
              <w:rPr>
                <w:rFonts w:ascii="宋体" w:hAnsi="宋体" w:eastAsia="宋体" w:cs="宋体"/>
                <w:b/>
                <w:bCs/>
                <w:szCs w:val="21"/>
              </w:rPr>
            </w:r>
          </w:p>
        </w:tc>
        <w:tc>
          <w:tcPr>
            <w:tcW w:w="1325"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eastAsia="宋体" w:cs="宋体"/>
                <w:b/>
                <w:bCs/>
                <w:szCs w:val="21"/>
              </w:rPr>
            </w:pPr>
            <w:r>
              <w:rPr>
                <w:rFonts w:ascii="宋体" w:hAnsi="宋体" w:eastAsia="宋体" w:cs="宋体" w:hint="eastAsia"/>
                <w:bCs/>
                <w:szCs w:val="21"/>
              </w:rPr>
              <w:t>全体项目人员的安全教育培训考核记录</w:t>
            </w:r>
            <w:r>
              <w:rPr>
                <w:rFonts w:ascii="宋体" w:hAnsi="宋体" w:eastAsia="宋体" w:cs="宋体"/>
                <w:b/>
                <w:bCs/>
                <w:szCs w:val="21"/>
              </w:rPr>
            </w:r>
          </w:p>
        </w:tc>
        <w:tc>
          <w:tcPr>
            <w:tcW w:w="5059" w:type="dxa"/>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widowControl/>
              <w:rPr>
                <w:rFonts w:ascii="宋体" w:hAnsi="宋体" w:eastAsia="宋体" w:cs="宋体"/>
                <w:b/>
                <w:bCs/>
                <w:szCs w:val="21"/>
              </w:rPr>
            </w:pPr>
            <w:r>
              <w:rPr>
                <w:rFonts w:ascii="宋体" w:hAnsi="宋体" w:eastAsia="宋体" w:cs="宋体" w:hint="eastAsia"/>
                <w:bCs/>
                <w:szCs w:val="21"/>
              </w:rPr>
              <w:t>提供每名进场作业人员考试试卷，必须本人答题，不得出现代答代签、替考问题，得分、判分有效，不得随意涂改；加盖公司公章。</w:t>
            </w:r>
            <w:r>
              <w:rPr>
                <w:rFonts w:ascii="宋体" w:hAnsi="宋体" w:eastAsia="宋体" w:cs="宋体"/>
                <w:b/>
                <w:bCs/>
                <w:szCs w:val="21"/>
              </w:rPr>
            </w:r>
          </w:p>
        </w:tc>
      </w:tr>
      <w:tr>
        <w:trPr>
          <w:trHeight w:val="1399" w:hRule="atLeast"/>
        </w:trPr>
        <w:tc>
          <w:tcPr>
            <w:tcW w:w="692"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eastAsia="宋体" w:cs="宋体"/>
                <w:b/>
                <w:bCs/>
                <w:szCs w:val="21"/>
              </w:rPr>
            </w:pPr>
            <w:r>
              <w:rPr>
                <w:rFonts w:ascii="宋体" w:hAnsi="宋体" w:eastAsia="宋体" w:cs="宋体" w:hint="eastAsia"/>
                <w:b/>
                <w:bCs/>
                <w:szCs w:val="21"/>
              </w:rPr>
              <w:t>13</w:t>
            </w:r>
            <w:r>
              <w:rPr>
                <w:rFonts w:ascii="宋体" w:hAnsi="宋体" w:eastAsia="宋体" w:cs="宋体"/>
                <w:b/>
                <w:bCs/>
                <w:szCs w:val="21"/>
              </w:rPr>
            </w:r>
          </w:p>
        </w:tc>
        <w:tc>
          <w:tcPr>
            <w:tcW w:w="1325"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eastAsia="宋体" w:cs="宋体"/>
                <w:b/>
                <w:bCs/>
                <w:szCs w:val="21"/>
              </w:rPr>
            </w:pPr>
            <w:r>
              <w:rPr>
                <w:rFonts w:ascii="宋体" w:hAnsi="宋体" w:eastAsia="宋体" w:cs="宋体" w:hint="eastAsia"/>
                <w:bCs/>
                <w:szCs w:val="21"/>
              </w:rPr>
              <w:t>涉及职业禁忌症作业人员的健康体检证明</w:t>
            </w:r>
            <w:r>
              <w:rPr>
                <w:rFonts w:ascii="宋体" w:hAnsi="宋体" w:eastAsia="宋体" w:cs="宋体"/>
                <w:b/>
                <w:bCs/>
                <w:szCs w:val="21"/>
              </w:rPr>
            </w:r>
          </w:p>
        </w:tc>
        <w:tc>
          <w:tcPr>
            <w:tcW w:w="5059" w:type="dxa"/>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widowControl/>
              <w:rPr>
                <w:rFonts w:ascii="宋体" w:hAnsi="宋体" w:eastAsia="宋体" w:cs="宋体"/>
                <w:b/>
                <w:bCs/>
                <w:szCs w:val="21"/>
              </w:rPr>
            </w:pPr>
            <w:r>
              <w:rPr>
                <w:rFonts w:ascii="宋体" w:hAnsi="宋体" w:eastAsia="宋体" w:cs="宋体" w:hint="eastAsia"/>
                <w:bCs/>
                <w:szCs w:val="21"/>
              </w:rPr>
              <w:t>对电工、焊工等特种作业人员要提供由县级以上医院开具的体检报告原件及复印件。</w:t>
            </w:r>
            <w:r>
              <w:rPr>
                <w:rFonts w:ascii="宋体" w:hAnsi="宋体" w:eastAsia="宋体" w:cs="宋体"/>
                <w:b/>
                <w:bCs/>
                <w:szCs w:val="21"/>
              </w:rPr>
            </w:r>
          </w:p>
        </w:tc>
      </w:tr>
      <w:tr>
        <w:trPr>
          <w:trHeight w:val="1934" w:hRule="atLeast"/>
        </w:trPr>
        <w:tc>
          <w:tcPr>
            <w:tcW w:w="692"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eastAsia="宋体" w:cs="宋体"/>
                <w:b/>
                <w:bCs/>
                <w:szCs w:val="21"/>
              </w:rPr>
            </w:pPr>
            <w:r>
              <w:rPr>
                <w:rFonts w:ascii="宋体" w:hAnsi="宋体" w:eastAsia="宋体" w:cs="宋体" w:hint="eastAsia"/>
                <w:b/>
                <w:bCs/>
                <w:szCs w:val="21"/>
              </w:rPr>
              <w:t>14</w:t>
            </w:r>
            <w:r>
              <w:rPr>
                <w:rFonts w:ascii="宋体" w:hAnsi="宋体" w:eastAsia="宋体" w:cs="宋体"/>
                <w:b/>
                <w:bCs/>
                <w:szCs w:val="21"/>
              </w:rPr>
            </w:r>
          </w:p>
        </w:tc>
        <w:tc>
          <w:tcPr>
            <w:tcW w:w="1325"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eastAsia="宋体" w:cs="宋体"/>
                <w:b/>
                <w:bCs/>
                <w:szCs w:val="21"/>
              </w:rPr>
            </w:pPr>
            <w:r>
              <w:rPr>
                <w:rFonts w:ascii="宋体" w:hAnsi="宋体" w:eastAsia="宋体" w:cs="宋体" w:hint="eastAsia"/>
                <w:bCs/>
                <w:szCs w:val="21"/>
              </w:rPr>
              <w:t>涉及职业健康危害岗位人员的职业健康岗前体检证明</w:t>
            </w:r>
            <w:r>
              <w:rPr>
                <w:rFonts w:ascii="宋体" w:hAnsi="宋体" w:eastAsia="宋体" w:cs="宋体"/>
                <w:b/>
                <w:bCs/>
                <w:szCs w:val="21"/>
              </w:rPr>
            </w:r>
          </w:p>
        </w:tc>
        <w:tc>
          <w:tcPr>
            <w:tcW w:w="5059" w:type="dxa"/>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widowControl/>
              <w:rPr>
                <w:rFonts w:ascii="宋体" w:hAnsi="宋体" w:eastAsia="宋体" w:cs="宋体"/>
                <w:b/>
                <w:bCs/>
                <w:szCs w:val="21"/>
              </w:rPr>
            </w:pPr>
            <w:r>
              <w:rPr>
                <w:rFonts w:ascii="宋体" w:hAnsi="宋体" w:eastAsia="宋体" w:cs="宋体" w:hint="eastAsia"/>
                <w:bCs/>
                <w:szCs w:val="21"/>
              </w:rPr>
              <w:t>作业人员职业健康体检项目必须包含噪声、粉尘、高温项目（如作业项目确实不包含上述三项，经确认可减少），其他项目可根据实际情况进行添加。</w:t>
            </w:r>
            <w:r>
              <w:rPr>
                <w:rFonts w:ascii="宋体" w:hAnsi="宋体" w:eastAsia="宋体" w:cs="宋体"/>
                <w:b/>
                <w:bCs/>
                <w:szCs w:val="21"/>
              </w:rPr>
            </w:r>
          </w:p>
        </w:tc>
      </w:tr>
      <w:tr>
        <w:trPr>
          <w:trHeight w:val="1822" w:hRule="atLeast"/>
        </w:trPr>
        <w:tc>
          <w:tcPr>
            <w:tcW w:w="692"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eastAsia="宋体" w:cs="宋体"/>
                <w:b/>
                <w:bCs/>
                <w:szCs w:val="21"/>
              </w:rPr>
            </w:pPr>
            <w:r>
              <w:rPr>
                <w:rFonts w:ascii="宋体" w:hAnsi="宋体" w:eastAsia="宋体" w:cs="宋体" w:hint="eastAsia"/>
                <w:b/>
                <w:bCs/>
                <w:szCs w:val="21"/>
              </w:rPr>
              <w:t>15</w:t>
            </w:r>
            <w:r>
              <w:rPr>
                <w:rFonts w:ascii="宋体" w:hAnsi="宋体" w:eastAsia="宋体" w:cs="宋体"/>
                <w:b/>
                <w:bCs/>
                <w:szCs w:val="21"/>
              </w:rPr>
            </w:r>
          </w:p>
        </w:tc>
        <w:tc>
          <w:tcPr>
            <w:tcW w:w="1325"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eastAsia="宋体" w:cs="宋体"/>
                <w:b/>
                <w:bCs/>
                <w:szCs w:val="21"/>
              </w:rPr>
            </w:pPr>
            <w:r>
              <w:rPr>
                <w:rFonts w:ascii="宋体" w:hAnsi="宋体" w:eastAsia="宋体" w:cs="宋体" w:hint="eastAsia"/>
                <w:bCs/>
                <w:szCs w:val="21"/>
              </w:rPr>
              <w:t>拟进场作业人员缴纳工伤保险或人身意外伤害险证明</w:t>
            </w:r>
            <w:r>
              <w:rPr>
                <w:rFonts w:ascii="宋体" w:hAnsi="宋体" w:eastAsia="宋体" w:cs="宋体"/>
                <w:b/>
                <w:bCs/>
                <w:szCs w:val="21"/>
              </w:rPr>
            </w:r>
          </w:p>
        </w:tc>
        <w:tc>
          <w:tcPr>
            <w:tcW w:w="5059" w:type="dxa"/>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line="340" w:lineRule="exact"/>
              <w:jc w:val="left"/>
              <w:widowControl/>
              <w:rPr>
                <w:rFonts w:ascii="宋体" w:hAnsi="宋体" w:eastAsia="宋体" w:cs="宋体"/>
                <w:bCs/>
                <w:szCs w:val="21"/>
              </w:rPr>
            </w:pPr>
            <w:r>
              <w:rPr>
                <w:rFonts w:ascii="宋体" w:hAnsi="宋体" w:eastAsia="宋体" w:cs="宋体" w:hint="eastAsia"/>
                <w:bCs/>
                <w:szCs w:val="21"/>
              </w:rPr>
              <w:t>1、提供的保险证明需由社保局或保险公司提供，并有社保局或保险公司印章。</w:t>
            </w:r>
            <w:r>
              <w:rPr>
                <w:rFonts w:ascii="宋体" w:hAnsi="宋体" w:eastAsia="宋体" w:cs="宋体"/>
                <w:bCs/>
                <w:szCs w:val="21"/>
              </w:rPr>
            </w:r>
          </w:p>
          <w:p>
            <w:pPr>
              <w:spacing w:line="340" w:lineRule="exact"/>
              <w:jc w:val="left"/>
              <w:widowControl/>
              <w:rPr>
                <w:rFonts w:ascii="宋体" w:hAnsi="宋体" w:eastAsia="宋体" w:cs="宋体"/>
                <w:bCs/>
                <w:szCs w:val="21"/>
              </w:rPr>
            </w:pPr>
            <w:r>
              <w:rPr>
                <w:rFonts w:ascii="宋体" w:hAnsi="宋体" w:eastAsia="宋体" w:cs="宋体" w:hint="eastAsia"/>
                <w:bCs/>
                <w:szCs w:val="21"/>
              </w:rPr>
              <w:t>2、人身意外伤害险保额不应低于工伤保险一次性工亡补助金的额度。</w:t>
            </w:r>
            <w:r>
              <w:rPr>
                <w:rFonts w:ascii="宋体" w:hAnsi="宋体" w:eastAsia="宋体" w:cs="宋体"/>
                <w:bCs/>
                <w:szCs w:val="21"/>
              </w:rPr>
            </w:r>
          </w:p>
          <w:p>
            <w:pPr>
              <w:widowControl/>
              <w:rPr>
                <w:rFonts w:ascii="宋体" w:hAnsi="宋体" w:eastAsia="宋体" w:cs="宋体"/>
                <w:b/>
                <w:bCs/>
                <w:szCs w:val="21"/>
              </w:rPr>
            </w:pPr>
            <w:r>
              <w:rPr>
                <w:rFonts w:ascii="宋体" w:hAnsi="宋体" w:eastAsia="宋体" w:cs="宋体" w:hint="eastAsia"/>
                <w:bCs/>
                <w:szCs w:val="21"/>
              </w:rPr>
              <w:t>3、保险的范围要包括作业项目。</w:t>
            </w:r>
            <w:r>
              <w:rPr>
                <w:rFonts w:ascii="宋体" w:hAnsi="宋体" w:eastAsia="宋体" w:cs="宋体"/>
                <w:b/>
                <w:bCs/>
                <w:szCs w:val="21"/>
              </w:rPr>
            </w:r>
          </w:p>
        </w:tc>
      </w:tr>
      <w:tr>
        <w:trPr>
          <w:trHeight w:val="661" w:hRule="atLeast"/>
        </w:trPr>
        <w:tc>
          <w:tcPr>
            <w:tcW w:w="692"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eastAsia="宋体" w:cs="宋体"/>
                <w:b/>
                <w:bCs/>
                <w:szCs w:val="21"/>
              </w:rPr>
            </w:pPr>
            <w:r>
              <w:rPr>
                <w:rFonts w:ascii="宋体" w:hAnsi="宋体" w:eastAsia="宋体" w:cs="宋体" w:hint="eastAsia"/>
                <w:b/>
                <w:bCs/>
                <w:szCs w:val="21"/>
              </w:rPr>
              <w:t>16</w:t>
            </w:r>
            <w:r>
              <w:rPr>
                <w:rFonts w:ascii="宋体" w:hAnsi="宋体" w:eastAsia="宋体" w:cs="宋体"/>
                <w:b/>
                <w:bCs/>
                <w:szCs w:val="21"/>
              </w:rPr>
            </w:r>
          </w:p>
        </w:tc>
        <w:tc>
          <w:tcPr>
            <w:tcW w:w="1325"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eastAsia="宋体" w:cs="宋体"/>
                <w:b/>
                <w:bCs/>
                <w:szCs w:val="21"/>
              </w:rPr>
            </w:pPr>
            <w:r>
              <w:rPr>
                <w:rFonts w:ascii="宋体" w:hAnsi="宋体" w:eastAsia="宋体" w:cs="宋体" w:hint="eastAsia"/>
                <w:bCs/>
                <w:szCs w:val="21"/>
              </w:rPr>
              <w:t>拟进厂设备登记表</w:t>
            </w:r>
            <w:r>
              <w:rPr>
                <w:rFonts w:ascii="宋体" w:hAnsi="宋体" w:eastAsia="宋体" w:cs="宋体"/>
                <w:b/>
                <w:bCs/>
                <w:szCs w:val="21"/>
              </w:rPr>
            </w:r>
          </w:p>
        </w:tc>
        <w:tc>
          <w:tcPr>
            <w:tcW w:w="5059" w:type="dxa"/>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line="340" w:lineRule="exact"/>
              <w:jc w:val="left"/>
              <w:widowControl/>
              <w:rPr>
                <w:rFonts w:ascii="宋体" w:hAnsi="宋体" w:eastAsia="宋体" w:cs="宋体"/>
                <w:bCs/>
                <w:szCs w:val="21"/>
              </w:rPr>
            </w:pPr>
            <w:r>
              <w:rPr>
                <w:rFonts w:ascii="宋体" w:hAnsi="宋体" w:eastAsia="宋体" w:cs="宋体" w:hint="eastAsia"/>
                <w:bCs/>
                <w:szCs w:val="21"/>
              </w:rPr>
              <w:t>1、需登记设备设施包含电焊机、手持电动工具、吊车、叉车及其他车辆、吊篮、起重工具（手拉葫芦、吊索具、千斤顶等）等，保证进场的设备设施安全可靠（需提供登记设备设施实际照片）。</w:t>
            </w:r>
            <w:r>
              <w:rPr>
                <w:rFonts w:ascii="宋体" w:hAnsi="宋体" w:eastAsia="宋体" w:cs="宋体"/>
                <w:bCs/>
                <w:szCs w:val="21"/>
              </w:rPr>
            </w:r>
          </w:p>
          <w:p>
            <w:pPr>
              <w:widowControl/>
              <w:rPr>
                <w:rFonts w:ascii="宋体" w:hAnsi="宋体" w:eastAsia="宋体" w:cs="宋体"/>
                <w:b/>
                <w:bCs/>
                <w:szCs w:val="21"/>
              </w:rPr>
            </w:pPr>
            <w:r>
              <w:rPr>
                <w:rFonts w:ascii="宋体" w:hAnsi="宋体" w:eastAsia="宋体" w:cs="宋体" w:hint="eastAsia"/>
                <w:bCs/>
                <w:szCs w:val="21"/>
              </w:rPr>
              <w:t>2、特种设备使用登记证、检测报告与实际设备设施相符，复印加盖单位公章。</w:t>
            </w:r>
            <w:r>
              <w:rPr>
                <w:rFonts w:ascii="宋体" w:hAnsi="宋体" w:eastAsia="宋体" w:cs="宋体"/>
                <w:b/>
                <w:bCs/>
                <w:szCs w:val="21"/>
              </w:rPr>
            </w:r>
          </w:p>
        </w:tc>
      </w:tr>
      <w:tr>
        <w:trPr>
          <w:trHeight w:val="4554" w:hRule="atLeast"/>
        </w:trPr>
        <w:tc>
          <w:tcPr>
            <w:tcW w:w="692"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eastAsia="宋体" w:cs="宋体"/>
                <w:b/>
                <w:bCs/>
                <w:szCs w:val="21"/>
              </w:rPr>
            </w:pPr>
            <w:r>
              <w:rPr>
                <w:rFonts w:ascii="宋体" w:hAnsi="宋体" w:eastAsia="宋体" w:cs="宋体" w:hint="eastAsia"/>
                <w:b/>
                <w:bCs/>
                <w:szCs w:val="21"/>
              </w:rPr>
              <w:t>17</w:t>
            </w:r>
            <w:r>
              <w:rPr>
                <w:rFonts w:ascii="宋体" w:hAnsi="宋体" w:eastAsia="宋体" w:cs="宋体"/>
                <w:b/>
                <w:bCs/>
                <w:szCs w:val="21"/>
              </w:rPr>
            </w:r>
          </w:p>
        </w:tc>
        <w:tc>
          <w:tcPr>
            <w:tcW w:w="1325"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eastAsia="宋体" w:cs="宋体"/>
                <w:b/>
                <w:bCs/>
                <w:szCs w:val="21"/>
              </w:rPr>
            </w:pPr>
            <w:r>
              <w:rPr>
                <w:rFonts w:ascii="宋体" w:hAnsi="宋体" w:eastAsia="宋体" w:cs="宋体" w:hint="eastAsia"/>
                <w:bCs/>
                <w:szCs w:val="21"/>
              </w:rPr>
              <w:t>安全施工（作业）方案</w:t>
            </w:r>
            <w:r>
              <w:rPr>
                <w:rFonts w:ascii="宋体" w:hAnsi="宋体" w:eastAsia="宋体" w:cs="宋体"/>
                <w:b/>
                <w:bCs/>
                <w:szCs w:val="21"/>
              </w:rPr>
            </w:r>
          </w:p>
        </w:tc>
        <w:tc>
          <w:tcPr>
            <w:tcW w:w="5059" w:type="dxa"/>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line="340" w:lineRule="exact"/>
              <w:jc w:val="left"/>
              <w:widowControl/>
              <w:rPr>
                <w:rFonts w:ascii="宋体" w:hAnsi="宋体" w:eastAsia="宋体" w:cs="宋体"/>
                <w:bCs/>
                <w:szCs w:val="21"/>
              </w:rPr>
            </w:pPr>
            <w:r>
              <w:rPr>
                <w:rFonts w:ascii="宋体" w:hAnsi="宋体" w:eastAsia="宋体" w:cs="宋体" w:hint="eastAsia"/>
                <w:bCs/>
                <w:szCs w:val="21"/>
              </w:rPr>
              <w:t xml:space="preserve">1、施工方案：安全管理网络、施工方式、作业流程、技术方案措施等； </w:t>
            </w:r>
            <w:r>
              <w:rPr>
                <w:rFonts w:ascii="宋体" w:hAnsi="宋体" w:eastAsia="宋体" w:cs="宋体"/>
                <w:bCs/>
                <w:szCs w:val="21"/>
              </w:rPr>
            </w:r>
          </w:p>
          <w:p>
            <w:pPr>
              <w:spacing w:line="340" w:lineRule="exact"/>
              <w:jc w:val="left"/>
              <w:widowControl/>
              <w:rPr>
                <w:rFonts w:ascii="宋体" w:hAnsi="宋体" w:eastAsia="宋体" w:cs="宋体"/>
                <w:bCs/>
                <w:szCs w:val="21"/>
              </w:rPr>
            </w:pPr>
            <w:r>
              <w:rPr>
                <w:rFonts w:ascii="宋体" w:hAnsi="宋体" w:eastAsia="宋体" w:cs="宋体" w:hint="eastAsia"/>
                <w:bCs/>
                <w:szCs w:val="21"/>
              </w:rPr>
              <w:t>2、作业风险分析：即本次作业可能涉及的危险因素（如：噪声、粉尘、有毒物质、作业环境不良等）和事故类型（如物体打击、高处坠落、机械伤害、触电、火灾等），详见GB/T13861和GB4661，风险分析应全面具体。</w:t>
            </w:r>
            <w:r>
              <w:rPr>
                <w:rFonts w:ascii="宋体" w:hAnsi="宋体" w:eastAsia="宋体" w:cs="宋体"/>
                <w:bCs/>
                <w:szCs w:val="21"/>
              </w:rPr>
            </w:r>
          </w:p>
          <w:p>
            <w:pPr>
              <w:spacing w:line="340" w:lineRule="exact"/>
              <w:jc w:val="left"/>
              <w:widowControl/>
              <w:rPr>
                <w:rFonts w:ascii="宋体" w:hAnsi="宋体" w:eastAsia="宋体" w:cs="宋体"/>
                <w:bCs/>
                <w:szCs w:val="21"/>
              </w:rPr>
            </w:pPr>
            <w:r>
              <w:rPr>
                <w:rFonts w:ascii="宋体" w:hAnsi="宋体" w:eastAsia="宋体" w:cs="宋体" w:hint="eastAsia"/>
                <w:bCs/>
                <w:szCs w:val="21"/>
              </w:rPr>
              <w:t>3、风险防控措施：即作业风险的控制措施，为了改善安全生产环境，减少和杜绝安全生产事故的发生而采取的一系列措施和规定。如：正确佩戴安全帽、安全带等劳动防护用品、严格执行安全操作规程、临时线路按规范进行架设、现场配备灭火器、设置安全网等。</w:t>
            </w:r>
            <w:r>
              <w:rPr>
                <w:rFonts w:ascii="宋体" w:hAnsi="宋体" w:eastAsia="宋体" w:cs="宋体"/>
                <w:bCs/>
                <w:szCs w:val="21"/>
              </w:rPr>
            </w:r>
          </w:p>
          <w:p>
            <w:pPr>
              <w:widowControl/>
              <w:rPr>
                <w:rFonts w:ascii="宋体" w:hAnsi="宋体" w:eastAsia="宋体" w:cs="宋体"/>
                <w:b/>
                <w:bCs/>
                <w:szCs w:val="21"/>
              </w:rPr>
            </w:pPr>
            <w:r>
              <w:rPr>
                <w:rFonts w:ascii="宋体" w:hAnsi="宋体" w:eastAsia="宋体" w:cs="宋体" w:hint="eastAsia"/>
                <w:bCs/>
                <w:szCs w:val="21"/>
              </w:rPr>
              <w:t>4、应急处置措施：即发生事故后的应急处置措施，如何抢救伤者、如何逃离、如何扑灭初起火灾、如何进行事故报告等。</w:t>
            </w:r>
            <w:r>
              <w:rPr>
                <w:rFonts w:ascii="宋体" w:hAnsi="宋体" w:eastAsia="宋体" w:cs="宋体"/>
                <w:b/>
                <w:bCs/>
                <w:szCs w:val="21"/>
              </w:rPr>
            </w:r>
          </w:p>
        </w:tc>
      </w:tr>
      <w:tr>
        <w:trPr>
          <w:trHeight w:val="1366" w:hRule="atLeast"/>
        </w:trPr>
        <w:tc>
          <w:tcPr>
            <w:tcW w:w="692"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eastAsia="宋体" w:cs="宋体"/>
                <w:b/>
                <w:bCs/>
                <w:szCs w:val="21"/>
              </w:rPr>
            </w:pPr>
            <w:r>
              <w:rPr>
                <w:rFonts w:ascii="宋体" w:hAnsi="宋体" w:eastAsia="宋体" w:cs="宋体" w:hint="eastAsia"/>
                <w:b/>
                <w:bCs/>
                <w:szCs w:val="21"/>
              </w:rPr>
              <w:t>1</w:t>
            </w:r>
            <w:r>
              <w:rPr>
                <w:rFonts w:ascii="宋体" w:hAnsi="宋体" w:eastAsia="宋体" w:cs="宋体"/>
                <w:b/>
                <w:bCs/>
                <w:szCs w:val="21"/>
              </w:rPr>
              <w:t>8</w:t>
            </w:r>
          </w:p>
        </w:tc>
        <w:tc>
          <w:tcPr>
            <w:tcW w:w="1325"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eastAsia="宋体" w:cs="宋体"/>
                <w:bCs/>
                <w:szCs w:val="21"/>
              </w:rPr>
            </w:pPr>
            <w:r>
              <w:rPr>
                <w:rFonts w:ascii="宋体" w:hAnsi="宋体" w:eastAsia="宋体" w:cs="仿宋_GB2312" w:hint="eastAsia"/>
                <w:bCs/>
                <w:szCs w:val="21"/>
              </w:rPr>
              <w:t>视具体情况需要审查的其他有关材料</w:t>
            </w:r>
            <w:r>
              <w:rPr>
                <w:rFonts w:ascii="宋体" w:hAnsi="宋体" w:eastAsia="宋体" w:cs="宋体"/>
                <w:bCs/>
                <w:szCs w:val="21"/>
              </w:rPr>
            </w:r>
          </w:p>
        </w:tc>
        <w:tc>
          <w:tcPr>
            <w:tcW w:w="5059" w:type="dxa"/>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line="340" w:lineRule="exact"/>
              <w:jc w:val="left"/>
              <w:widowControl/>
              <w:rPr>
                <w:rFonts w:ascii="宋体" w:hAnsi="宋体" w:eastAsia="宋体" w:cs="宋体"/>
                <w:bCs/>
                <w:szCs w:val="21"/>
              </w:rPr>
            </w:pPr>
            <w:r>
              <w:rPr>
                <w:rFonts w:ascii="宋体" w:hAnsi="宋体" w:eastAsia="宋体" w:cs="宋体"/>
                <w:bCs/>
                <w:szCs w:val="21"/>
              </w:rPr>
            </w:r>
          </w:p>
        </w:tc>
      </w:tr>
    </w:tbl>
    <w:p>
      <w:pPr>
        <w:rPr>
          <w:b/>
          <w:bCs/>
          <w:sz w:val="28"/>
          <w:szCs w:val="28"/>
        </w:rPr>
      </w:pPr>
      <w:r>
        <w:rPr>
          <w:b/>
          <w:bCs/>
          <w:sz w:val="28"/>
          <w:szCs w:val="28"/>
        </w:rPr>
      </w:r>
    </w:p>
    <w:p>
      <w:pPr>
        <w:rPr>
          <w:b/>
          <w:bCs/>
          <w:sz w:val="28"/>
          <w:szCs w:val="28"/>
        </w:rPr>
      </w:pPr>
      <w:r>
        <w:rPr>
          <w:b/>
          <w:bCs/>
          <w:sz w:val="28"/>
          <w:szCs w:val="28"/>
        </w:rPr>
      </w:r>
    </w:p>
    <w:p>
      <w:pPr>
        <w:rPr>
          <w:b/>
          <w:bCs/>
          <w:sz w:val="28"/>
          <w:szCs w:val="28"/>
        </w:rPr>
      </w:pPr>
      <w:r>
        <w:rPr>
          <w:b/>
          <w:bCs/>
          <w:sz w:val="28"/>
          <w:szCs w:val="28"/>
        </w:rPr>
      </w:r>
    </w:p>
    <w:p>
      <w:pPr>
        <w:rPr>
          <w:b/>
          <w:bCs/>
          <w:sz w:val="28"/>
          <w:szCs w:val="28"/>
        </w:rPr>
      </w:pPr>
      <w:r>
        <w:rPr>
          <w:b/>
          <w:bCs/>
          <w:sz w:val="28"/>
          <w:szCs w:val="28"/>
        </w:rPr>
      </w:r>
    </w:p>
    <w:p>
      <w:pPr>
        <w:rPr>
          <w:b/>
          <w:bCs/>
          <w:sz w:val="28"/>
          <w:szCs w:val="28"/>
        </w:rPr>
      </w:pPr>
      <w:r>
        <w:rPr>
          <w:b/>
          <w:bCs/>
          <w:sz w:val="28"/>
          <w:szCs w:val="28"/>
        </w:rPr>
      </w:r>
    </w:p>
    <w:p>
      <w:pPr>
        <w:rPr>
          <w:b/>
          <w:bCs/>
          <w:sz w:val="28"/>
          <w:szCs w:val="28"/>
        </w:rPr>
      </w:pPr>
      <w:r>
        <w:rPr>
          <w:b/>
          <w:bCs/>
          <w:sz w:val="28"/>
          <w:szCs w:val="28"/>
        </w:rPr>
      </w:r>
    </w:p>
    <w:p>
      <w:pPr>
        <w:rPr>
          <w:b/>
          <w:bCs/>
          <w:sz w:val="28"/>
          <w:szCs w:val="28"/>
        </w:rPr>
      </w:pPr>
      <w:r>
        <w:rPr>
          <w:b/>
          <w:bCs/>
          <w:sz w:val="28"/>
          <w:szCs w:val="28"/>
        </w:rPr>
      </w:r>
    </w:p>
    <w:p>
      <w:pPr>
        <w:rPr>
          <w:b/>
          <w:bCs/>
          <w:sz w:val="28"/>
          <w:szCs w:val="28"/>
        </w:rPr>
      </w:pPr>
      <w:r>
        <w:rPr>
          <w:b/>
          <w:bCs/>
          <w:sz w:val="28"/>
          <w:szCs w:val="28"/>
        </w:rPr>
      </w:r>
    </w:p>
    <w:p>
      <w:pPr>
        <w:rPr>
          <w:b/>
          <w:bCs/>
          <w:sz w:val="28"/>
          <w:szCs w:val="28"/>
        </w:rPr>
      </w:pPr>
      <w:r>
        <w:rPr>
          <w:b/>
          <w:bCs/>
          <w:sz w:val="28"/>
          <w:szCs w:val="28"/>
        </w:rPr>
      </w:r>
    </w:p>
    <w:p>
      <w:pPr>
        <w:rPr>
          <w:b/>
          <w:bCs/>
          <w:sz w:val="28"/>
          <w:szCs w:val="28"/>
        </w:rPr>
      </w:pPr>
      <w:r>
        <w:rPr>
          <w:b/>
          <w:bCs/>
          <w:sz w:val="28"/>
          <w:szCs w:val="28"/>
        </w:rPr>
      </w:r>
    </w:p>
    <w:sectPr>
      <w:footnotePr>
        <w:pos w:val="pageBottom"/>
        <w:numFmt w:val="decimal"/>
        <w:numStart w:val="1"/>
        <w:numRestart w:val="continuous"/>
      </w:footnotePr>
      <w:endnotePr>
        <w:pos w:val="docEnd"/>
        <w:numFmt w:val="decimal"/>
        <w:numStart w:val="1"/>
        <w:numRestart w:val="continuous"/>
      </w:endnotePr>
      <w:type w:val="nextPage"/>
      <w:pgSz w:h="16838" w:w="11906"/>
      <w:pgMar w:left="1800" w:top="1440" w:right="1800" w:bottom="1440"/>
      <w:paperSrc w:first="0" w:other="0"/>
      <w:tmSection w:h="-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default"/>
  </w:font>
  <w:font w:name="SimSun">
    <w:panose1 w:val="02010600030101010101"/>
    <w:charset w:val="00"/>
    <w:family w:val="auto"/>
    <w:pitch w:val="default"/>
  </w:font>
  <w:font w:name="Arial">
    <w:panose1 w:val="020B0604020202020204"/>
    <w:charset w:val="01"/>
    <w:family w:val="swiss"/>
    <w:pitch w:val="default"/>
  </w:font>
  <w:font w:name="宋体">
    <w:panose1 w:val="02010600030101010101"/>
    <w:charset w:val="86"/>
    <w:family w:val="auto"/>
    <w:pitch w:val="default"/>
  </w:font>
  <w:font w:name="Wingdings">
    <w:panose1 w:val="05000000000000000000"/>
    <w:charset w:val="02"/>
    <w:family w:val="auto"/>
    <w:pitch w:val="default"/>
  </w:font>
  <w:font w:name="黑体">
    <w:panose1 w:val="02010600030101010101"/>
    <w:charset w:val="86"/>
    <w:family w:val="auto"/>
    <w:pitch w:val="default"/>
  </w:font>
  <w:font w:name="Courier New">
    <w:panose1 w:val="02070309020205020404"/>
    <w:charset w:val="01"/>
    <w:family w:val="modern"/>
    <w:pitch w:val="default"/>
  </w:font>
  <w:font w:name="Symbol">
    <w:panose1 w:val="05050102010706020507"/>
    <w:charset w:val="02"/>
    <w:family w:val="roman"/>
    <w:pitch w:val="default"/>
  </w:font>
  <w:font w:name="Calibri">
    <w:panose1 w:val="020B0604020202020204"/>
    <w:charset w:val="00"/>
    <w:family w:val="swiss"/>
    <w:pitch w:val="default"/>
  </w:font>
  <w:font w:name="等线">
    <w:panose1 w:val="02010600030101010101"/>
    <w:charset w:val="86"/>
    <w:family w:val="auto"/>
    <w:pitch w:val="default"/>
  </w:font>
  <w:font w:name="仿宋">
    <w:panose1 w:val="02010609030101010101"/>
    <w:charset w:val="86"/>
    <w:family w:val="modern"/>
    <w:pitch w:val="default"/>
  </w:font>
  <w:font w:name="仿宋_GB2312">
    <w:panose1 w:val="02010609030101010101"/>
    <w:charset w:val="86"/>
    <w:family w:val="moder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view w:val="print"/>
  <w:defaultTabStop w:val="420"/>
  <w:autoHyphenation w:val="0"/>
  <w:doNotShadeFormData w:val="0"/>
  <w:captions>
    <w:caption w:name="表格" w:pos="below" w:numFmt="decimal"/>
    <w:caption w:name="图解" w:pos="below" w:numFmt="decimal"/>
    <w:caption w:name="图片" w:pos="below" w:numFmt="decimal"/>
  </w:captions>
  <w:drawingGridHorizontalSpacing w:val="18546688"/>
  <w:drawingGridVerticalSpacing w:val="156"/>
  <w:revisionView w:comments="1" w:markup="1" w:insDel="1" w:formatting="1"/>
  <w:footnotePr>
    <w:pos w:val="pageBottom"/>
    <w:numFmt w:val="decimal"/>
    <w:numStart w:val="1"/>
    <w:numRestart w:val="continuous"/>
  </w:footnotePr>
  <w:endnotePr>
    <w:pos w:val="docEnd"/>
    <w:numFmt w:val="decimal"/>
    <w:numStart w:val="1"/>
    <w:numRestart w:val="continuous"/>
  </w:endnotePr>
  <w:compat>
    <w:doNotExpandShiftReturn w:val="1"/>
  </w:compat>
  <w:shapeDefaults>
    <o:shapedefaults v:ext="edit" spidmax="1026"/>
    <o:shapelayout v:ext="edit">
      <o:rules v:ext="edit"/>
    </o:shapelayout>
  </w:shapeDefaults>
  <w:tmPrefOne w:val="17"/>
  <w:tmPrefTwo w:val="1"/>
  <w:tmFmtPref w:val="55066091"/>
  <w:tmCommentsPr>
    <w:tmCommentsPlace w:val="0"/>
    <w:tmCommentsWidth w:val="3119"/>
    <w:tmCommentsColor w:val="-1"/>
  </w:tmCommentsPr>
  <w:tmReviewPr>
    <w:tmReviewEnabled w:val="0"/>
    <w:tmReviewShow w:val="1"/>
    <w:tmReviewPrint w:val="0"/>
    <w:tmRevisionNum w:val="10"/>
    <w:tmReviewMarkIns w:val="4"/>
    <w:tmReviewColorIns w:val="-1"/>
    <w:tmReviewMarkDel w:val="6"/>
    <w:tmReviewColorDel w:val="-1"/>
    <w:tmReviewMarkFmt w:val="1"/>
    <w:tmReviewColorFmt w:val="-1"/>
    <w:tmReviewMarkLn w:val="1"/>
    <w:tmReviewColorLn w:val="0"/>
    <w:tmReviewToolTip w:val="1"/>
  </w:tmReviewPr>
  <w:tmLastPos>
    <w:tmLastPosPage w:val="1"/>
    <w:tmLastPosSelect w:val="0"/>
    <w:tmLastPosFrameIdx w:val="75"/>
    <w:tmLastPosCaret>
      <w:tmLastPosPgfIdx w:val="0"/>
      <w:tmLastPosIdx w:val="21"/>
    </w:tmLastPosCaret>
    <w:tmLastPosAnchor>
      <w:tmLastPosPgfIdx w:val="0"/>
      <w:tmLastPosIdx w:val="0"/>
    </w:tmLastPosAnchor>
    <w:tmLastPosTblRect w:left="0" w:top="0" w:right="0" w:bottom="0"/>
    <w:tmAppRevision w:date="1639190663" w:val="694"/>
  </w:tmLastPo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hAnsi="Calibri" w:eastAsia="Calibri" w:cs="Times New Roman"/>
        <w:kern w:val="1"/>
        <w:sz w:val="21"/>
        <w:szCs w:val="24"/>
        <w:lang w:val="en-us" w:eastAsia="zh-cn" w:bidi="ar-sa"/>
      </w:rPr>
    </w:rPrDefault>
    <w:pPrDefault>
      <w:pPr>
        <w:spacing/>
        <w:jc w:val="both"/>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atentStyles>
  <w:style w:type="paragraph" w:styleId="" w:default="1">
    <w:name w:val="Normal"/>
    <w:qFormat/>
  </w:style>
  <w:style w:type="paragraph" w:styleId="">
    <w:name w:val="Footer"/>
    <w:qFormat/>
    <w:basedOn w:val=""/>
    <w:pPr>
      <w:spacing/>
      <w:jc w:val="left"/>
      <w:tabs>
        <w:tab w:val="center" w:pos="4153" w:leader="none"/>
        <w:tab w:val="right" w:pos="8306" w:leader="none"/>
      </w:tabs>
    </w:pPr>
    <w:rPr>
      <w:sz w:val="18"/>
      <w:szCs w:val="18"/>
    </w:rPr>
  </w:style>
  <w:style w:type="paragraph" w:styleId="">
    <w:name w:val="Header"/>
    <w:qFormat/>
    <w:basedOn w:val=""/>
    <w:pPr>
      <w:spacing/>
      <w:jc w:val="center"/>
      <w:tabs>
        <w:tab w:val="center" w:pos="4153" w:leader="none"/>
        <w:tab w:val="right" w:pos="8306" w:leader="none"/>
      </w:tabs>
      <w:pBdr>
        <w:top w:val="none" w:sz="0" w:space="3" w:color="000000"/>
        <w:left w:val="none" w:sz="0" w:space="3" w:color="000000"/>
        <w:bottom w:val="single" w:sz="6" w:space="1" w:color="000000"/>
        <w:right w:val="none" w:sz="0" w:space="3" w:color="000000"/>
        <w:between w:val="none" w:sz="0" w:space="0" w:color="000000"/>
      </w:pBdr>
      <w:shd w:val="none"/>
    </w:pPr>
    <w:rPr>
      <w:sz w:val="18"/>
      <w:szCs w:val="18"/>
    </w:rPr>
  </w:style>
  <w:style w:type="paragraph" w:styleId="">
    <w:name w:val="List Paragraph"/>
    <w:qFormat/>
    <w:basedOn w:val=""/>
    <w:pPr>
      <w:ind w:firstLine="420"/>
    </w:pPr>
  </w:style>
  <w:style w:type="character" w:styleId="" w:default="1">
    <w:name w:val="Default Paragraph Font"/>
    <w:rPr>
      <w:rFonts w:ascii="Times New Roman" w:hAnsi="Times New Roman" w:eastAsia="宋体"/>
      <w:kern w:val="0"/>
      <w:sz w:val="20"/>
      <w:szCs w:val="20"/>
      <w:lang w:val="en-us" w:eastAsia="zh-cn" w:bidi="ar-sa"/>
    </w:rPr>
  </w:style>
  <w:style w:type="character" w:styleId="" w:customStyle="1">
    <w:name w:val="页眉 字符"/>
    <w:basedOn w:val=""/>
    <w:rPr>
      <w:rFonts w:ascii="Calibri" w:hAnsi="Calibri" w:eastAsia="Calibri"/>
      <w:kern w:val="1"/>
      <w:sz w:val="18"/>
      <w:szCs w:val="18"/>
    </w:rPr>
  </w:style>
  <w:style w:type="character" w:styleId="" w:customStyle="1">
    <w:name w:val="页脚 字符"/>
    <w:basedOn w:val=""/>
    <w:rPr>
      <w:rFonts w:ascii="Calibri" w:hAnsi="Calibri" w:eastAsia="Calibri"/>
      <w:kern w:val="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docDefaults>
    <w:rPrDefault>
      <w:rPr>
        <w:rFonts w:ascii="Calibri" w:hAnsi="Calibri" w:eastAsia="Calibri" w:cs="Times New Roman"/>
        <w:kern w:val="1"/>
        <w:sz w:val="21"/>
        <w:szCs w:val="24"/>
        <w:lang w:val="en-us" w:eastAsia="zh-cn" w:bidi="ar-sa"/>
      </w:rPr>
    </w:rPrDefault>
    <w:pPrDefault>
      <w:pPr>
        <w:spacing/>
        <w:jc w:val="both"/>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atentStyles>
  <w:style w:type="paragraph" w:styleId="" w:default="1">
    <w:name w:val="Normal"/>
    <w:qFormat/>
  </w:style>
  <w:style w:type="paragraph" w:styleId="">
    <w:name w:val="Footer"/>
    <w:qFormat/>
    <w:basedOn w:val=""/>
    <w:pPr>
      <w:spacing/>
      <w:jc w:val="left"/>
      <w:tabs>
        <w:tab w:val="center" w:pos="4153" w:leader="none"/>
        <w:tab w:val="right" w:pos="8306" w:leader="none"/>
      </w:tabs>
    </w:pPr>
    <w:rPr>
      <w:sz w:val="18"/>
      <w:szCs w:val="18"/>
    </w:rPr>
  </w:style>
  <w:style w:type="paragraph" w:styleId="">
    <w:name w:val="Header"/>
    <w:qFormat/>
    <w:basedOn w:val=""/>
    <w:pPr>
      <w:spacing/>
      <w:jc w:val="center"/>
      <w:tabs>
        <w:tab w:val="center" w:pos="4153" w:leader="none"/>
        <w:tab w:val="right" w:pos="8306" w:leader="none"/>
      </w:tabs>
      <w:pBdr>
        <w:top w:val="none" w:sz="0" w:space="3" w:color="000000"/>
        <w:left w:val="none" w:sz="0" w:space="3" w:color="000000"/>
        <w:bottom w:val="single" w:sz="6" w:space="1" w:color="000000"/>
        <w:right w:val="none" w:sz="0" w:space="3" w:color="000000"/>
        <w:between w:val="none" w:sz="0" w:space="0" w:color="000000"/>
      </w:pBdr>
      <w:shd w:val="none"/>
    </w:pPr>
    <w:rPr>
      <w:sz w:val="18"/>
      <w:szCs w:val="18"/>
    </w:rPr>
  </w:style>
  <w:style w:type="paragraph" w:styleId="">
    <w:name w:val="List Paragraph"/>
    <w:qFormat/>
    <w:basedOn w:val=""/>
    <w:pPr>
      <w:ind w:firstLine="420"/>
    </w:pPr>
  </w:style>
  <w:style w:type="character" w:styleId="" w:default="1">
    <w:name w:val="Default Paragraph Font"/>
    <w:rPr>
      <w:rFonts w:ascii="Times New Roman" w:hAnsi="Times New Roman" w:eastAsia="宋体"/>
      <w:kern w:val="0"/>
      <w:sz w:val="20"/>
      <w:szCs w:val="20"/>
      <w:lang w:val="en-us" w:eastAsia="zh-cn" w:bidi="ar-sa"/>
    </w:rPr>
  </w:style>
  <w:style w:type="character" w:styleId="" w:customStyle="1">
    <w:name w:val="页眉 字符"/>
    <w:basedOn w:val=""/>
    <w:rPr>
      <w:rFonts w:ascii="Calibri" w:hAnsi="Calibri" w:eastAsia="Calibri"/>
      <w:kern w:val="1"/>
      <w:sz w:val="18"/>
      <w:szCs w:val="18"/>
    </w:rPr>
  </w:style>
  <w:style w:type="character" w:styleId="" w:customStyle="1">
    <w:name w:val="页脚 字符"/>
    <w:basedOn w:val=""/>
    <w:rPr>
      <w:rFonts w:ascii="Calibri" w:hAnsi="Calibri" w:eastAsia="Calibri"/>
      <w:kern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styles" Target="styles.xml"/><Relationship Id="rId6"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Calibri"/>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TextMaker 2012 rev.694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任志强</dc:creator>
  <cp:keywords/>
  <dc:description/>
  <cp:lastModifiedBy/>
  <cp:revision>10</cp:revision>
  <dcterms:created xsi:type="dcterms:W3CDTF">2021-08-11T13:44:00Z</dcterms:created>
  <dcterms:modified xsi:type="dcterms:W3CDTF">2021-12-11T10:44:23Z</dcterms:modified>
</cp:coreProperties>
</file>