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60" w:firstLineChars="700"/>
        <w:rPr>
          <w:rFonts w:hint="eastAsia" w:ascii="宋体" w:hAnsi="宋体" w:cs="宋体"/>
          <w:color w:val="FF0000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u w:val="single"/>
        </w:rPr>
        <w:t>2</w:t>
      </w:r>
      <w:r>
        <w:rPr>
          <w:rFonts w:ascii="宋体" w:hAnsi="宋体" w:cs="宋体"/>
          <w:sz w:val="28"/>
          <w:szCs w:val="28"/>
          <w:u w:val="single"/>
        </w:rPr>
        <w:t>022</w:t>
      </w:r>
      <w:r>
        <w:rPr>
          <w:rFonts w:hint="eastAsia" w:ascii="宋体" w:hAnsi="宋体" w:cs="宋体"/>
          <w:sz w:val="28"/>
          <w:szCs w:val="28"/>
          <w:u w:val="single"/>
        </w:rPr>
        <w:t>年度机械加工年度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议</w:t>
      </w:r>
      <w:r>
        <w:rPr>
          <w:rFonts w:hint="eastAsia" w:ascii="宋体" w:hAnsi="宋体" w:cs="宋体"/>
          <w:sz w:val="28"/>
          <w:szCs w:val="28"/>
          <w:u w:val="single"/>
        </w:rPr>
        <w:t>标</w:t>
      </w:r>
    </w:p>
    <w:p>
      <w:pPr>
        <w:spacing w:line="360" w:lineRule="auto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</w:t>
      </w:r>
    </w:p>
    <w:tbl>
      <w:tblPr>
        <w:tblStyle w:val="3"/>
        <w:tblW w:w="8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018"/>
        <w:gridCol w:w="1032"/>
        <w:gridCol w:w="953"/>
        <w:gridCol w:w="849"/>
        <w:gridCol w:w="850"/>
        <w:gridCol w:w="849"/>
        <w:gridCol w:w="850"/>
        <w:gridCol w:w="850"/>
        <w:gridCol w:w="1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exact"/>
          <w:jc w:val="center"/>
        </w:trPr>
        <w:tc>
          <w:tcPr>
            <w:tcW w:w="2465" w:type="dxa"/>
            <w:gridSpan w:val="3"/>
            <w:vMerge w:val="restar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629" w:line="300" w:lineRule="exact"/>
              <w:ind w:left="562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机械加工类型</w:t>
            </w:r>
          </w:p>
        </w:tc>
        <w:tc>
          <w:tcPr>
            <w:tcW w:w="6410" w:type="dxa"/>
            <w:gridSpan w:val="7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96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机械维修和加工件（成品件重量）重量及价格（元/Kg）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2465" w:type="dxa"/>
            <w:gridSpan w:val="3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53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06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30</w:t>
            </w:r>
            <w:r>
              <w:rPr>
                <w:rFonts w:ascii="宋体" w:hAnsi="宋体" w:cs="宋体"/>
                <w:spacing w:val="-5"/>
                <w:sz w:val="21"/>
                <w:szCs w:val="21"/>
              </w:rPr>
              <w:t>K</w:t>
            </w:r>
            <w:r>
              <w:rPr>
                <w:rFonts w:ascii="宋体" w:hAnsi="宋体" w:cs="宋体"/>
                <w:sz w:val="21"/>
                <w:szCs w:val="21"/>
              </w:rPr>
              <w:t>g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06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以下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05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30-100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05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Kg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06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100-30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06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0Kg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300-50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0Kg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1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500-80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1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0Kg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1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800-10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1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00Kg</w:t>
            </w:r>
          </w:p>
        </w:tc>
        <w:tc>
          <w:tcPr>
            <w:tcW w:w="1209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67" w:line="263" w:lineRule="exact"/>
              <w:ind w:left="112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1000Kg</w:t>
            </w:r>
          </w:p>
          <w:p>
            <w:pPr>
              <w:autoSpaceDE w:val="0"/>
              <w:autoSpaceDN w:val="0"/>
              <w:snapToGrid w:val="0"/>
              <w:spacing w:before="93" w:line="263" w:lineRule="exact"/>
              <w:ind w:left="112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exact"/>
          <w:jc w:val="center"/>
        </w:trPr>
        <w:tc>
          <w:tcPr>
            <w:tcW w:w="41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2503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机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械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加</w:t>
            </w:r>
          </w:p>
          <w:p>
            <w:pPr>
              <w:autoSpaceDE w:val="0"/>
              <w:autoSpaceDN w:val="0"/>
              <w:snapToGrid w:val="0"/>
              <w:spacing w:before="11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件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882" w:line="300" w:lineRule="exact"/>
              <w:ind w:left="14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普通加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26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工件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19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铸件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2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6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锻件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17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型材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44"/>
              <w:ind w:left="79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7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普通钢件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9"/>
              <w:ind w:left="82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91" w:line="312" w:lineRule="exact"/>
              <w:ind w:right="20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pacing w:val="-3"/>
                <w:sz w:val="21"/>
                <w:szCs w:val="21"/>
              </w:rPr>
              <w:t>普通</w:t>
            </w:r>
            <w:r>
              <w:rPr>
                <w:rFonts w:ascii="宋体" w:hAnsi="宋体" w:cs="宋体"/>
                <w:sz w:val="21"/>
                <w:szCs w:val="21"/>
              </w:rPr>
              <w:t>板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材加</w:t>
            </w:r>
            <w:r>
              <w:rPr>
                <w:rFonts w:ascii="宋体" w:hAnsi="宋体" w:cs="宋体"/>
                <w:sz w:val="21"/>
                <w:szCs w:val="21"/>
              </w:rPr>
              <w:t>工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61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619" w:line="312" w:lineRule="exact"/>
              <w:ind w:left="14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加工后调质处理件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3" w:line="300" w:lineRule="exact"/>
              <w:ind w:left="32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铸件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07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4" w:line="300" w:lineRule="exact"/>
              <w:ind w:left="32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锻件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6" w:line="300" w:lineRule="exact"/>
              <w:ind w:left="32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型材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00" w:lineRule="exact"/>
              <w:ind w:left="20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普通钢</w:t>
            </w:r>
          </w:p>
          <w:p>
            <w:pPr>
              <w:autoSpaceDE w:val="0"/>
              <w:autoSpaceDN w:val="0"/>
              <w:snapToGrid w:val="0"/>
              <w:spacing w:before="8" w:line="300" w:lineRule="exact"/>
              <w:ind w:left="44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41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624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机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械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修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复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108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件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24" w:line="300" w:lineRule="exact"/>
              <w:ind w:left="14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焊接修</w:t>
            </w:r>
          </w:p>
          <w:p>
            <w:pPr>
              <w:autoSpaceDE w:val="0"/>
              <w:autoSpaceDN w:val="0"/>
              <w:snapToGrid w:val="0"/>
              <w:spacing w:before="12" w:line="300" w:lineRule="exact"/>
              <w:ind w:left="38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" w:line="300" w:lineRule="exact"/>
              <w:ind w:left="20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普通焊接修复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5" w:line="300" w:lineRule="exact"/>
              <w:ind w:left="20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特殊材质修复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21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31" w:line="312" w:lineRule="exact"/>
              <w:ind w:left="147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焊接后机加工修复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6" w:line="300" w:lineRule="exact"/>
              <w:ind w:firstLine="210" w:firstLineChars="1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铸件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7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06" w:hRule="exact"/>
          <w:jc w:val="center"/>
        </w:trPr>
        <w:tc>
          <w:tcPr>
            <w:tcW w:w="41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93" w:line="300" w:lineRule="exact"/>
              <w:ind w:firstLine="210" w:firstLineChars="1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锻件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before="145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1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sz w:val="21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sz w:val="21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sz w:val="21"/>
          <w:szCs w:val="21"/>
        </w:rPr>
      </w:pPr>
    </w:p>
    <w:p>
      <w:pPr>
        <w:pStyle w:val="2"/>
        <w:rPr>
          <w:rFonts w:ascii="宋体" w:hAnsi="宋体" w:cs="宋体"/>
          <w:sz w:val="21"/>
          <w:szCs w:val="21"/>
        </w:rPr>
      </w:pPr>
    </w:p>
    <w:p>
      <w:pPr>
        <w:pStyle w:val="2"/>
        <w:rPr>
          <w:rFonts w:ascii="宋体" w:hAnsi="宋体" w:cs="宋体"/>
          <w:sz w:val="21"/>
          <w:szCs w:val="21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1"/>
          <w:szCs w:val="21"/>
        </w:rPr>
      </w:pPr>
    </w:p>
    <w:tbl>
      <w:tblPr>
        <w:tblStyle w:val="3"/>
        <w:tblW w:w="8490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045"/>
        <w:gridCol w:w="187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6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ind w:firstLine="1050" w:firstLineChars="5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重量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单价（元/吨）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液压件拆卸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1吨以内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-5</w:t>
            </w:r>
            <w:r>
              <w:rPr>
                <w:rFonts w:hint="eastAsia" w:ascii="宋体" w:hAnsi="宋体" w:cs="宋体"/>
                <w:sz w:val="21"/>
                <w:szCs w:val="21"/>
              </w:rPr>
              <w:t>吨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5吨以上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96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液压件安装</w:t>
            </w: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1吨以内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-5</w:t>
            </w:r>
            <w:r>
              <w:rPr>
                <w:rFonts w:hint="eastAsia" w:ascii="宋体" w:hAnsi="宋体" w:cs="宋体"/>
                <w:sz w:val="21"/>
                <w:szCs w:val="21"/>
              </w:rPr>
              <w:t>吨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4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5吨以上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napToGrid w:val="0"/>
              <w:spacing w:before="132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含运费</w:t>
            </w:r>
          </w:p>
        </w:tc>
      </w:tr>
    </w:tbl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备注：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1、维修和加工件重量以下是不包含该数，不标以下的包含该数；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2、单批次总价或单件维修加工总价在5万元以上的（含5万元）双方重新协商价格；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3、含增值税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税率%</w:t>
      </w:r>
      <w:r>
        <w:rPr>
          <w:rFonts w:hint="eastAsia" w:ascii="宋体" w:hAnsi="宋体" w:cs="宋体"/>
          <w:sz w:val="28"/>
          <w:szCs w:val="28"/>
          <w:lang w:eastAsia="zh-CN"/>
        </w:rPr>
        <w:t>）：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4、如有重量轻且加工工艺和特殊材质的维修和加工件，双方另行协商价格；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5、以米为计量单位的维修和加工件，以每米净重进行单价结算。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6、设备及材料运输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1）乙方负责所有材料费用和材料运输、装卸等费用。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2）乙方负责提供维修加工过程中出具维修方案并交甲方确定。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7、质量标准、验收标准和方法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1）乙方使用的材质及其性能指标必须符合国家标准要求；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2）乙方每一批产品维修加工关键环节或存在异议的环节必须通知甲方</w:t>
      </w: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现场见证达成一致意见后方可继续进行，完成后必须提供验收报告；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3）甲方有权随时对产品进行检验，必要时进行第三方检验，检验费用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由责任方承担。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4）维修服务标准进行检验，功能性维修，以恢复原有功能为准；外观</w:t>
      </w:r>
    </w:p>
    <w:p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性维修，表面应无色差、高低不平现象出现，与原有部位相比较 ，应无突凹感。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8、结算方式: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方验收合格后，双方确认后出具验收单，甲方根据合同单价、重量（检斤单或电子秤称重记录）和验收单每月经经理审定后，乙方开具全额增值税专用发票，甲方挂账后根据资金情况无息支付维修款，留10%为质保金。自施工完毕验收合格日起，12 个月后无质量问题甲方一次性支付余款。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ms Rmn" w:hAnsi="Tms Rm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乔琳宏</cp:lastModifiedBy>
  <dcterms:modified xsi:type="dcterms:W3CDTF">2021-12-21T09:08:00Z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6161B28F8A924F6EA4D0A5CB25FA7F29</vt:lpwstr>
  </property>
</Properties>
</file>