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河北金隅鼎鑫水泥有限公司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知识产权委托</w:t>
      </w:r>
      <w:r>
        <w:rPr>
          <w:rFonts w:hint="eastAsia"/>
          <w:sz w:val="30"/>
          <w:szCs w:val="30"/>
        </w:rPr>
        <w:t>代理询比价文件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一、服务范围</w:t>
      </w:r>
    </w:p>
    <w:p>
      <w:pPr>
        <w:ind w:firstLine="54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楷体_GB2312" w:asciiTheme="minorEastAsia" w:hAnsiTheme="minorEastAsia"/>
          <w:kern w:val="0"/>
          <w:sz w:val="28"/>
          <w:szCs w:val="28"/>
        </w:rPr>
        <w:t>基于此专利业务</w:t>
      </w:r>
      <w:r>
        <w:rPr>
          <w:rFonts w:hint="eastAsia" w:cs="楷体_GB2312" w:asciiTheme="minorEastAsia" w:hAnsiTheme="minorEastAsia"/>
          <w:kern w:val="0"/>
          <w:sz w:val="28"/>
          <w:szCs w:val="28"/>
          <w:lang w:val="en-US" w:eastAsia="zh-CN"/>
        </w:rPr>
        <w:t>及软件著作权申请的</w:t>
      </w:r>
      <w:r>
        <w:rPr>
          <w:rFonts w:hint="eastAsia" w:cs="楷体_GB2312" w:asciiTheme="minorEastAsia" w:hAnsiTheme="minorEastAsia"/>
          <w:kern w:val="0"/>
          <w:sz w:val="28"/>
          <w:szCs w:val="28"/>
        </w:rPr>
        <w:t>合作，将涉及鼎鑫公司的202</w:t>
      </w:r>
      <w:r>
        <w:rPr>
          <w:rFonts w:hint="eastAsia" w:cs="楷体_GB2312" w:asciiTheme="minorEastAsia" w:hAnsi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cs="楷体_GB2312" w:asciiTheme="minorEastAsia" w:hAnsiTheme="minorEastAsia"/>
          <w:kern w:val="0"/>
          <w:sz w:val="28"/>
          <w:szCs w:val="28"/>
        </w:rPr>
        <w:t>年30项左右国内实用新型专利案件</w:t>
      </w:r>
      <w:r>
        <w:rPr>
          <w:rFonts w:hint="eastAsia" w:cs="楷体_GB2312" w:asciiTheme="minorEastAsia" w:hAnsiTheme="minorEastAsia"/>
          <w:kern w:val="0"/>
          <w:sz w:val="28"/>
          <w:szCs w:val="28"/>
          <w:lang w:eastAsia="zh-CN"/>
        </w:rPr>
        <w:t>、</w:t>
      </w:r>
      <w:r>
        <w:rPr>
          <w:rFonts w:hint="eastAsia" w:cs="楷体_GB2312" w:asciiTheme="minorEastAsia" w:hAnsiTheme="minorEastAsia"/>
          <w:kern w:val="0"/>
          <w:sz w:val="28"/>
          <w:szCs w:val="28"/>
        </w:rPr>
        <w:t>2项国内发明专利案件</w:t>
      </w:r>
      <w:r>
        <w:rPr>
          <w:rFonts w:hint="eastAsia" w:cs="楷体_GB2312" w:asciiTheme="minorEastAsia" w:hAnsiTheme="minorEastAsia"/>
          <w:kern w:val="0"/>
          <w:sz w:val="28"/>
          <w:szCs w:val="28"/>
          <w:lang w:val="en-US" w:eastAsia="zh-CN"/>
        </w:rPr>
        <w:t>和软件著作权申请。</w:t>
      </w:r>
    </w:p>
    <w:p>
      <w:pPr>
        <w:spacing w:beforeLines="100" w:line="320" w:lineRule="exact"/>
        <w:rPr>
          <w:rFonts w:ascii="楷体_GB2312" w:hAnsi="Calibri" w:eastAsia="楷体_GB2312" w:cs="Times New Roman"/>
          <w:b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 w:ascii="Calibri" w:hAnsi="Calibri" w:eastAsia="宋体" w:cs="Times New Roman"/>
          <w:sz w:val="28"/>
          <w:szCs w:val="28"/>
        </w:rPr>
        <w:t>代理权限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hint="eastAsia" w:cs="楷体_GB2312" w:asciiTheme="minorEastAsia" w:hAnsiTheme="minorEastAsia"/>
          <w:sz w:val="28"/>
          <w:szCs w:val="28"/>
        </w:rPr>
        <w:t>负责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知识产权</w:t>
      </w:r>
      <w:r>
        <w:rPr>
          <w:rFonts w:hint="eastAsia" w:cs="楷体_GB2312" w:asciiTheme="minorEastAsia" w:hAnsiTheme="minorEastAsia"/>
          <w:sz w:val="28"/>
          <w:szCs w:val="28"/>
        </w:rPr>
        <w:t>代理过程中的所有程序性事务，包括：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1</w:t>
      </w:r>
      <w:r>
        <w:rPr>
          <w:rFonts w:hint="eastAsia" w:cs="楷体_GB2312" w:asciiTheme="minorEastAsia" w:hAnsiTheme="minorEastAsia"/>
          <w:sz w:val="28"/>
          <w:szCs w:val="28"/>
        </w:rPr>
        <w:t>）运用专业知识，为鼎鑫提供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知识产权</w:t>
      </w:r>
      <w:r>
        <w:rPr>
          <w:rFonts w:hint="eastAsia" w:cs="楷体_GB2312" w:asciiTheme="minorEastAsia" w:hAnsiTheme="minorEastAsia"/>
          <w:sz w:val="28"/>
          <w:szCs w:val="28"/>
        </w:rPr>
        <w:t>咨询；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2</w:t>
      </w:r>
      <w:r>
        <w:rPr>
          <w:rFonts w:hint="eastAsia" w:cs="楷体_GB2312" w:asciiTheme="minorEastAsia" w:hAnsiTheme="minorEastAsia"/>
          <w:sz w:val="28"/>
          <w:szCs w:val="28"/>
        </w:rPr>
        <w:t>）准备、撰写和修改专利申请文件；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3</w:t>
      </w:r>
      <w:r>
        <w:rPr>
          <w:rFonts w:hint="eastAsia" w:cs="楷体_GB2312" w:asciiTheme="minorEastAsia" w:hAnsiTheme="minorEastAsia"/>
          <w:sz w:val="28"/>
          <w:szCs w:val="28"/>
        </w:rPr>
        <w:t>）当鼎鑫符合国家局规定的费减条件（企业上一年度纳税额不超过100万）时，协助鼎鑫处理专利申请时的费用减缓手续；</w:t>
      </w:r>
      <w:bookmarkStart w:id="0" w:name="_GoBack"/>
      <w:bookmarkEnd w:id="0"/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hint="eastAsia"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4</w:t>
      </w:r>
      <w:r>
        <w:rPr>
          <w:rFonts w:hint="eastAsia" w:cs="楷体_GB2312" w:asciiTheme="minorEastAsia" w:hAnsiTheme="minorEastAsia"/>
          <w:sz w:val="28"/>
          <w:szCs w:val="28"/>
        </w:rPr>
        <w:t>）及时转达申请过程中的官方文件、答复审查意见；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hint="eastAsia" w:cs="楷体_GB2312" w:asciiTheme="minorEastAsia" w:hAnsiTheme="minorEastAsia"/>
          <w:sz w:val="28"/>
          <w:szCs w:val="28"/>
        </w:rPr>
        <w:t>5）对于专利申请过程中的专利申请终稿确定、递交申请、放弃或撤回专利申请、复审等其它实体性事务的处理，必须得到鼎鑫书面指示。</w:t>
      </w:r>
    </w:p>
    <w:p>
      <w:pPr>
        <w:spacing w:beforeLines="100" w:line="480" w:lineRule="auto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</w:t>
      </w:r>
      <w:r>
        <w:rPr>
          <w:rFonts w:cs="Times New Roman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b/>
          <w:sz w:val="28"/>
          <w:szCs w:val="28"/>
        </w:rPr>
        <w:t>的权利和义务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3.1</w:t>
      </w:r>
      <w:r>
        <w:rPr>
          <w:rFonts w:hint="eastAsia" w:cs="楷体_GB2312" w:asciiTheme="minorEastAsia" w:hAnsiTheme="minorEastAsia"/>
          <w:sz w:val="28"/>
          <w:szCs w:val="28"/>
        </w:rPr>
        <w:t>及时、真实、详尽的向乙方提供与专利申请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和软件著作权</w:t>
      </w:r>
      <w:r>
        <w:rPr>
          <w:rFonts w:hint="eastAsia" w:cs="楷体_GB2312" w:asciiTheme="minorEastAsia" w:hAnsiTheme="minorEastAsia"/>
          <w:sz w:val="28"/>
          <w:szCs w:val="28"/>
        </w:rPr>
        <w:t>有关的全部文件及背景资料。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3.2</w:t>
      </w:r>
      <w:r>
        <w:rPr>
          <w:rFonts w:hint="eastAsia" w:cs="楷体_GB2312" w:asciiTheme="minorEastAsia" w:hAnsiTheme="minorEastAsia"/>
          <w:sz w:val="28"/>
          <w:szCs w:val="28"/>
        </w:rPr>
        <w:t>积极配合乙方为维护鼎鑫利益而进行的与专利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和软件著作权</w:t>
      </w:r>
      <w:r>
        <w:rPr>
          <w:rFonts w:hint="eastAsia" w:cs="楷体_GB2312" w:asciiTheme="minorEastAsia" w:hAnsiTheme="minorEastAsia"/>
          <w:sz w:val="28"/>
          <w:szCs w:val="28"/>
        </w:rPr>
        <w:t>申请有关的各项工作。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sz w:val="28"/>
          <w:szCs w:val="28"/>
        </w:rPr>
      </w:pPr>
      <w:r>
        <w:rPr>
          <w:rFonts w:cs="楷体_GB2312" w:asciiTheme="minorEastAsia" w:hAnsiTheme="minorEastAsia"/>
          <w:sz w:val="28"/>
          <w:szCs w:val="28"/>
        </w:rPr>
        <w:t>3.3</w:t>
      </w:r>
      <w:r>
        <w:rPr>
          <w:rFonts w:hint="eastAsia" w:cs="楷体_GB2312" w:asciiTheme="minorEastAsia" w:hAnsiTheme="minorEastAsia"/>
          <w:sz w:val="28"/>
          <w:szCs w:val="28"/>
        </w:rPr>
        <w:t>按本协议的约定及时向乙方支付各项费用。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3.4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单位名称、地址、联系人、电话等发生变化的，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应及时通知乙方；乙方在未收到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指示的情况下，按照原有指示进行操作，由此给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造成的任何损失，责任由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自行承担。</w:t>
      </w:r>
    </w:p>
    <w:p>
      <w:pPr>
        <w:autoSpaceDE w:val="0"/>
        <w:autoSpaceDN w:val="0"/>
        <w:spacing w:line="480" w:lineRule="auto"/>
        <w:ind w:firstLine="560" w:firstLineChars="200"/>
        <w:jc w:val="left"/>
        <w:rPr>
          <w:rFonts w:cs="楷体_GB2312" w:asciiTheme="minorEastAsia" w:hAnsiTheme="minorEastAsia"/>
          <w:color w:val="000000"/>
          <w:sz w:val="28"/>
          <w:szCs w:val="28"/>
        </w:rPr>
      </w:pPr>
      <w:r>
        <w:rPr>
          <w:rFonts w:cs="Times New Roman" w:asciiTheme="minorEastAsia" w:hAnsiTheme="minorEastAsia"/>
          <w:color w:val="000000"/>
          <w:sz w:val="28"/>
          <w:szCs w:val="28"/>
        </w:rPr>
        <w:t>3.5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为了便于双方专利申请时的操作，</w:t>
      </w:r>
      <w:r>
        <w:rPr>
          <w:rFonts w:hint="eastAsia" w:asciiTheme="minorEastAsia" w:hAnsiTheme="minorEastAsia"/>
          <w:color w:val="000000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提供委托书给乙方。</w:t>
      </w:r>
    </w:p>
    <w:p>
      <w:pPr>
        <w:spacing w:beforeLines="100" w:line="480" w:lineRule="auto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</w:t>
      </w:r>
      <w:r>
        <w:rPr>
          <w:rFonts w:cs="Times New Roman" w:asciiTheme="minorEastAsia" w:hAnsiTheme="minorEastAsia"/>
          <w:b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b/>
          <w:sz w:val="28"/>
          <w:szCs w:val="28"/>
        </w:rPr>
        <w:t>乙方的权利和义务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4.1</w:t>
      </w:r>
      <w:r>
        <w:rPr>
          <w:rFonts w:hint="eastAsia" w:cs="Times New Roman" w:asciiTheme="minorEastAsia" w:hAnsiTheme="minorEastAsia"/>
          <w:sz w:val="28"/>
          <w:szCs w:val="28"/>
        </w:rPr>
        <w:t>乙方对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提供的拟申请专利技术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软件著作权</w:t>
      </w:r>
      <w:r>
        <w:rPr>
          <w:rFonts w:hint="eastAsia" w:cs="Times New Roman" w:asciiTheme="minorEastAsia" w:hAnsiTheme="minorEastAsia"/>
          <w:sz w:val="28"/>
          <w:szCs w:val="28"/>
        </w:rPr>
        <w:t>或涉及的技术秘密，负有保密义务。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4.2</w:t>
      </w:r>
      <w:r>
        <w:rPr>
          <w:rFonts w:hint="eastAsia" w:cs="Times New Roman" w:asciiTheme="minorEastAsia" w:hAnsiTheme="minorEastAsia"/>
          <w:sz w:val="28"/>
          <w:szCs w:val="28"/>
        </w:rPr>
        <w:t>乙方须亲自处理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委托事项，未经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书面同意，不得转委托给第三方。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4.3</w:t>
      </w:r>
      <w:r>
        <w:rPr>
          <w:rFonts w:hint="eastAsia" w:cs="Times New Roman" w:asciiTheme="minorEastAsia" w:hAnsiTheme="minorEastAsia"/>
          <w:sz w:val="28"/>
          <w:szCs w:val="28"/>
        </w:rPr>
        <w:t>乙方在接受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提供的专利申请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cs="楷体_GB2312" w:asciiTheme="minorEastAsia" w:hAnsiTheme="minorEastAsia"/>
          <w:sz w:val="28"/>
          <w:szCs w:val="28"/>
          <w:lang w:val="en-US" w:eastAsia="zh-CN"/>
        </w:rPr>
        <w:t>软件著作权</w:t>
      </w:r>
      <w:r>
        <w:rPr>
          <w:rFonts w:hint="eastAsia" w:cs="Times New Roman" w:asciiTheme="minorEastAsia" w:hAnsiTheme="minorEastAsia"/>
          <w:sz w:val="28"/>
          <w:szCs w:val="28"/>
        </w:rPr>
        <w:t>文件的技术交底资料后，在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规定时间内确认技术交底资料是否完备；确认技术交底资料完毕后，乙方应视具体案件情况，完成有关申请文件的撰写，并将所撰写的专利申请文件电邮至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确认和修改，在甲乙双方达成一致后，乙方应在收到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明确的递交指示以后向中国国家知识产权局递交申请，递交申请后，乙方应将所有交局文件通过</w:t>
      </w:r>
      <w:r>
        <w:rPr>
          <w:rFonts w:cs="Times New Roman" w:asciiTheme="minorEastAsia" w:hAnsiTheme="minorEastAsia"/>
          <w:sz w:val="28"/>
          <w:szCs w:val="28"/>
        </w:rPr>
        <w:t>email</w:t>
      </w:r>
      <w:r>
        <w:rPr>
          <w:rFonts w:hint="eastAsia" w:cs="Times New Roman" w:asciiTheme="minorEastAsia" w:hAnsiTheme="minorEastAsia"/>
          <w:sz w:val="28"/>
          <w:szCs w:val="28"/>
        </w:rPr>
        <w:t>方式发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存档；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须保证在202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年1月15日前将30项实用新型专利技术交底提交至乙方，则乙方在202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年12月31日前提交给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不少于17项国家专利局授予的实用新型专利授权通知书。若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未在202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年1月15日内交全实用新型专利技术交底，则乙方在202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年12月31日前交至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的实用新型专利授权通知书为17项减去未在规定期限内提交技术交底的专利数量。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4.4 乙方应通过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委托代理人以邮件形式的正式委托接受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委托，不得接受其他形式的个人委托。未经委托代理人授权的委托，</w:t>
      </w:r>
      <w:r>
        <w:rPr>
          <w:rFonts w:hint="eastAsia" w:asciiTheme="minorEastAsia" w:hAnsiTheme="minorEastAsia"/>
          <w:sz w:val="28"/>
          <w:szCs w:val="28"/>
        </w:rPr>
        <w:t>鼎鑫</w:t>
      </w:r>
      <w:r>
        <w:rPr>
          <w:rFonts w:hint="eastAsia" w:cs="Times New Roman" w:asciiTheme="minorEastAsia" w:hAnsiTheme="minorEastAsia"/>
          <w:sz w:val="28"/>
          <w:szCs w:val="28"/>
        </w:rPr>
        <w:t>不予认可。</w:t>
      </w:r>
    </w:p>
    <w:p>
      <w:pPr>
        <w:spacing w:beforeLines="100" w:line="480" w:lineRule="auto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r>
        <w:rPr>
          <w:rFonts w:cs="Times New Roman" w:asciiTheme="minorEastAsia" w:hAnsiTheme="minorEastAsia"/>
          <w:b/>
          <w:sz w:val="28"/>
          <w:szCs w:val="28"/>
        </w:rPr>
        <w:t xml:space="preserve"> </w:t>
      </w:r>
      <w:r>
        <w:rPr>
          <w:rFonts w:hint="eastAsia" w:cs="Times New Roman" w:asciiTheme="minorEastAsia" w:hAnsiTheme="minorEastAsia"/>
          <w:b/>
          <w:sz w:val="28"/>
          <w:szCs w:val="28"/>
        </w:rPr>
        <w:t>费用及支付方式</w:t>
      </w:r>
    </w:p>
    <w:p>
      <w:pPr>
        <w:snapToGrid w:val="0"/>
        <w:spacing w:line="48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</w:t>
      </w:r>
      <w:r>
        <w:rPr>
          <w:rFonts w:cs="Times New Roman" w:asciiTheme="minorEastAsia" w:hAnsiTheme="minorEastAsia"/>
          <w:sz w:val="28"/>
          <w:szCs w:val="28"/>
        </w:rPr>
        <w:t xml:space="preserve">5.1 </w:t>
      </w:r>
      <w:r>
        <w:rPr>
          <w:rFonts w:hint="eastAsia" w:cs="Times New Roman" w:asciiTheme="minorEastAsia" w:hAnsiTheme="minorEastAsia"/>
          <w:sz w:val="28"/>
          <w:szCs w:val="28"/>
        </w:rPr>
        <w:t>费用金额约定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实用新型专利申请，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cs="Times New Roman" w:asciiTheme="minorEastAsia" w:hAnsiTheme="minorEastAsia"/>
          <w:sz w:val="28"/>
          <w:szCs w:val="28"/>
        </w:rPr>
        <w:t>元/项（包括代理费、申请费及年印费，申请费及年印费按原价收取）。30项实用新型专利申请总金额为：</w:t>
      </w:r>
      <w:r>
        <w:rPr>
          <w:rFonts w:hint="eastAsia" w:asciiTheme="minorEastAsia" w:hAnsiTheme="minorEastAsia"/>
          <w:sz w:val="28"/>
          <w:szCs w:val="28"/>
        </w:rPr>
        <w:t xml:space="preserve">       ——</w:t>
      </w:r>
      <w:r>
        <w:rPr>
          <w:rFonts w:hint="eastAsia" w:cs="Times New Roman" w:asciiTheme="minorEastAsia" w:hAnsiTheme="minorEastAsia"/>
          <w:sz w:val="28"/>
          <w:szCs w:val="28"/>
        </w:rPr>
        <w:t>元/项×30项=</w:t>
      </w:r>
      <w:r>
        <w:rPr>
          <w:rFonts w:hint="eastAsia" w:asciiTheme="minorEastAsia" w:hAnsiTheme="minorEastAsia"/>
          <w:sz w:val="28"/>
          <w:szCs w:val="28"/>
        </w:rPr>
        <w:t>——</w:t>
      </w:r>
      <w:r>
        <w:rPr>
          <w:rFonts w:hint="eastAsia" w:cs="Times New Roman" w:asciiTheme="minorEastAsia" w:hAnsiTheme="minorEastAsia"/>
          <w:sz w:val="28"/>
          <w:szCs w:val="28"/>
        </w:rPr>
        <w:t>元。（大写：</w:t>
      </w:r>
      <w:r>
        <w:rPr>
          <w:rFonts w:hint="eastAsia" w:asciiTheme="minorEastAsia" w:hAnsiTheme="minorEastAsia"/>
          <w:sz w:val="28"/>
          <w:szCs w:val="28"/>
        </w:rPr>
        <w:t>——</w:t>
      </w:r>
      <w:r>
        <w:rPr>
          <w:rFonts w:hint="eastAsia" w:cs="Times New Roman" w:asciiTheme="minorEastAsia" w:hAnsiTheme="minorEastAsia"/>
          <w:sz w:val="28"/>
          <w:szCs w:val="28"/>
        </w:rPr>
        <w:t>）。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发明专利申请，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元/项（包括代理费、申请费、实审费、公布印刷费及年印费，申请费、实审费、公布印刷费及年印费按原价收取）。2项发明专利申请总金额为：</w:t>
      </w:r>
      <w:r>
        <w:rPr>
          <w:rFonts w:hint="eastAsia" w:asciiTheme="minorEastAsia" w:hAnsiTheme="minorEastAsia"/>
          <w:sz w:val="28"/>
          <w:szCs w:val="28"/>
        </w:rPr>
        <w:t xml:space="preserve"> ——</w:t>
      </w:r>
      <w:r>
        <w:rPr>
          <w:rFonts w:hint="eastAsia" w:cs="Times New Roman" w:asciiTheme="minorEastAsia" w:hAnsiTheme="minorEastAsia"/>
          <w:sz w:val="28"/>
          <w:szCs w:val="28"/>
        </w:rPr>
        <w:t>元/项×2项=</w:t>
      </w:r>
      <w:r>
        <w:rPr>
          <w:rFonts w:hint="eastAsia" w:asciiTheme="minorEastAsia" w:hAnsiTheme="minorEastAsia"/>
          <w:sz w:val="28"/>
          <w:szCs w:val="28"/>
        </w:rPr>
        <w:t>——</w:t>
      </w:r>
      <w:r>
        <w:rPr>
          <w:rFonts w:hint="eastAsia" w:cs="Times New Roman" w:asciiTheme="minorEastAsia" w:hAnsiTheme="minorEastAsia"/>
          <w:sz w:val="28"/>
          <w:szCs w:val="28"/>
        </w:rPr>
        <w:t>元。（大写：</w:t>
      </w:r>
      <w:r>
        <w:rPr>
          <w:rFonts w:hint="eastAsia" w:asciiTheme="minorEastAsia" w:hAnsiTheme="minorEastAsia"/>
          <w:sz w:val="28"/>
          <w:szCs w:val="28"/>
        </w:rPr>
        <w:t>——</w:t>
      </w:r>
      <w:r>
        <w:rPr>
          <w:rFonts w:hint="eastAsia" w:cs="Times New Roman" w:asciiTheme="minorEastAsia" w:hAnsiTheme="minorEastAsia"/>
          <w:sz w:val="28"/>
          <w:szCs w:val="28"/>
        </w:rPr>
        <w:t>）。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软件著作权申请，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cs="Times New Roman" w:asciiTheme="minorEastAsia" w:hAnsiTheme="minorEastAsia"/>
          <w:sz w:val="28"/>
          <w:szCs w:val="28"/>
        </w:rPr>
        <w:t>元/项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Times New Roman" w:asciiTheme="minorEastAsia" w:hAnsiTheme="minorEastAsia"/>
          <w:sz w:val="28"/>
          <w:szCs w:val="28"/>
        </w:rPr>
        <w:t>包括代理费、申请费及年印费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）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5.2</w:t>
      </w:r>
      <w:r>
        <w:rPr>
          <w:rFonts w:hint="eastAsia" w:cs="Times New Roman" w:asciiTheme="minorEastAsia" w:hAnsiTheme="minorEastAsia"/>
          <w:sz w:val="28"/>
          <w:szCs w:val="28"/>
        </w:rPr>
        <w:t>支付方式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于本合同签订后，</w:t>
      </w:r>
      <w:r>
        <w:rPr>
          <w:rFonts w:hint="eastAsia" w:cs="Times New Roman" w:asciiTheme="minorEastAsia" w:hAnsiTheme="minorEastAsia"/>
          <w:color w:val="333333"/>
          <w:sz w:val="28"/>
          <w:szCs w:val="28"/>
        </w:rPr>
        <w:t>乙方向甲方出具合法的发票,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甲方应自收到发票之日起15日内，向乙方支付本协议总金额的30%，即：（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元+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元）×30%=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元（大写：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元整）。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实用新型专利，于所有案件均获得国家知识产权局的授权通知/驳回通知后，7日内统一结算。结算时，</w:t>
      </w:r>
      <w:r>
        <w:rPr>
          <w:rFonts w:hint="eastAsia" w:cs="Times New Roman" w:asciiTheme="minorEastAsia" w:hAnsiTheme="minorEastAsia"/>
          <w:color w:val="333333"/>
          <w:sz w:val="28"/>
          <w:szCs w:val="28"/>
        </w:rPr>
        <w:t>乙方向甲方开具合法专用增值税发票（税率3%）后，甲方</w:t>
      </w:r>
      <w:r>
        <w:rPr>
          <w:rFonts w:hint="eastAsia" w:cs="Times New Roman" w:asciiTheme="minorEastAsia" w:hAnsiTheme="minorEastAsia"/>
          <w:sz w:val="28"/>
          <w:szCs w:val="28"/>
        </w:rPr>
        <w:t>向乙方支付所取得实用新型专利证书总金额去除首付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元的尾款。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发明专利尾款，于两项发明专利申请获得国家知识产权局的授权通知/驳回通知之日起，7日内统一结算。结算时，</w:t>
      </w:r>
      <w:r>
        <w:rPr>
          <w:rFonts w:hint="eastAsia" w:cs="Times New Roman" w:asciiTheme="minorEastAsia" w:hAnsiTheme="minorEastAsia"/>
          <w:color w:val="333333"/>
          <w:sz w:val="28"/>
          <w:szCs w:val="28"/>
        </w:rPr>
        <w:t>乙方向甲方开具合法专用增值税发票（税率3%）后，甲方</w:t>
      </w:r>
      <w:r>
        <w:rPr>
          <w:rFonts w:hint="eastAsia" w:cs="Times New Roman" w:asciiTheme="minorEastAsia" w:hAnsiTheme="minorEastAsia"/>
          <w:sz w:val="28"/>
          <w:szCs w:val="28"/>
        </w:rPr>
        <w:t>向乙方支付所取得发明专利证书总金额去除首付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8"/>
          <w:szCs w:val="28"/>
        </w:rPr>
        <w:t>元的尾款；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软件著作权申请，</w:t>
      </w:r>
      <w:r>
        <w:rPr>
          <w:rFonts w:hint="eastAsia" w:cs="Times New Roman" w:asciiTheme="minorEastAsia" w:hAnsiTheme="minorEastAsia"/>
          <w:sz w:val="28"/>
          <w:szCs w:val="28"/>
        </w:rPr>
        <w:t>所有案件获得国家知识产权局的授权通知/驳回通知之日起，7日内统一结算。结算时，</w:t>
      </w:r>
      <w:r>
        <w:rPr>
          <w:rFonts w:hint="eastAsia" w:cs="Times New Roman" w:asciiTheme="minorEastAsia" w:hAnsiTheme="minorEastAsia"/>
          <w:color w:val="333333"/>
          <w:sz w:val="28"/>
          <w:szCs w:val="28"/>
        </w:rPr>
        <w:t>乙方向甲方开具合法专用增值税发票（税率3%）后</w:t>
      </w:r>
      <w:r>
        <w:rPr>
          <w:rFonts w:hint="eastAsia" w:cs="Times New Roman" w:asciiTheme="minorEastAsia" w:hAnsiTheme="minorEastAsia"/>
          <w:color w:val="333333"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color w:val="333333"/>
          <w:sz w:val="28"/>
          <w:szCs w:val="28"/>
        </w:rPr>
        <w:t>甲方</w:t>
      </w:r>
      <w:r>
        <w:rPr>
          <w:rFonts w:hint="eastAsia" w:cs="Times New Roman" w:asciiTheme="minorEastAsia" w:hAnsiTheme="minorEastAsia"/>
          <w:sz w:val="28"/>
          <w:szCs w:val="28"/>
        </w:rPr>
        <w:t>向乙方支付所取得证书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个数据实结算。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5.3发票形式</w:t>
      </w:r>
    </w:p>
    <w:p>
      <w:pPr>
        <w:snapToGrid w:val="0"/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乙方出具符合甲方财务要求的3%增值税专用发票。</w:t>
      </w:r>
    </w:p>
    <w:p>
      <w:pPr>
        <w:snapToGrid w:val="0"/>
        <w:spacing w:line="480" w:lineRule="auto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5.4账户信息</w:t>
      </w:r>
    </w:p>
    <w:p>
      <w:pPr>
        <w:snapToGrid w:val="0"/>
        <w:spacing w:line="480" w:lineRule="auto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甲乙双方约定，</w:t>
      </w:r>
      <w:r>
        <w:rPr>
          <w:rFonts w:hint="eastAsia" w:cs="Times New Roman" w:asciiTheme="minorEastAsia" w:hAnsiTheme="minorEastAsia"/>
          <w:b/>
          <w:bCs/>
          <w:sz w:val="28"/>
          <w:szCs w:val="28"/>
          <w:u w:val="single"/>
        </w:rPr>
        <w:t>甲方采用电汇或银行承兑方式支付有关费用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。</w:t>
      </w:r>
    </w:p>
    <w:p>
      <w:pPr>
        <w:spacing w:line="48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68F"/>
    <w:rsid w:val="00013152"/>
    <w:rsid w:val="002A74AB"/>
    <w:rsid w:val="0036468F"/>
    <w:rsid w:val="00621778"/>
    <w:rsid w:val="006336FA"/>
    <w:rsid w:val="0066659D"/>
    <w:rsid w:val="008107A8"/>
    <w:rsid w:val="00A431B5"/>
    <w:rsid w:val="00B32F20"/>
    <w:rsid w:val="00B96E83"/>
    <w:rsid w:val="00B97EB4"/>
    <w:rsid w:val="00D169FF"/>
    <w:rsid w:val="00D47504"/>
    <w:rsid w:val="00E03219"/>
    <w:rsid w:val="146164AE"/>
    <w:rsid w:val="28987366"/>
    <w:rsid w:val="633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A9C65-F25F-4DCC-A44E-CDC295DE0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1398</Characters>
  <Lines>11</Lines>
  <Paragraphs>3</Paragraphs>
  <TotalTime>5</TotalTime>
  <ScaleCrop>false</ScaleCrop>
  <LinksUpToDate>false</LinksUpToDate>
  <CharactersWithSpaces>1640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2020-10-19T01:35:00Z</dcterms:created>
  <dc:creator>只艳芳</dc:creator>
  <cp:lastModifiedBy>奇点</cp:lastModifiedBy>
  <dcterms:modified xsi:type="dcterms:W3CDTF">2021-11-19T08:17:28Z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