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olor w:val="000000" w:themeColor="text1"/>
          <w:sz w:val="24"/>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p>
    <w:p>
      <w:pPr>
        <w:spacing w:line="360" w:lineRule="auto"/>
        <w:rPr>
          <w:rFonts w:ascii="宋体" w:hAnsi="宋体"/>
          <w:color w:val="000000" w:themeColor="text1"/>
          <w:sz w:val="24"/>
          <w14:textFill>
            <w14:solidFill>
              <w14:schemeClr w14:val="tx1"/>
            </w14:solidFill>
          </w14:textFill>
        </w:rPr>
      </w:pPr>
    </w:p>
    <w:p>
      <w:pPr>
        <w:pStyle w:val="11"/>
        <w:spacing w:before="360" w:line="360" w:lineRule="auto"/>
        <w:jc w:val="center"/>
        <w:rPr>
          <w:rFonts w:ascii="黑体" w:hAnsi="黑体" w:eastAsia="黑体"/>
          <w:color w:val="000000" w:themeColor="text1"/>
          <w:sz w:val="52"/>
          <w:szCs w:val="52"/>
          <w:lang w:val="en-US"/>
          <w14:textFill>
            <w14:solidFill>
              <w14:schemeClr w14:val="tx1"/>
            </w14:solidFill>
          </w14:textFill>
        </w:rPr>
      </w:pPr>
      <w:r>
        <w:rPr>
          <w:rFonts w:ascii="黑体" w:hAnsi="黑体" w:eastAsia="黑体"/>
          <w:color w:val="000000" w:themeColor="text1"/>
          <w:sz w:val="52"/>
          <w:szCs w:val="52"/>
          <w:lang w:val="en-US"/>
          <w14:textFill>
            <w14:solidFill>
              <w14:schemeClr w14:val="tx1"/>
            </w14:solidFill>
          </w14:textFill>
        </w:rPr>
        <w:t>天津</w:t>
      </w:r>
      <w:r>
        <w:rPr>
          <w:rFonts w:hint="eastAsia" w:ascii="黑体" w:hAnsi="黑体" w:eastAsia="黑体"/>
          <w:color w:val="000000" w:themeColor="text1"/>
          <w:sz w:val="52"/>
          <w:szCs w:val="52"/>
          <w:lang w:val="en-US"/>
          <w14:textFill>
            <w14:solidFill>
              <w14:schemeClr w14:val="tx1"/>
            </w14:solidFill>
          </w14:textFill>
        </w:rPr>
        <w:t>金隅振兴环保科技</w:t>
      </w:r>
      <w:r>
        <w:rPr>
          <w:rFonts w:ascii="黑体" w:hAnsi="黑体" w:eastAsia="黑体"/>
          <w:color w:val="000000" w:themeColor="text1"/>
          <w:sz w:val="52"/>
          <w:szCs w:val="52"/>
          <w:lang w:val="en-US"/>
          <w14:textFill>
            <w14:solidFill>
              <w14:schemeClr w14:val="tx1"/>
            </w14:solidFill>
          </w14:textFill>
        </w:rPr>
        <w:t>有限公司</w:t>
      </w:r>
    </w:p>
    <w:p>
      <w:pPr>
        <w:spacing w:line="360" w:lineRule="auto"/>
        <w:jc w:val="center"/>
        <w:rPr>
          <w:rFonts w:ascii="黑体" w:hAnsi="黑体" w:eastAsia="黑体"/>
          <w:sz w:val="52"/>
          <w:szCs w:val="52"/>
        </w:rPr>
      </w:pPr>
      <w:r>
        <w:rPr>
          <w:rFonts w:hint="eastAsia" w:ascii="黑体" w:hAnsi="黑体" w:eastAsia="黑体"/>
          <w:sz w:val="52"/>
          <w:szCs w:val="52"/>
        </w:rPr>
        <w:t>水泥包装袋</w:t>
      </w:r>
    </w:p>
    <w:p>
      <w:pPr>
        <w:spacing w:line="360" w:lineRule="auto"/>
        <w:jc w:val="center"/>
        <w:rPr>
          <w:rFonts w:ascii="黑体" w:hAnsi="黑体" w:eastAsia="黑体"/>
          <w:color w:val="000000" w:themeColor="text1"/>
          <w:sz w:val="48"/>
          <w:szCs w:val="48"/>
          <w14:textFill>
            <w14:solidFill>
              <w14:schemeClr w14:val="tx1"/>
            </w14:solidFill>
          </w14:textFill>
        </w:rPr>
      </w:pPr>
      <w:r>
        <w:rPr>
          <w:rFonts w:hint="eastAsia" w:ascii="黑体" w:hAnsi="黑体" w:eastAsia="黑体"/>
          <w:color w:val="000000" w:themeColor="text1"/>
          <w:sz w:val="48"/>
          <w:szCs w:val="48"/>
          <w14:textFill>
            <w14:solidFill>
              <w14:schemeClr w14:val="tx1"/>
            </w14:solidFill>
          </w14:textFill>
        </w:rPr>
        <w:t>竞 价 文 件</w:t>
      </w: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hint="eastAsia"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0"/>
          <w:szCs w:val="40"/>
          <w14:textFill>
            <w14:solidFill>
              <w14:schemeClr w14:val="tx1"/>
            </w14:solidFill>
          </w14:textFill>
        </w:rPr>
      </w:pPr>
    </w:p>
    <w:p>
      <w:pPr>
        <w:spacing w:line="360" w:lineRule="auto"/>
        <w:rPr>
          <w:rFonts w:hint="eastAsia" w:ascii="黑体" w:hAnsi="黑体" w:eastAsia="黑体"/>
          <w:color w:val="000000" w:themeColor="text1"/>
          <w:sz w:val="40"/>
          <w:szCs w:val="40"/>
          <w14:textFill>
            <w14:solidFill>
              <w14:schemeClr w14:val="tx1"/>
            </w14:solidFill>
          </w14:textFill>
        </w:rPr>
      </w:pPr>
    </w:p>
    <w:p>
      <w:pPr>
        <w:spacing w:line="360" w:lineRule="auto"/>
        <w:rPr>
          <w:rFonts w:ascii="黑体" w:hAnsi="黑体" w:eastAsia="黑体"/>
          <w:color w:val="000000" w:themeColor="text1"/>
          <w:sz w:val="44"/>
          <w:szCs w:val="44"/>
          <w14:textFill>
            <w14:solidFill>
              <w14:schemeClr w14:val="tx1"/>
            </w14:solidFill>
          </w14:textFill>
        </w:rPr>
      </w:pPr>
    </w:p>
    <w:p>
      <w:pPr>
        <w:spacing w:line="360" w:lineRule="auto"/>
        <w:jc w:val="center"/>
        <w:rPr>
          <w:rFonts w:ascii="黑体" w:hAnsi="黑体" w:eastAsia="黑体"/>
          <w:color w:val="000000" w:themeColor="text1"/>
          <w:sz w:val="40"/>
          <w:szCs w:val="40"/>
          <w14:textFill>
            <w14:solidFill>
              <w14:schemeClr w14:val="tx1"/>
            </w14:solidFill>
          </w14:textFill>
        </w:rPr>
      </w:pPr>
      <w:r>
        <w:rPr>
          <w:rFonts w:hint="eastAsia" w:ascii="黑体" w:hAnsi="黑体" w:eastAsia="黑体"/>
          <w:color w:val="000000" w:themeColor="text1"/>
          <w:sz w:val="40"/>
          <w:szCs w:val="40"/>
          <w14:textFill>
            <w14:solidFill>
              <w14:schemeClr w14:val="tx1"/>
            </w14:solidFill>
          </w14:textFill>
        </w:rPr>
        <w:t>天津金隅振兴环保科技有限公司</w:t>
      </w:r>
    </w:p>
    <w:p>
      <w:pPr>
        <w:spacing w:line="360" w:lineRule="auto"/>
        <w:jc w:val="center"/>
        <w:rPr>
          <w:rFonts w:ascii="黑体" w:hAnsi="黑体" w:eastAsia="黑体"/>
          <w:color w:val="000000" w:themeColor="text1"/>
          <w:sz w:val="40"/>
          <w:szCs w:val="40"/>
          <w14:textFill>
            <w14:solidFill>
              <w14:schemeClr w14:val="tx1"/>
            </w14:solidFill>
          </w14:textFill>
        </w:rPr>
        <w:sectPr>
          <w:footerReference r:id="rId3" w:type="default"/>
          <w:pgSz w:w="11906" w:h="16838"/>
          <w:pgMar w:top="969" w:right="1466" w:bottom="975" w:left="1701" w:header="1134" w:footer="1134" w:gutter="0"/>
          <w:pgNumType w:start="1"/>
          <w:cols w:space="720" w:num="1"/>
          <w:docGrid w:type="lines" w:linePitch="312" w:charSpace="0"/>
        </w:sectPr>
      </w:pPr>
      <w:r>
        <w:rPr>
          <w:rFonts w:hint="eastAsia" w:ascii="黑体" w:hAnsi="黑体" w:eastAsia="黑体"/>
          <w:color w:val="000000" w:themeColor="text1"/>
          <w:sz w:val="40"/>
          <w:szCs w:val="40"/>
          <w14:textFill>
            <w14:solidFill>
              <w14:schemeClr w14:val="tx1"/>
            </w14:solidFill>
          </w14:textFill>
        </w:rPr>
        <w:t>202</w:t>
      </w:r>
      <w:r>
        <w:rPr>
          <w:rFonts w:ascii="黑体" w:hAnsi="黑体" w:eastAsia="黑体"/>
          <w:color w:val="000000" w:themeColor="text1"/>
          <w:sz w:val="40"/>
          <w:szCs w:val="40"/>
          <w14:textFill>
            <w14:solidFill>
              <w14:schemeClr w14:val="tx1"/>
            </w14:solidFill>
          </w14:textFill>
        </w:rPr>
        <w:t>1</w:t>
      </w:r>
      <w:r>
        <w:rPr>
          <w:rFonts w:hint="eastAsia" w:ascii="黑体" w:hAnsi="黑体" w:eastAsia="黑体"/>
          <w:color w:val="000000" w:themeColor="text1"/>
          <w:sz w:val="40"/>
          <w:szCs w:val="40"/>
          <w14:textFill>
            <w14:solidFill>
              <w14:schemeClr w14:val="tx1"/>
            </w14:solidFill>
          </w14:textFill>
        </w:rPr>
        <w:t>年</w:t>
      </w:r>
      <w:r>
        <w:rPr>
          <w:rFonts w:hint="eastAsia" w:ascii="黑体" w:hAnsi="黑体" w:eastAsia="黑体"/>
          <w:color w:val="000000" w:themeColor="text1"/>
          <w:sz w:val="40"/>
          <w:szCs w:val="40"/>
          <w:lang w:val="en-US" w:eastAsia="zh-CN"/>
          <w14:textFill>
            <w14:solidFill>
              <w14:schemeClr w14:val="tx1"/>
            </w14:solidFill>
          </w14:textFill>
        </w:rPr>
        <w:t>9</w:t>
      </w:r>
      <w:r>
        <w:rPr>
          <w:rFonts w:hint="eastAsia" w:ascii="黑体" w:hAnsi="黑体" w:eastAsia="黑体"/>
          <w:color w:val="000000" w:themeColor="text1"/>
          <w:sz w:val="40"/>
          <w:szCs w:val="40"/>
          <w14:textFill>
            <w14:solidFill>
              <w14:schemeClr w14:val="tx1"/>
            </w14:solidFill>
          </w14:textFill>
        </w:rPr>
        <w:t>月</w:t>
      </w:r>
      <w:r>
        <w:rPr>
          <w:rFonts w:hint="eastAsia" w:ascii="黑体" w:hAnsi="黑体" w:eastAsia="黑体"/>
          <w:color w:val="000000" w:themeColor="text1"/>
          <w:sz w:val="40"/>
          <w:szCs w:val="40"/>
          <w:lang w:val="en-US" w:eastAsia="zh-CN"/>
          <w14:textFill>
            <w14:solidFill>
              <w14:schemeClr w14:val="tx1"/>
            </w14:solidFill>
          </w14:textFill>
        </w:rPr>
        <w:t>10</w:t>
      </w:r>
      <w:r>
        <w:rPr>
          <w:rFonts w:hint="eastAsia" w:ascii="黑体" w:hAnsi="黑体" w:eastAsia="黑体"/>
          <w:color w:val="000000" w:themeColor="text1"/>
          <w:sz w:val="40"/>
          <w:szCs w:val="40"/>
          <w14:textFill>
            <w14:solidFill>
              <w14:schemeClr w14:val="tx1"/>
            </w14:solidFill>
          </w14:textFill>
        </w:rPr>
        <w:t>日</w:t>
      </w:r>
    </w:p>
    <w:p>
      <w:pPr>
        <w:spacing w:line="360" w:lineRule="auto"/>
        <w:jc w:val="center"/>
        <w:rPr>
          <w:rFonts w:ascii="宋体" w:hAnsi="宋体"/>
          <w:color w:val="000000" w:themeColor="text1"/>
          <w:sz w:val="24"/>
          <w14:textFill>
            <w14:solidFill>
              <w14:schemeClr w14:val="tx1"/>
            </w14:solidFill>
          </w14:textFill>
        </w:rPr>
      </w:pPr>
    </w:p>
    <w:sdt>
      <w:sdtPr>
        <w:rPr>
          <w:lang w:val="zh-CN"/>
        </w:rPr>
        <w:id w:val="1369116532"/>
        <w:docPartObj>
          <w:docPartGallery w:val="Table of Contents"/>
          <w:docPartUnique/>
        </w:docPartObj>
      </w:sdtPr>
      <w:sdtEndPr>
        <w:rPr>
          <w:kern w:val="2"/>
          <w:sz w:val="21"/>
          <w:szCs w:val="24"/>
          <w:lang w:val="zh-CN"/>
        </w:rPr>
      </w:sdtEndPr>
      <w:sdtContent>
        <w:p>
          <w:pPr>
            <w:pStyle w:val="40"/>
            <w:jc w:val="center"/>
          </w:pPr>
          <w:r>
            <w:rPr>
              <w:lang w:val="zh-CN"/>
            </w:rPr>
            <w:t>目录</w:t>
          </w:r>
        </w:p>
        <w:p>
          <w:pPr>
            <w:pStyle w:val="15"/>
            <w:rPr>
              <w:rFonts w:eastAsiaTheme="minorEastAsia" w:cstheme="minorBidi"/>
              <w:kern w:val="2"/>
              <w:sz w:val="21"/>
            </w:rPr>
          </w:pPr>
          <w:r>
            <w:fldChar w:fldCharType="begin"/>
          </w:r>
          <w:r>
            <w:instrText xml:space="preserve"> TOC \o "1-3" \h \z \u </w:instrText>
          </w:r>
          <w:r>
            <w:fldChar w:fldCharType="separate"/>
          </w:r>
          <w:r>
            <w:fldChar w:fldCharType="begin"/>
          </w:r>
          <w:r>
            <w:instrText xml:space="preserve"> HYPERLINK \l "_Toc75176449" </w:instrText>
          </w:r>
          <w:r>
            <w:fldChar w:fldCharType="separate"/>
          </w:r>
          <w:r>
            <w:rPr>
              <w:rStyle w:val="21"/>
            </w:rPr>
            <w:t>一、竞价须知</w:t>
          </w:r>
          <w:r>
            <w:tab/>
          </w:r>
          <w:r>
            <w:fldChar w:fldCharType="begin"/>
          </w:r>
          <w:r>
            <w:instrText xml:space="preserve"> PAGEREF _Toc75176449 \h </w:instrText>
          </w:r>
          <w:r>
            <w:fldChar w:fldCharType="separate"/>
          </w:r>
          <w:r>
            <w:t>1</w:t>
          </w:r>
          <w:r>
            <w:fldChar w:fldCharType="end"/>
          </w:r>
          <w:r>
            <w:fldChar w:fldCharType="end"/>
          </w:r>
        </w:p>
        <w:p>
          <w:pPr>
            <w:pStyle w:val="15"/>
            <w:rPr>
              <w:rFonts w:eastAsiaTheme="minorEastAsia" w:cstheme="minorBidi"/>
              <w:kern w:val="2"/>
              <w:sz w:val="21"/>
            </w:rPr>
          </w:pPr>
          <w:r>
            <w:fldChar w:fldCharType="begin"/>
          </w:r>
          <w:r>
            <w:instrText xml:space="preserve"> HYPERLINK \l "_Toc75176450" </w:instrText>
          </w:r>
          <w:r>
            <w:fldChar w:fldCharType="separate"/>
          </w:r>
          <w:r>
            <w:rPr>
              <w:rStyle w:val="21"/>
            </w:rPr>
            <w:t>二、竞价内容</w:t>
          </w:r>
          <w:r>
            <w:tab/>
          </w:r>
          <w:r>
            <w:fldChar w:fldCharType="begin"/>
          </w:r>
          <w:r>
            <w:instrText xml:space="preserve"> PAGEREF _Toc75176450 \h </w:instrText>
          </w:r>
          <w:r>
            <w:fldChar w:fldCharType="separate"/>
          </w:r>
          <w:r>
            <w:t>1</w:t>
          </w:r>
          <w:r>
            <w:fldChar w:fldCharType="end"/>
          </w:r>
          <w:r>
            <w:fldChar w:fldCharType="end"/>
          </w:r>
        </w:p>
        <w:p>
          <w:pPr>
            <w:pStyle w:val="15"/>
            <w:rPr>
              <w:rFonts w:eastAsiaTheme="minorEastAsia" w:cstheme="minorBidi"/>
              <w:kern w:val="2"/>
              <w:sz w:val="21"/>
            </w:rPr>
          </w:pPr>
          <w:r>
            <w:fldChar w:fldCharType="begin"/>
          </w:r>
          <w:r>
            <w:instrText xml:space="preserve"> HYPERLINK \l "_Toc75176451" </w:instrText>
          </w:r>
          <w:r>
            <w:fldChar w:fldCharType="separate"/>
          </w:r>
          <w:r>
            <w:rPr>
              <w:rStyle w:val="21"/>
            </w:rPr>
            <w:t>三、竞价要求</w:t>
          </w:r>
          <w:r>
            <w:tab/>
          </w:r>
          <w:r>
            <w:fldChar w:fldCharType="begin"/>
          </w:r>
          <w:r>
            <w:instrText xml:space="preserve"> PAGEREF _Toc75176451 \h </w:instrText>
          </w:r>
          <w:r>
            <w:fldChar w:fldCharType="separate"/>
          </w:r>
          <w:r>
            <w:t>1</w:t>
          </w:r>
          <w:r>
            <w:fldChar w:fldCharType="end"/>
          </w:r>
          <w:r>
            <w:fldChar w:fldCharType="end"/>
          </w:r>
        </w:p>
        <w:p>
          <w:pPr>
            <w:pStyle w:val="15"/>
            <w:rPr>
              <w:rFonts w:eastAsiaTheme="minorEastAsia" w:cstheme="minorBidi"/>
              <w:kern w:val="2"/>
              <w:sz w:val="21"/>
            </w:rPr>
          </w:pPr>
          <w:r>
            <w:fldChar w:fldCharType="begin"/>
          </w:r>
          <w:r>
            <w:instrText xml:space="preserve"> HYPERLINK \l "_Toc75176452" </w:instrText>
          </w:r>
          <w:r>
            <w:fldChar w:fldCharType="separate"/>
          </w:r>
          <w:r>
            <w:rPr>
              <w:rStyle w:val="21"/>
            </w:rPr>
            <w:t>四、报价要求</w:t>
          </w:r>
          <w:r>
            <w:tab/>
          </w:r>
          <w:r>
            <w:fldChar w:fldCharType="begin"/>
          </w:r>
          <w:r>
            <w:instrText xml:space="preserve"> PAGEREF _Toc75176452 \h </w:instrText>
          </w:r>
          <w:r>
            <w:fldChar w:fldCharType="separate"/>
          </w:r>
          <w:r>
            <w:t>2</w:t>
          </w:r>
          <w:r>
            <w:fldChar w:fldCharType="end"/>
          </w:r>
          <w:r>
            <w:fldChar w:fldCharType="end"/>
          </w:r>
        </w:p>
        <w:p>
          <w:pPr>
            <w:pStyle w:val="15"/>
            <w:rPr>
              <w:rFonts w:eastAsiaTheme="minorEastAsia" w:cstheme="minorBidi"/>
              <w:kern w:val="2"/>
              <w:sz w:val="21"/>
            </w:rPr>
          </w:pPr>
          <w:r>
            <w:fldChar w:fldCharType="begin"/>
          </w:r>
          <w:r>
            <w:instrText xml:space="preserve"> HYPERLINK \l "_Toc75176453" </w:instrText>
          </w:r>
          <w:r>
            <w:fldChar w:fldCharType="separate"/>
          </w:r>
          <w:r>
            <w:rPr>
              <w:rStyle w:val="21"/>
            </w:rPr>
            <w:t>五、拟签订合同条款</w:t>
          </w:r>
          <w:r>
            <w:tab/>
          </w:r>
          <w:r>
            <w:fldChar w:fldCharType="begin"/>
          </w:r>
          <w:r>
            <w:instrText xml:space="preserve"> PAGEREF _Toc75176453 \h </w:instrText>
          </w:r>
          <w:r>
            <w:fldChar w:fldCharType="separate"/>
          </w:r>
          <w:r>
            <w:t>2</w:t>
          </w:r>
          <w:r>
            <w:fldChar w:fldCharType="end"/>
          </w:r>
          <w:r>
            <w:fldChar w:fldCharType="end"/>
          </w:r>
        </w:p>
        <w:p>
          <w:r>
            <w:rPr>
              <w:rFonts w:asciiTheme="minorHAnsi" w:hAnsiTheme="minorHAnsi"/>
              <w:kern w:val="0"/>
              <w:sz w:val="24"/>
              <w:szCs w:val="22"/>
            </w:rPr>
            <w:fldChar w:fldCharType="end"/>
          </w:r>
        </w:p>
      </w:sdtContent>
    </w:sdt>
    <w:p>
      <w:pPr>
        <w:widowControl/>
        <w:spacing w:line="360" w:lineRule="auto"/>
        <w:jc w:val="left"/>
        <w:rPr>
          <w:rFonts w:ascii="宋体" w:hAnsi="宋体"/>
          <w:color w:val="000000" w:themeColor="text1"/>
          <w:sz w:val="24"/>
          <w14:textFill>
            <w14:solidFill>
              <w14:schemeClr w14:val="tx1"/>
            </w14:solidFill>
          </w14:textFill>
        </w:rPr>
        <w:sectPr>
          <w:footerReference r:id="rId4" w:type="default"/>
          <w:pgSz w:w="11906" w:h="16838"/>
          <w:pgMar w:top="969" w:right="1466" w:bottom="975" w:left="1701" w:header="1134" w:footer="1134" w:gutter="0"/>
          <w:pgNumType w:start="1"/>
          <w:cols w:space="720" w:num="1"/>
          <w:docGrid w:type="lines" w:linePitch="312" w:charSpace="0"/>
        </w:sectPr>
      </w:pPr>
      <w:r>
        <w:rPr>
          <w:rFonts w:ascii="宋体" w:hAnsi="宋体"/>
          <w:color w:val="000000" w:themeColor="text1"/>
          <w:sz w:val="24"/>
          <w14:textFill>
            <w14:solidFill>
              <w14:schemeClr w14:val="tx1"/>
            </w14:solidFill>
          </w14:textFill>
        </w:rPr>
        <w:br w:type="page"/>
      </w:r>
    </w:p>
    <w:p>
      <w:pPr>
        <w:pStyle w:val="2"/>
        <w:spacing w:line="480" w:lineRule="exact"/>
      </w:pPr>
      <w:bookmarkStart w:id="0" w:name="_Toc75176449"/>
      <w:bookmarkStart w:id="1" w:name="_Toc54685363"/>
      <w:bookmarkStart w:id="2" w:name="_Toc54603432"/>
      <w:bookmarkStart w:id="3" w:name="_Toc54603369"/>
      <w:r>
        <w:rPr>
          <w:rFonts w:hint="eastAsia"/>
        </w:rPr>
        <w:t>一、竞价须知</w:t>
      </w:r>
      <w:bookmarkEnd w:id="0"/>
    </w:p>
    <w:tbl>
      <w:tblPr>
        <w:tblStyle w:val="17"/>
        <w:tblpPr w:leftFromText="180" w:rightFromText="180" w:vertAnchor="text" w:horzAnchor="margin" w:tblpY="2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
        <w:gridCol w:w="2490"/>
        <w:gridCol w:w="5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b/>
                <w:sz w:val="24"/>
              </w:rPr>
            </w:pPr>
            <w:r>
              <w:rPr>
                <w:rFonts w:hint="eastAsia" w:ascii="宋体" w:hAnsi="宋体"/>
                <w:b/>
                <w:sz w:val="24"/>
              </w:rPr>
              <w:t>序号</w:t>
            </w:r>
          </w:p>
        </w:tc>
        <w:tc>
          <w:tcPr>
            <w:tcW w:w="1391" w:type="pct"/>
            <w:vAlign w:val="center"/>
          </w:tcPr>
          <w:p>
            <w:pPr>
              <w:tabs>
                <w:tab w:val="left" w:pos="1620"/>
              </w:tabs>
              <w:spacing w:line="480" w:lineRule="exact"/>
              <w:jc w:val="center"/>
              <w:rPr>
                <w:rFonts w:ascii="宋体" w:hAnsi="宋体"/>
                <w:b/>
                <w:sz w:val="24"/>
              </w:rPr>
            </w:pPr>
            <w:r>
              <w:rPr>
                <w:rFonts w:hint="eastAsia" w:ascii="宋体" w:hAnsi="宋体"/>
                <w:b/>
                <w:sz w:val="24"/>
              </w:rPr>
              <w:t>项    目</w:t>
            </w:r>
          </w:p>
        </w:tc>
        <w:tc>
          <w:tcPr>
            <w:tcW w:w="3145" w:type="pct"/>
            <w:vAlign w:val="center"/>
          </w:tcPr>
          <w:p>
            <w:pPr>
              <w:tabs>
                <w:tab w:val="left" w:pos="1620"/>
              </w:tabs>
              <w:spacing w:line="480" w:lineRule="exact"/>
              <w:jc w:val="center"/>
              <w:rPr>
                <w:rFonts w:ascii="宋体" w:hAnsi="宋体"/>
                <w:b/>
                <w:sz w:val="24"/>
              </w:rPr>
            </w:pPr>
            <w:r>
              <w:rPr>
                <w:rFonts w:hint="eastAsia" w:ascii="宋体" w:hAnsi="宋体"/>
                <w:b/>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sz w:val="24"/>
              </w:rPr>
            </w:pPr>
            <w:r>
              <w:rPr>
                <w:rFonts w:hint="eastAsia" w:ascii="宋体" w:hAnsi="宋体"/>
                <w:sz w:val="24"/>
              </w:rPr>
              <w:t>1</w:t>
            </w:r>
          </w:p>
        </w:tc>
        <w:tc>
          <w:tcPr>
            <w:tcW w:w="1391" w:type="pct"/>
            <w:vAlign w:val="center"/>
          </w:tcPr>
          <w:p>
            <w:pPr>
              <w:tabs>
                <w:tab w:val="left" w:pos="1620"/>
              </w:tabs>
              <w:spacing w:line="480" w:lineRule="exact"/>
              <w:jc w:val="center"/>
              <w:rPr>
                <w:rFonts w:ascii="宋体" w:hAnsi="宋体"/>
                <w:sz w:val="24"/>
              </w:rPr>
            </w:pPr>
            <w:r>
              <w:rPr>
                <w:rFonts w:hint="eastAsia" w:ascii="宋体" w:hAnsi="宋体"/>
                <w:sz w:val="24"/>
              </w:rPr>
              <w:t>招标人名称</w:t>
            </w:r>
          </w:p>
        </w:tc>
        <w:tc>
          <w:tcPr>
            <w:tcW w:w="3145" w:type="pct"/>
            <w:vAlign w:val="center"/>
          </w:tcPr>
          <w:p>
            <w:pPr>
              <w:tabs>
                <w:tab w:val="left" w:pos="1620"/>
              </w:tabs>
              <w:spacing w:line="480" w:lineRule="exact"/>
              <w:rPr>
                <w:rFonts w:ascii="宋体" w:hAnsi="宋体"/>
                <w:sz w:val="24"/>
              </w:rPr>
            </w:pPr>
            <w:r>
              <w:rPr>
                <w:rFonts w:ascii="宋体" w:hAnsi="宋体"/>
                <w:sz w:val="24"/>
              </w:rPr>
              <w:t>天津</w:t>
            </w:r>
            <w:r>
              <w:rPr>
                <w:rFonts w:hint="eastAsia" w:ascii="宋体" w:hAnsi="宋体"/>
                <w:sz w:val="24"/>
              </w:rPr>
              <w:t>金隅振兴环保科技</w:t>
            </w:r>
            <w:r>
              <w:rPr>
                <w:rFonts w:ascii="宋体" w:hAnsi="宋体"/>
                <w:sz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sz w:val="24"/>
              </w:rPr>
            </w:pPr>
            <w:r>
              <w:rPr>
                <w:rFonts w:hint="eastAsia" w:ascii="宋体" w:hAnsi="宋体"/>
                <w:sz w:val="24"/>
              </w:rPr>
              <w:t>2</w:t>
            </w:r>
          </w:p>
        </w:tc>
        <w:tc>
          <w:tcPr>
            <w:tcW w:w="1391" w:type="pct"/>
            <w:vAlign w:val="center"/>
          </w:tcPr>
          <w:p>
            <w:pPr>
              <w:tabs>
                <w:tab w:val="left" w:pos="1620"/>
              </w:tabs>
              <w:spacing w:line="480" w:lineRule="exact"/>
              <w:jc w:val="center"/>
              <w:rPr>
                <w:rFonts w:ascii="宋体" w:hAnsi="宋体"/>
                <w:sz w:val="24"/>
              </w:rPr>
            </w:pPr>
            <w:r>
              <w:rPr>
                <w:rFonts w:hint="eastAsia" w:ascii="宋体" w:hAnsi="宋体"/>
                <w:sz w:val="24"/>
                <w:lang w:eastAsia="zh-CN"/>
              </w:rPr>
              <w:t>标的</w:t>
            </w:r>
            <w:r>
              <w:rPr>
                <w:rFonts w:hint="eastAsia" w:ascii="宋体" w:hAnsi="宋体"/>
                <w:sz w:val="24"/>
              </w:rPr>
              <w:t>名称</w:t>
            </w:r>
          </w:p>
        </w:tc>
        <w:tc>
          <w:tcPr>
            <w:tcW w:w="3145" w:type="pct"/>
            <w:vAlign w:val="center"/>
          </w:tcPr>
          <w:p>
            <w:pPr>
              <w:tabs>
                <w:tab w:val="left" w:pos="1620"/>
              </w:tabs>
              <w:spacing w:line="480" w:lineRule="exact"/>
              <w:rPr>
                <w:rFonts w:hint="eastAsia" w:ascii="宋体" w:hAnsi="宋体" w:eastAsia="宋体"/>
                <w:sz w:val="24"/>
                <w:lang w:eastAsia="zh-CN"/>
              </w:rPr>
            </w:pPr>
            <w:r>
              <w:rPr>
                <w:rFonts w:hint="eastAsia" w:ascii="宋体" w:hAnsi="宋体"/>
                <w:sz w:val="24"/>
              </w:rPr>
              <w:t>水泥包装袋</w:t>
            </w:r>
            <w:r>
              <w:rPr>
                <w:rFonts w:hint="eastAsia" w:ascii="宋体" w:hAnsi="宋体"/>
                <w:sz w:val="24"/>
                <w:lang w:eastAsia="zh-CN"/>
              </w:rPr>
              <w:t>（</w:t>
            </w:r>
            <w:r>
              <w:rPr>
                <w:rFonts w:hint="eastAsia" w:ascii="宋体" w:hAnsi="宋体"/>
                <w:sz w:val="24"/>
                <w:lang w:val="en-US" w:eastAsia="zh-CN"/>
              </w:rPr>
              <w:t>糊底袋</w:t>
            </w:r>
            <w:r>
              <w:rPr>
                <w:rFonts w:hint="eastAsia" w:ascii="宋体" w:hAnsi="宋体"/>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sz w:val="24"/>
              </w:rPr>
            </w:pPr>
            <w:r>
              <w:rPr>
                <w:rFonts w:hint="eastAsia" w:ascii="宋体" w:hAnsi="宋体"/>
                <w:sz w:val="24"/>
              </w:rPr>
              <w:t>3</w:t>
            </w:r>
          </w:p>
        </w:tc>
        <w:tc>
          <w:tcPr>
            <w:tcW w:w="1391" w:type="pct"/>
            <w:vAlign w:val="center"/>
          </w:tcPr>
          <w:p>
            <w:pPr>
              <w:tabs>
                <w:tab w:val="left" w:pos="1620"/>
              </w:tabs>
              <w:spacing w:line="480" w:lineRule="exact"/>
              <w:jc w:val="center"/>
              <w:rPr>
                <w:rFonts w:ascii="宋体" w:hAnsi="宋体"/>
                <w:sz w:val="24"/>
              </w:rPr>
            </w:pPr>
            <w:r>
              <w:rPr>
                <w:rFonts w:hint="eastAsia" w:ascii="宋体" w:hAnsi="宋体"/>
                <w:sz w:val="24"/>
              </w:rPr>
              <w:t>交货地点</w:t>
            </w:r>
          </w:p>
        </w:tc>
        <w:tc>
          <w:tcPr>
            <w:tcW w:w="3145" w:type="pct"/>
            <w:vAlign w:val="center"/>
          </w:tcPr>
          <w:p>
            <w:pPr>
              <w:tabs>
                <w:tab w:val="left" w:pos="1620"/>
              </w:tabs>
              <w:spacing w:line="480" w:lineRule="exact"/>
              <w:rPr>
                <w:rFonts w:hint="eastAsia" w:ascii="宋体" w:hAnsi="宋体"/>
                <w:sz w:val="24"/>
              </w:rPr>
            </w:pPr>
            <w:r>
              <w:rPr>
                <w:rFonts w:ascii="宋体" w:hAnsi="宋体"/>
                <w:sz w:val="24"/>
              </w:rPr>
              <w:t>天津</w:t>
            </w:r>
            <w:r>
              <w:rPr>
                <w:rFonts w:hint="eastAsia" w:ascii="宋体" w:hAnsi="宋体"/>
                <w:sz w:val="24"/>
              </w:rPr>
              <w:t>金隅振兴环保科技</w:t>
            </w:r>
            <w:r>
              <w:rPr>
                <w:rFonts w:ascii="宋体" w:hAnsi="宋体"/>
                <w:sz w:val="24"/>
              </w:rPr>
              <w:t>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hint="eastAsia" w:ascii="宋体" w:hAnsi="宋体"/>
                <w:sz w:val="24"/>
              </w:rPr>
            </w:pPr>
            <w:r>
              <w:rPr>
                <w:rFonts w:hint="eastAsia" w:ascii="宋体" w:hAnsi="宋体"/>
                <w:sz w:val="24"/>
              </w:rPr>
              <w:t>4</w:t>
            </w:r>
          </w:p>
        </w:tc>
        <w:tc>
          <w:tcPr>
            <w:tcW w:w="1391" w:type="pct"/>
            <w:vAlign w:val="center"/>
          </w:tcPr>
          <w:p>
            <w:pPr>
              <w:tabs>
                <w:tab w:val="left" w:pos="1620"/>
              </w:tabs>
              <w:spacing w:line="480" w:lineRule="exact"/>
              <w:jc w:val="center"/>
              <w:rPr>
                <w:rFonts w:hint="eastAsia" w:ascii="宋体" w:hAnsi="宋体"/>
                <w:sz w:val="24"/>
              </w:rPr>
            </w:pPr>
            <w:r>
              <w:rPr>
                <w:rFonts w:hint="eastAsia" w:ascii="宋体" w:hAnsi="宋体"/>
                <w:sz w:val="24"/>
              </w:rPr>
              <w:t>交货期</w:t>
            </w:r>
          </w:p>
        </w:tc>
        <w:tc>
          <w:tcPr>
            <w:tcW w:w="3145" w:type="pct"/>
            <w:vAlign w:val="center"/>
          </w:tcPr>
          <w:p>
            <w:pPr>
              <w:tabs>
                <w:tab w:val="left" w:pos="1620"/>
              </w:tabs>
              <w:spacing w:line="480" w:lineRule="exact"/>
              <w:rPr>
                <w:rFonts w:hint="default" w:ascii="宋体" w:hAnsi="宋体" w:eastAsia="宋体"/>
                <w:sz w:val="24"/>
                <w:lang w:val="en-US" w:eastAsia="zh-CN"/>
              </w:rPr>
            </w:pPr>
            <w:r>
              <w:rPr>
                <w:rFonts w:hint="eastAsia" w:ascii="宋体" w:hAnsi="宋体"/>
                <w:sz w:val="24"/>
                <w:lang w:eastAsia="zh-CN"/>
              </w:rPr>
              <w:t>签订合同之日至</w:t>
            </w:r>
            <w:r>
              <w:rPr>
                <w:rFonts w:hint="eastAsia" w:ascii="宋体" w:hAnsi="宋体"/>
                <w:sz w:val="24"/>
                <w:lang w:val="en-US" w:eastAsia="zh-CN"/>
              </w:rPr>
              <w:t>2022年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hint="eastAsia" w:ascii="宋体" w:hAnsi="宋体"/>
                <w:sz w:val="24"/>
              </w:rPr>
            </w:pPr>
            <w:r>
              <w:rPr>
                <w:rFonts w:hint="eastAsia" w:ascii="宋体" w:hAnsi="宋体"/>
                <w:sz w:val="24"/>
              </w:rPr>
              <w:t>5</w:t>
            </w:r>
          </w:p>
        </w:tc>
        <w:tc>
          <w:tcPr>
            <w:tcW w:w="1391" w:type="pct"/>
            <w:vAlign w:val="center"/>
          </w:tcPr>
          <w:p>
            <w:pPr>
              <w:tabs>
                <w:tab w:val="left" w:pos="1620"/>
              </w:tabs>
              <w:spacing w:line="480" w:lineRule="exact"/>
              <w:jc w:val="center"/>
              <w:rPr>
                <w:rFonts w:hint="eastAsia" w:ascii="宋体" w:hAnsi="宋体"/>
                <w:sz w:val="24"/>
              </w:rPr>
            </w:pPr>
            <w:r>
              <w:rPr>
                <w:rFonts w:hint="eastAsia" w:ascii="宋体" w:hAnsi="宋体"/>
                <w:sz w:val="24"/>
              </w:rPr>
              <w:t>质量要求</w:t>
            </w:r>
          </w:p>
        </w:tc>
        <w:tc>
          <w:tcPr>
            <w:tcW w:w="3145" w:type="pct"/>
            <w:vAlign w:val="center"/>
          </w:tcPr>
          <w:p>
            <w:pPr>
              <w:spacing w:before="156" w:beforeLines="50" w:line="360" w:lineRule="auto"/>
              <w:rPr>
                <w:rFonts w:ascii="宋体" w:hAnsi="宋体"/>
                <w:sz w:val="24"/>
              </w:rPr>
            </w:pPr>
            <w:r>
              <w:rPr>
                <w:rFonts w:hint="eastAsia" w:ascii="宋体" w:hAnsi="宋体"/>
                <w:bCs/>
                <w:kern w:val="0"/>
                <w:sz w:val="24"/>
              </w:rPr>
              <w:t>执行水泥包装袋（GB9774-20</w:t>
            </w:r>
            <w:r>
              <w:rPr>
                <w:rFonts w:hint="eastAsia" w:ascii="宋体" w:hAnsi="宋体"/>
                <w:bCs/>
                <w:kern w:val="0"/>
                <w:sz w:val="24"/>
                <w:lang w:val="en-US" w:eastAsia="zh-CN"/>
              </w:rPr>
              <w:t>20</w:t>
            </w:r>
            <w:r>
              <w:rPr>
                <w:rFonts w:hint="eastAsia" w:ascii="宋体" w:hAnsi="宋体"/>
                <w:bCs/>
                <w:kern w:val="0"/>
                <w:sz w:val="24"/>
              </w:rPr>
              <w:t>）标准</w:t>
            </w:r>
            <w:r>
              <w:rPr>
                <w:rFonts w:hint="eastAsia" w:ascii="宋体" w:hAnsi="宋体"/>
                <w:bCs/>
                <w:kern w:val="0"/>
                <w:sz w:val="24"/>
                <w:lang w:eastAsia="zh-CN"/>
              </w:rPr>
              <w:t>及</w:t>
            </w:r>
            <w:r>
              <w:rPr>
                <w:rFonts w:hint="eastAsia" w:ascii="宋体" w:hAnsi="宋体"/>
                <w:bCs/>
                <w:kern w:val="0"/>
                <w:sz w:val="24"/>
                <w:lang w:val="en-US" w:eastAsia="zh-CN"/>
              </w:rPr>
              <w:t>我</w:t>
            </w:r>
            <w:r>
              <w:rPr>
                <w:rFonts w:hint="eastAsia" w:ascii="宋体" w:hAnsi="宋体"/>
                <w:bCs/>
                <w:kern w:val="0"/>
                <w:sz w:val="24"/>
                <w:lang w:eastAsia="zh-CN"/>
              </w:rPr>
              <w:t>方质量要求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sz w:val="24"/>
              </w:rPr>
            </w:pPr>
            <w:r>
              <w:rPr>
                <w:rFonts w:ascii="宋体" w:hAnsi="宋体"/>
                <w:sz w:val="24"/>
              </w:rPr>
              <w:t>6</w:t>
            </w:r>
          </w:p>
        </w:tc>
        <w:tc>
          <w:tcPr>
            <w:tcW w:w="1391" w:type="pct"/>
            <w:vAlign w:val="center"/>
          </w:tcPr>
          <w:p>
            <w:pPr>
              <w:tabs>
                <w:tab w:val="left" w:pos="1620"/>
              </w:tabs>
              <w:spacing w:line="480" w:lineRule="exact"/>
              <w:jc w:val="center"/>
              <w:rPr>
                <w:rFonts w:ascii="宋体" w:hAnsi="宋体"/>
                <w:sz w:val="24"/>
              </w:rPr>
            </w:pPr>
            <w:r>
              <w:rPr>
                <w:rFonts w:hint="eastAsia" w:ascii="宋体" w:hAnsi="宋体"/>
                <w:sz w:val="24"/>
              </w:rPr>
              <w:t>付款方式</w:t>
            </w:r>
          </w:p>
        </w:tc>
        <w:tc>
          <w:tcPr>
            <w:tcW w:w="3145" w:type="pct"/>
            <w:vAlign w:val="center"/>
          </w:tcPr>
          <w:p>
            <w:pPr>
              <w:tabs>
                <w:tab w:val="left" w:pos="1620"/>
              </w:tabs>
              <w:spacing w:line="480" w:lineRule="exact"/>
              <w:rPr>
                <w:rFonts w:hint="default" w:ascii="宋体" w:hAnsi="宋体" w:eastAsia="宋体"/>
                <w:sz w:val="24"/>
                <w:lang w:val="en-US" w:eastAsia="zh-CN"/>
              </w:rPr>
            </w:pPr>
            <w:r>
              <w:rPr>
                <w:rFonts w:hint="eastAsia" w:ascii="宋体" w:hAnsi="宋体"/>
                <w:sz w:val="24"/>
                <w:lang w:val="en-US" w:eastAsia="zh-CN"/>
              </w:rPr>
              <w:t>现金后结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64" w:type="pct"/>
            <w:vAlign w:val="center"/>
          </w:tcPr>
          <w:p>
            <w:pPr>
              <w:tabs>
                <w:tab w:val="left" w:pos="1620"/>
              </w:tabs>
              <w:spacing w:line="480" w:lineRule="exact"/>
              <w:jc w:val="center"/>
              <w:rPr>
                <w:rFonts w:ascii="宋体" w:hAnsi="宋体"/>
                <w:sz w:val="24"/>
              </w:rPr>
            </w:pPr>
            <w:r>
              <w:rPr>
                <w:rFonts w:ascii="宋体" w:hAnsi="宋体"/>
                <w:sz w:val="24"/>
              </w:rPr>
              <w:t>7</w:t>
            </w:r>
          </w:p>
        </w:tc>
        <w:tc>
          <w:tcPr>
            <w:tcW w:w="1391" w:type="pct"/>
            <w:vAlign w:val="center"/>
          </w:tcPr>
          <w:p>
            <w:pPr>
              <w:tabs>
                <w:tab w:val="left" w:pos="1620"/>
              </w:tabs>
              <w:spacing w:line="480" w:lineRule="exact"/>
              <w:jc w:val="center"/>
              <w:rPr>
                <w:rFonts w:ascii="宋体" w:hAnsi="宋体"/>
                <w:sz w:val="24"/>
              </w:rPr>
            </w:pPr>
            <w:r>
              <w:rPr>
                <w:rFonts w:hint="eastAsia" w:ascii="宋体" w:hAnsi="宋体"/>
                <w:sz w:val="24"/>
              </w:rPr>
              <w:t>联系人及电话</w:t>
            </w:r>
          </w:p>
        </w:tc>
        <w:tc>
          <w:tcPr>
            <w:tcW w:w="3145" w:type="pct"/>
            <w:vAlign w:val="center"/>
          </w:tcPr>
          <w:p>
            <w:pPr>
              <w:tabs>
                <w:tab w:val="left" w:pos="1620"/>
              </w:tabs>
              <w:spacing w:line="480" w:lineRule="exact"/>
              <w:rPr>
                <w:rFonts w:hint="default" w:ascii="宋体" w:hAnsi="宋体" w:eastAsia="宋体"/>
                <w:color w:val="FF0000"/>
                <w:sz w:val="24"/>
                <w:lang w:val="en-US" w:eastAsia="zh-CN"/>
              </w:rPr>
            </w:pPr>
            <w:r>
              <w:rPr>
                <w:rFonts w:hint="eastAsia" w:ascii="宋体" w:hAnsi="宋体"/>
                <w:color w:val="auto"/>
                <w:sz w:val="24"/>
                <w:lang w:val="en-US" w:eastAsia="zh-CN"/>
              </w:rPr>
              <w:t>18522843751</w:t>
            </w:r>
          </w:p>
        </w:tc>
      </w:tr>
    </w:tbl>
    <w:p>
      <w:pPr>
        <w:pStyle w:val="2"/>
        <w:spacing w:line="480" w:lineRule="exact"/>
      </w:pPr>
      <w:bookmarkStart w:id="4" w:name="_Toc75176450"/>
      <w:r>
        <w:rPr>
          <w:rFonts w:hint="eastAsia"/>
        </w:rPr>
        <w:t>二、</w:t>
      </w:r>
      <w:bookmarkEnd w:id="1"/>
      <w:bookmarkEnd w:id="2"/>
      <w:bookmarkEnd w:id="3"/>
      <w:bookmarkStart w:id="5" w:name="_Toc54603433"/>
      <w:bookmarkStart w:id="6" w:name="_Toc54603370"/>
      <w:bookmarkStart w:id="7" w:name="_Toc54685364"/>
      <w:r>
        <w:rPr>
          <w:rFonts w:hint="eastAsia"/>
        </w:rPr>
        <w:t>竞价内容</w:t>
      </w:r>
      <w:bookmarkEnd w:id="4"/>
      <w:bookmarkEnd w:id="5"/>
      <w:bookmarkEnd w:id="6"/>
      <w:bookmarkEnd w:id="7"/>
    </w:p>
    <w:p>
      <w:pPr>
        <w:autoSpaceDE w:val="0"/>
        <w:spacing w:line="480" w:lineRule="exact"/>
        <w:ind w:firstLine="480" w:firstLineChars="200"/>
        <w:rPr>
          <w:rFonts w:ascii="宋体" w:hAnsi="宋体"/>
          <w:color w:val="000000" w:themeColor="text1"/>
          <w:kern w:val="0"/>
          <w:sz w:val="24"/>
          <w14:textFill>
            <w14:solidFill>
              <w14:schemeClr w14:val="tx1"/>
            </w14:solidFill>
          </w14:textFill>
        </w:rPr>
      </w:pPr>
      <w:bookmarkStart w:id="8" w:name="_Toc54603371"/>
      <w:bookmarkStart w:id="9" w:name="_Toc54603434"/>
      <w:r>
        <w:rPr>
          <w:rFonts w:hint="eastAsia" w:ascii="宋体" w:hAnsi="宋体"/>
          <w:color w:val="000000" w:themeColor="text1"/>
          <w:kern w:val="0"/>
          <w:sz w:val="24"/>
          <w14:textFill>
            <w14:solidFill>
              <w14:schemeClr w14:val="tx1"/>
            </w14:solidFill>
          </w14:textFill>
        </w:rPr>
        <w:t>（一）竞价项目概况：</w:t>
      </w:r>
      <w:bookmarkEnd w:id="8"/>
      <w:bookmarkEnd w:id="9"/>
    </w:p>
    <w:p>
      <w:pPr>
        <w:spacing w:after="156" w:afterLines="50" w:line="480" w:lineRule="exact"/>
        <w:ind w:firstLine="480" w:firstLineChars="200"/>
        <w:rPr>
          <w:rFonts w:hint="eastAsia" w:ascii="宋体" w:hAnsi="宋体"/>
          <w:kern w:val="0"/>
          <w:sz w:val="24"/>
        </w:rPr>
      </w:pPr>
      <w:bookmarkStart w:id="10" w:name="_Toc54603372"/>
      <w:bookmarkStart w:id="11" w:name="_Toc54603435"/>
      <w:bookmarkStart w:id="12" w:name="_Toc54603436"/>
      <w:bookmarkStart w:id="13" w:name="_Toc54603373"/>
      <w:r>
        <w:rPr>
          <w:rFonts w:hint="eastAsia" w:ascii="宋体" w:hAnsi="宋体"/>
          <w:kern w:val="0"/>
          <w:sz w:val="24"/>
        </w:rPr>
        <w:t>本项目为公司水泥包装袋</w:t>
      </w:r>
      <w:r>
        <w:rPr>
          <w:rFonts w:hint="eastAsia" w:ascii="宋体" w:hAnsi="宋体"/>
          <w:kern w:val="0"/>
          <w:sz w:val="24"/>
          <w:lang w:val="en-US" w:eastAsia="zh-CN"/>
        </w:rPr>
        <w:t>改糊底袋后，对新品种进行</w:t>
      </w:r>
      <w:r>
        <w:rPr>
          <w:rFonts w:hint="eastAsia" w:ascii="宋体" w:hAnsi="宋体"/>
          <w:kern w:val="0"/>
          <w:sz w:val="24"/>
        </w:rPr>
        <w:t>招标</w:t>
      </w:r>
      <w:r>
        <w:rPr>
          <w:rFonts w:hint="eastAsia" w:ascii="宋体" w:hAnsi="宋体"/>
          <w:kern w:val="0"/>
          <w:sz w:val="24"/>
          <w:lang w:eastAsia="zh-CN"/>
        </w:rPr>
        <w:t>，</w:t>
      </w:r>
      <w:r>
        <w:rPr>
          <w:rFonts w:hint="eastAsia" w:ascii="宋体" w:hAnsi="宋体"/>
          <w:kern w:val="0"/>
          <w:sz w:val="24"/>
          <w:lang w:val="en-US" w:eastAsia="zh-CN"/>
        </w:rPr>
        <w:t>合同有效期：自签字盖章之日起一年</w:t>
      </w:r>
      <w:r>
        <w:rPr>
          <w:rFonts w:hint="eastAsia" w:ascii="宋体" w:hAnsi="宋体"/>
          <w:kern w:val="0"/>
          <w:sz w:val="24"/>
        </w:rPr>
        <w:t>，根据公司生产经营计划需求</w:t>
      </w:r>
      <w:r>
        <w:rPr>
          <w:rFonts w:hint="eastAsia" w:ascii="宋体" w:hAnsi="宋体"/>
          <w:kern w:val="0"/>
          <w:sz w:val="24"/>
          <w:lang w:val="en-US" w:eastAsia="zh-CN"/>
        </w:rPr>
        <w:t>此期间计划使用90</w:t>
      </w:r>
      <w:r>
        <w:rPr>
          <w:rFonts w:hint="eastAsia" w:ascii="宋体" w:hAnsi="宋体"/>
          <w:kern w:val="0"/>
          <w:sz w:val="24"/>
        </w:rPr>
        <w:t>万条，按照物资供应管理中心及公司内控要求通过金隅冀东阳光采购平台进行</w:t>
      </w:r>
      <w:r>
        <w:rPr>
          <w:rFonts w:hint="eastAsia" w:ascii="宋体" w:hAnsi="宋体"/>
          <w:kern w:val="0"/>
          <w:sz w:val="24"/>
          <w:lang w:val="en-US" w:eastAsia="zh-CN"/>
        </w:rPr>
        <w:t>竞价</w:t>
      </w:r>
      <w:r>
        <w:rPr>
          <w:rFonts w:hint="eastAsia" w:ascii="宋体" w:hAnsi="宋体"/>
          <w:kern w:val="0"/>
          <w:sz w:val="24"/>
        </w:rPr>
        <w:t>。</w:t>
      </w:r>
      <w:bookmarkEnd w:id="10"/>
      <w:bookmarkEnd w:id="11"/>
    </w:p>
    <w:p>
      <w:pPr>
        <w:numPr>
          <w:ilvl w:val="0"/>
          <w:numId w:val="2"/>
        </w:numPr>
        <w:spacing w:after="156" w:afterLines="50" w:line="48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竞价内容：</w:t>
      </w:r>
      <w:bookmarkEnd w:id="12"/>
      <w:bookmarkEnd w:id="13"/>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766"/>
        <w:gridCol w:w="1515"/>
        <w:gridCol w:w="1386"/>
        <w:gridCol w:w="1214"/>
        <w:gridCol w:w="1309"/>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002" w:type="pct"/>
            <w:vAlign w:val="center"/>
          </w:tcPr>
          <w:p>
            <w:pPr>
              <w:autoSpaceDE w:val="0"/>
              <w:spacing w:line="360" w:lineRule="exact"/>
              <w:jc w:val="center"/>
              <w:rPr>
                <w:rFonts w:ascii="宋体" w:hAnsi="宋体"/>
                <w:kern w:val="0"/>
                <w:sz w:val="24"/>
              </w:rPr>
            </w:pPr>
            <w:r>
              <w:rPr>
                <w:rFonts w:hint="eastAsia" w:ascii="宋体" w:hAnsi="宋体"/>
                <w:kern w:val="0"/>
                <w:sz w:val="24"/>
              </w:rPr>
              <w:t>产品名称</w:t>
            </w:r>
          </w:p>
        </w:tc>
        <w:tc>
          <w:tcPr>
            <w:tcW w:w="427" w:type="pct"/>
            <w:vAlign w:val="center"/>
          </w:tcPr>
          <w:p>
            <w:pPr>
              <w:autoSpaceDE w:val="0"/>
              <w:spacing w:line="360" w:lineRule="exact"/>
              <w:jc w:val="center"/>
              <w:rPr>
                <w:rFonts w:ascii="宋体" w:hAnsi="宋体"/>
                <w:kern w:val="0"/>
                <w:sz w:val="24"/>
              </w:rPr>
            </w:pPr>
            <w:r>
              <w:rPr>
                <w:rFonts w:hint="eastAsia" w:ascii="宋体" w:hAnsi="宋体"/>
                <w:kern w:val="0"/>
                <w:sz w:val="24"/>
              </w:rPr>
              <w:t>规格</w:t>
            </w:r>
          </w:p>
        </w:tc>
        <w:tc>
          <w:tcPr>
            <w:tcW w:w="846" w:type="pct"/>
            <w:vAlign w:val="center"/>
          </w:tcPr>
          <w:p>
            <w:pPr>
              <w:autoSpaceDE w:val="0"/>
              <w:spacing w:line="360" w:lineRule="exact"/>
              <w:jc w:val="left"/>
              <w:rPr>
                <w:rFonts w:ascii="宋体" w:hAnsi="宋体"/>
                <w:kern w:val="0"/>
                <w:sz w:val="24"/>
              </w:rPr>
            </w:pPr>
            <w:r>
              <w:rPr>
                <w:rFonts w:hint="eastAsia" w:ascii="宋体" w:hAnsi="宋体"/>
                <w:kern w:val="0"/>
                <w:sz w:val="24"/>
              </w:rPr>
              <w:t>数量（</w:t>
            </w:r>
            <w:r>
              <w:rPr>
                <w:rFonts w:hint="eastAsia" w:ascii="宋体" w:hAnsi="宋体"/>
                <w:kern w:val="0"/>
                <w:sz w:val="24"/>
                <w:lang w:val="en-US" w:eastAsia="zh-CN"/>
              </w:rPr>
              <w:t>万</w:t>
            </w:r>
            <w:r>
              <w:rPr>
                <w:rFonts w:hint="eastAsia" w:ascii="宋体" w:hAnsi="宋体"/>
                <w:kern w:val="0"/>
                <w:sz w:val="24"/>
              </w:rPr>
              <w:t>条）</w:t>
            </w:r>
          </w:p>
        </w:tc>
        <w:tc>
          <w:tcPr>
            <w:tcW w:w="774" w:type="pct"/>
            <w:vAlign w:val="center"/>
          </w:tcPr>
          <w:p>
            <w:pPr>
              <w:autoSpaceDE w:val="0"/>
              <w:spacing w:line="360" w:lineRule="exact"/>
              <w:jc w:val="left"/>
              <w:rPr>
                <w:rFonts w:ascii="宋体" w:hAnsi="宋体"/>
                <w:kern w:val="0"/>
                <w:sz w:val="24"/>
              </w:rPr>
            </w:pPr>
            <w:r>
              <w:rPr>
                <w:rFonts w:hint="eastAsia" w:ascii="宋体" w:hAnsi="宋体"/>
                <w:kern w:val="0"/>
                <w:sz w:val="24"/>
              </w:rPr>
              <w:t>单价（元）</w:t>
            </w:r>
          </w:p>
        </w:tc>
        <w:tc>
          <w:tcPr>
            <w:tcW w:w="678" w:type="pct"/>
            <w:vAlign w:val="center"/>
          </w:tcPr>
          <w:p>
            <w:pPr>
              <w:autoSpaceDE w:val="0"/>
              <w:spacing w:line="360" w:lineRule="exact"/>
              <w:jc w:val="left"/>
              <w:rPr>
                <w:rFonts w:ascii="宋体" w:hAnsi="宋体"/>
                <w:kern w:val="0"/>
                <w:sz w:val="24"/>
              </w:rPr>
            </w:pPr>
            <w:r>
              <w:rPr>
                <w:rFonts w:hint="eastAsia" w:ascii="宋体" w:hAnsi="宋体"/>
                <w:kern w:val="0"/>
                <w:sz w:val="24"/>
              </w:rPr>
              <w:t>税率 %</w:t>
            </w:r>
          </w:p>
        </w:tc>
        <w:tc>
          <w:tcPr>
            <w:tcW w:w="731" w:type="pct"/>
            <w:vAlign w:val="center"/>
          </w:tcPr>
          <w:p>
            <w:pPr>
              <w:autoSpaceDE w:val="0"/>
              <w:spacing w:line="360" w:lineRule="exact"/>
              <w:ind w:firstLine="240" w:firstLineChars="100"/>
              <w:jc w:val="left"/>
              <w:rPr>
                <w:rFonts w:ascii="宋体" w:hAnsi="宋体"/>
                <w:kern w:val="0"/>
                <w:sz w:val="24"/>
              </w:rPr>
            </w:pPr>
            <w:r>
              <w:rPr>
                <w:rFonts w:hint="eastAsia" w:ascii="宋体" w:hAnsi="宋体"/>
                <w:kern w:val="0"/>
                <w:sz w:val="24"/>
              </w:rPr>
              <w:t>金额</w:t>
            </w:r>
          </w:p>
          <w:p>
            <w:pPr>
              <w:autoSpaceDE w:val="0"/>
              <w:spacing w:line="360" w:lineRule="exact"/>
              <w:jc w:val="left"/>
              <w:rPr>
                <w:rFonts w:ascii="宋体" w:hAnsi="宋体"/>
                <w:kern w:val="0"/>
                <w:sz w:val="24"/>
              </w:rPr>
            </w:pPr>
            <w:r>
              <w:rPr>
                <w:rFonts w:hint="eastAsia" w:ascii="宋体" w:hAnsi="宋体"/>
                <w:kern w:val="0"/>
                <w:sz w:val="24"/>
              </w:rPr>
              <w:t>（万元）</w:t>
            </w:r>
          </w:p>
        </w:tc>
        <w:tc>
          <w:tcPr>
            <w:tcW w:w="540" w:type="pct"/>
            <w:vAlign w:val="center"/>
          </w:tcPr>
          <w:p>
            <w:pPr>
              <w:autoSpaceDE w:val="0"/>
              <w:spacing w:line="360" w:lineRule="exact"/>
              <w:jc w:val="left"/>
              <w:rPr>
                <w:rFonts w:ascii="宋体" w:hAnsi="宋体"/>
                <w:kern w:val="0"/>
                <w:sz w:val="24"/>
              </w:rPr>
            </w:pPr>
            <w:r>
              <w:rPr>
                <w:rFonts w:hint="eastAsia" w:ascii="宋体" w:hAnsi="宋体"/>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02" w:type="pct"/>
            <w:vAlign w:val="center"/>
          </w:tcPr>
          <w:p>
            <w:pPr>
              <w:autoSpaceDE w:val="0"/>
              <w:spacing w:line="360" w:lineRule="exact"/>
              <w:jc w:val="center"/>
              <w:rPr>
                <w:rFonts w:hint="eastAsia" w:ascii="宋体" w:hAnsi="宋体"/>
                <w:kern w:val="0"/>
                <w:sz w:val="24"/>
                <w:lang w:val="en-US" w:eastAsia="zh-CN"/>
              </w:rPr>
            </w:pPr>
            <w:r>
              <w:rPr>
                <w:rFonts w:hint="eastAsia" w:ascii="宋体" w:hAnsi="宋体"/>
                <w:kern w:val="0"/>
                <w:sz w:val="24"/>
                <w:lang w:val="en-US" w:eastAsia="zh-CN"/>
              </w:rPr>
              <w:t>方底阀口袋</w:t>
            </w:r>
          </w:p>
        </w:tc>
        <w:tc>
          <w:tcPr>
            <w:tcW w:w="427"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40kg</w:t>
            </w:r>
          </w:p>
        </w:tc>
        <w:tc>
          <w:tcPr>
            <w:tcW w:w="846"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30</w:t>
            </w:r>
          </w:p>
        </w:tc>
        <w:tc>
          <w:tcPr>
            <w:tcW w:w="774" w:type="pct"/>
            <w:vMerge w:val="restart"/>
            <w:vAlign w:val="center"/>
          </w:tcPr>
          <w:p>
            <w:pPr>
              <w:autoSpaceDE w:val="0"/>
              <w:spacing w:line="360" w:lineRule="exact"/>
              <w:jc w:val="center"/>
              <w:rPr>
                <w:rFonts w:ascii="宋体" w:hAnsi="宋体"/>
                <w:kern w:val="0"/>
                <w:sz w:val="24"/>
              </w:rPr>
            </w:pPr>
          </w:p>
        </w:tc>
        <w:tc>
          <w:tcPr>
            <w:tcW w:w="678" w:type="pct"/>
            <w:vMerge w:val="restart"/>
            <w:vAlign w:val="center"/>
          </w:tcPr>
          <w:p>
            <w:pPr>
              <w:autoSpaceDE w:val="0"/>
              <w:spacing w:line="360" w:lineRule="exact"/>
              <w:ind w:firstLine="480" w:firstLineChars="200"/>
              <w:jc w:val="center"/>
              <w:rPr>
                <w:rFonts w:ascii="宋体" w:hAnsi="宋体"/>
                <w:kern w:val="0"/>
                <w:sz w:val="24"/>
              </w:rPr>
            </w:pPr>
          </w:p>
        </w:tc>
        <w:tc>
          <w:tcPr>
            <w:tcW w:w="731" w:type="pct"/>
            <w:vMerge w:val="restart"/>
            <w:vAlign w:val="center"/>
          </w:tcPr>
          <w:p>
            <w:pPr>
              <w:autoSpaceDE w:val="0"/>
              <w:spacing w:line="360" w:lineRule="exact"/>
              <w:ind w:firstLine="480" w:firstLineChars="200"/>
              <w:jc w:val="center"/>
              <w:rPr>
                <w:rFonts w:ascii="宋体" w:hAnsi="宋体"/>
                <w:kern w:val="0"/>
                <w:sz w:val="24"/>
              </w:rPr>
            </w:pPr>
          </w:p>
        </w:tc>
        <w:tc>
          <w:tcPr>
            <w:tcW w:w="540" w:type="pct"/>
            <w:vMerge w:val="restart"/>
            <w:vAlign w:val="center"/>
          </w:tcPr>
          <w:p>
            <w:pPr>
              <w:autoSpaceDE w:val="0"/>
              <w:spacing w:line="360" w:lineRule="exact"/>
              <w:ind w:firstLine="480" w:firstLineChars="200"/>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1002"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方底阀口袋</w:t>
            </w:r>
          </w:p>
        </w:tc>
        <w:tc>
          <w:tcPr>
            <w:tcW w:w="427"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50kg</w:t>
            </w:r>
          </w:p>
        </w:tc>
        <w:tc>
          <w:tcPr>
            <w:tcW w:w="846"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60</w:t>
            </w:r>
          </w:p>
        </w:tc>
        <w:tc>
          <w:tcPr>
            <w:tcW w:w="774" w:type="pct"/>
            <w:vMerge w:val="continue"/>
            <w:vAlign w:val="center"/>
          </w:tcPr>
          <w:p>
            <w:pPr>
              <w:autoSpaceDE w:val="0"/>
              <w:spacing w:line="360" w:lineRule="exact"/>
              <w:jc w:val="center"/>
              <w:rPr>
                <w:rFonts w:ascii="宋体" w:hAnsi="宋体"/>
                <w:kern w:val="0"/>
                <w:sz w:val="24"/>
              </w:rPr>
            </w:pPr>
          </w:p>
        </w:tc>
        <w:tc>
          <w:tcPr>
            <w:tcW w:w="678" w:type="pct"/>
            <w:vMerge w:val="continue"/>
            <w:vAlign w:val="center"/>
          </w:tcPr>
          <w:p>
            <w:pPr>
              <w:autoSpaceDE w:val="0"/>
              <w:spacing w:line="360" w:lineRule="exact"/>
              <w:ind w:firstLine="480" w:firstLineChars="200"/>
              <w:jc w:val="center"/>
              <w:rPr>
                <w:rFonts w:ascii="宋体" w:hAnsi="宋体"/>
                <w:kern w:val="0"/>
                <w:sz w:val="24"/>
              </w:rPr>
            </w:pPr>
          </w:p>
        </w:tc>
        <w:tc>
          <w:tcPr>
            <w:tcW w:w="731" w:type="pct"/>
            <w:vMerge w:val="continue"/>
            <w:vAlign w:val="center"/>
          </w:tcPr>
          <w:p>
            <w:pPr>
              <w:autoSpaceDE w:val="0"/>
              <w:spacing w:line="360" w:lineRule="exact"/>
              <w:ind w:firstLine="480" w:firstLineChars="200"/>
              <w:jc w:val="center"/>
              <w:rPr>
                <w:rFonts w:ascii="宋体" w:hAnsi="宋体"/>
                <w:kern w:val="0"/>
                <w:sz w:val="24"/>
              </w:rPr>
            </w:pPr>
          </w:p>
        </w:tc>
        <w:tc>
          <w:tcPr>
            <w:tcW w:w="540" w:type="pct"/>
            <w:vMerge w:val="continue"/>
            <w:vAlign w:val="center"/>
          </w:tcPr>
          <w:p>
            <w:pPr>
              <w:autoSpaceDE w:val="0"/>
              <w:spacing w:line="360" w:lineRule="exact"/>
              <w:ind w:firstLine="480" w:firstLineChars="200"/>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002" w:type="pct"/>
            <w:vAlign w:val="center"/>
          </w:tcPr>
          <w:p>
            <w:pPr>
              <w:autoSpaceDE w:val="0"/>
              <w:spacing w:line="360" w:lineRule="exact"/>
              <w:jc w:val="center"/>
              <w:rPr>
                <w:rFonts w:ascii="宋体" w:hAnsi="宋体"/>
                <w:kern w:val="0"/>
                <w:sz w:val="24"/>
              </w:rPr>
            </w:pPr>
            <w:r>
              <w:rPr>
                <w:rFonts w:hint="eastAsia" w:ascii="宋体" w:hAnsi="宋体"/>
                <w:kern w:val="0"/>
                <w:sz w:val="24"/>
              </w:rPr>
              <w:t>总计（人民币）：</w:t>
            </w:r>
          </w:p>
        </w:tc>
        <w:tc>
          <w:tcPr>
            <w:tcW w:w="3997" w:type="pct"/>
            <w:gridSpan w:val="6"/>
            <w:vAlign w:val="center"/>
          </w:tcPr>
          <w:p>
            <w:pPr>
              <w:autoSpaceDE w:val="0"/>
              <w:spacing w:line="360" w:lineRule="exact"/>
              <w:ind w:firstLine="480" w:firstLineChars="200"/>
              <w:jc w:val="center"/>
              <w:rPr>
                <w:rFonts w:ascii="宋体" w:hAnsi="宋体"/>
                <w:kern w:val="0"/>
                <w:sz w:val="24"/>
              </w:rPr>
            </w:pPr>
          </w:p>
        </w:tc>
      </w:tr>
    </w:tbl>
    <w:p>
      <w:pPr>
        <w:autoSpaceDE w:val="0"/>
        <w:spacing w:line="460" w:lineRule="exact"/>
        <w:ind w:firstLine="480" w:firstLineChars="200"/>
        <w:rPr>
          <w:rFonts w:hint="eastAsia" w:ascii="宋体" w:hAnsi="宋体"/>
          <w:kern w:val="0"/>
          <w:sz w:val="24"/>
          <w:lang w:val="en-US" w:eastAsia="zh-CN"/>
        </w:rPr>
      </w:pPr>
      <w:bookmarkStart w:id="14" w:name="_Toc54603374"/>
      <w:bookmarkStart w:id="15" w:name="_Toc54603437"/>
      <w:bookmarkStart w:id="16" w:name="_Toc54685365"/>
      <w:bookmarkStart w:id="17" w:name="_Toc75176451"/>
      <w:r>
        <w:rPr>
          <w:rFonts w:hint="eastAsia" w:ascii="宋体" w:hAnsi="宋体"/>
          <w:kern w:val="0"/>
          <w:sz w:val="24"/>
          <w:lang w:val="en-US" w:eastAsia="zh-CN"/>
        </w:rPr>
        <w:t>中标后根据需方实际情况调整</w:t>
      </w:r>
      <w:r>
        <w:rPr>
          <w:rFonts w:hint="eastAsia" w:ascii="宋体" w:hAnsi="宋体"/>
          <w:kern w:val="0"/>
          <w:sz w:val="24"/>
        </w:rPr>
        <w:t>产</w:t>
      </w:r>
      <w:r>
        <w:rPr>
          <w:rFonts w:hint="eastAsia" w:ascii="宋体" w:hAnsi="宋体"/>
          <w:kern w:val="0"/>
          <w:sz w:val="24"/>
          <w:lang w:val="en-US" w:eastAsia="zh-CN"/>
        </w:rPr>
        <w:t>品尺寸及图样。</w:t>
      </w:r>
    </w:p>
    <w:p>
      <w:pPr>
        <w:autoSpaceDE w:val="0"/>
        <w:spacing w:line="460" w:lineRule="exact"/>
        <w:ind w:firstLine="480" w:firstLineChars="200"/>
        <w:rPr>
          <w:rFonts w:ascii="宋体" w:hAnsi="宋体"/>
          <w:kern w:val="0"/>
          <w:sz w:val="24"/>
        </w:rPr>
      </w:pPr>
      <w:r>
        <w:rPr>
          <w:rFonts w:hint="eastAsia" w:ascii="宋体" w:hAnsi="宋体"/>
          <w:kern w:val="0"/>
          <w:sz w:val="24"/>
        </w:rPr>
        <w:t>上述供货数量及金额为暂估数，具体供货数量及供货时间以招标人通知为准，最终结算价款根据合同有效期内具体的供货数量计算。</w:t>
      </w:r>
    </w:p>
    <w:p>
      <w:pPr>
        <w:pStyle w:val="2"/>
        <w:spacing w:line="480" w:lineRule="exact"/>
      </w:pPr>
      <w:r>
        <w:rPr>
          <w:rFonts w:hint="eastAsia"/>
        </w:rPr>
        <w:t>三、</w:t>
      </w:r>
      <w:bookmarkEnd w:id="14"/>
      <w:bookmarkEnd w:id="15"/>
      <w:bookmarkEnd w:id="16"/>
      <w:r>
        <w:rPr>
          <w:rFonts w:hint="eastAsia"/>
        </w:rPr>
        <w:t>竞价要求</w:t>
      </w:r>
      <w:bookmarkEnd w:id="17"/>
    </w:p>
    <w:p>
      <w:pPr>
        <w:spacing w:line="480" w:lineRule="exact"/>
        <w:ind w:firstLine="420" w:firstLineChars="200"/>
      </w:pPr>
      <w:r>
        <w:rPr>
          <w:rFonts w:hint="eastAsia"/>
        </w:rPr>
        <w:t>（一）竞价人资格要求：</w:t>
      </w:r>
    </w:p>
    <w:p>
      <w:pPr>
        <w:spacing w:line="480" w:lineRule="exact"/>
        <w:ind w:firstLine="480" w:firstLineChars="200"/>
        <w:rPr>
          <w:rFonts w:hint="eastAsia" w:ascii="宋体" w:hAnsi="宋体"/>
          <w:sz w:val="24"/>
        </w:rPr>
      </w:pPr>
      <w:r>
        <w:rPr>
          <w:rFonts w:ascii="宋体" w:hAnsi="宋体"/>
          <w:sz w:val="24"/>
        </w:rPr>
        <w:t>1</w:t>
      </w:r>
      <w:r>
        <w:rPr>
          <w:rFonts w:hint="eastAsia" w:ascii="宋体" w:hAnsi="宋体"/>
          <w:sz w:val="24"/>
        </w:rPr>
        <w:t>、竞价人</w:t>
      </w:r>
      <w:r>
        <w:rPr>
          <w:rFonts w:ascii="宋体" w:hAnsi="宋体"/>
          <w:sz w:val="24"/>
        </w:rPr>
        <w:t>必须是在中国国内正式注册，具有独立法人地位的公司（企业）</w:t>
      </w:r>
      <w:r>
        <w:rPr>
          <w:rFonts w:hint="eastAsia" w:ascii="宋体" w:hAnsi="宋体"/>
          <w:sz w:val="24"/>
        </w:rPr>
        <w:t>；</w:t>
      </w:r>
    </w:p>
    <w:p>
      <w:pPr>
        <w:spacing w:line="480" w:lineRule="exact"/>
        <w:ind w:firstLine="480" w:firstLineChars="200"/>
        <w:rPr>
          <w:rFonts w:hint="default" w:ascii="宋体" w:hAnsi="宋体" w:eastAsia="宋体"/>
          <w:sz w:val="24"/>
          <w:lang w:val="en-US" w:eastAsia="zh-CN"/>
        </w:rPr>
      </w:pPr>
      <w:r>
        <w:rPr>
          <w:rFonts w:hint="eastAsia" w:ascii="宋体" w:hAnsi="宋体"/>
          <w:sz w:val="24"/>
          <w:lang w:val="en-US" w:eastAsia="zh-CN"/>
        </w:rPr>
        <w:t>2、</w:t>
      </w:r>
      <w:r>
        <w:rPr>
          <w:rFonts w:hint="eastAsia" w:ascii="宋体" w:hAnsi="宋体"/>
          <w:bCs/>
          <w:color w:val="auto"/>
          <w:kern w:val="0"/>
          <w:sz w:val="24"/>
        </w:rPr>
        <w:t>每</w:t>
      </w:r>
      <w:r>
        <w:rPr>
          <w:rFonts w:hint="eastAsia" w:ascii="宋体" w:hAnsi="宋体"/>
          <w:bCs/>
          <w:color w:val="auto"/>
          <w:kern w:val="0"/>
          <w:sz w:val="24"/>
          <w:lang w:val="en-US" w:eastAsia="zh-CN"/>
        </w:rPr>
        <w:t>半</w:t>
      </w:r>
      <w:r>
        <w:rPr>
          <w:rFonts w:hint="eastAsia" w:ascii="宋体" w:hAnsi="宋体"/>
          <w:bCs/>
          <w:color w:val="auto"/>
          <w:kern w:val="0"/>
          <w:sz w:val="24"/>
        </w:rPr>
        <w:t>年向</w:t>
      </w:r>
      <w:r>
        <w:rPr>
          <w:rFonts w:hint="eastAsia" w:ascii="宋体" w:hAnsi="宋体"/>
          <w:bCs/>
          <w:color w:val="auto"/>
          <w:kern w:val="0"/>
          <w:sz w:val="24"/>
          <w:lang w:val="en-US" w:eastAsia="zh-CN"/>
        </w:rPr>
        <w:t>需</w:t>
      </w:r>
      <w:r>
        <w:rPr>
          <w:rFonts w:hint="eastAsia" w:ascii="宋体" w:hAnsi="宋体"/>
          <w:bCs/>
          <w:color w:val="auto"/>
          <w:kern w:val="0"/>
          <w:sz w:val="24"/>
        </w:rPr>
        <w:t>方提供国家级型式检验报告</w:t>
      </w:r>
      <w:r>
        <w:rPr>
          <w:rFonts w:hint="eastAsia" w:ascii="宋体" w:hAnsi="宋体"/>
          <w:bCs/>
          <w:color w:val="auto"/>
          <w:kern w:val="0"/>
          <w:sz w:val="24"/>
          <w:lang w:eastAsia="zh-CN"/>
        </w:rPr>
        <w:t>，</w:t>
      </w:r>
      <w:r>
        <w:rPr>
          <w:rFonts w:hint="eastAsia" w:ascii="宋体" w:hAnsi="宋体"/>
          <w:bCs/>
          <w:color w:val="auto"/>
          <w:kern w:val="0"/>
          <w:sz w:val="24"/>
          <w:lang w:val="en-US" w:eastAsia="zh-CN"/>
        </w:rPr>
        <w:t>并有定点生产许可证。</w:t>
      </w:r>
    </w:p>
    <w:p>
      <w:pPr>
        <w:spacing w:line="480" w:lineRule="exact"/>
        <w:ind w:firstLine="480" w:firstLineChars="200"/>
        <w:rPr>
          <w:rFonts w:ascii="宋体" w:hAnsi="宋体"/>
          <w:color w:val="auto"/>
          <w:sz w:val="24"/>
        </w:rPr>
      </w:pPr>
      <w:r>
        <w:rPr>
          <w:rFonts w:hint="eastAsia" w:ascii="宋体" w:hAnsi="宋体"/>
          <w:sz w:val="24"/>
          <w:lang w:val="en-US" w:eastAsia="zh-CN"/>
        </w:rPr>
        <w:t>3</w:t>
      </w:r>
      <w:r>
        <w:rPr>
          <w:rFonts w:hint="eastAsia" w:ascii="宋体" w:hAnsi="宋体"/>
          <w:sz w:val="24"/>
        </w:rPr>
        <w:t>、竞价人投标时应提供加盖单位公章的营业执照复印件及法定代表人的授权委</w:t>
      </w:r>
      <w:r>
        <w:rPr>
          <w:rFonts w:hint="eastAsia" w:ascii="宋体" w:hAnsi="宋体"/>
          <w:color w:val="auto"/>
          <w:sz w:val="24"/>
        </w:rPr>
        <w:t>托书原件及被委托人身份证复印件；</w:t>
      </w:r>
    </w:p>
    <w:p>
      <w:pPr>
        <w:spacing w:line="480" w:lineRule="exact"/>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、运输所用车辆必须满足天津市政府职能部门规定的排放标准要求；</w:t>
      </w:r>
    </w:p>
    <w:p>
      <w:pPr>
        <w:spacing w:line="480" w:lineRule="exact"/>
        <w:ind w:firstLine="480" w:firstLineChars="200"/>
        <w:rPr>
          <w:rFonts w:hint="eastAsia" w:ascii="宋体" w:hAnsi="宋体"/>
          <w:sz w:val="24"/>
        </w:rPr>
      </w:pPr>
      <w:r>
        <w:rPr>
          <w:rFonts w:hint="eastAsia" w:ascii="宋体" w:hAnsi="宋体"/>
          <w:sz w:val="24"/>
          <w:lang w:val="en-US" w:eastAsia="zh-CN"/>
        </w:rPr>
        <w:t>5</w:t>
      </w:r>
      <w:r>
        <w:rPr>
          <w:rFonts w:hint="eastAsia" w:ascii="宋体" w:hAnsi="宋体"/>
          <w:sz w:val="24"/>
        </w:rPr>
        <w:t>、需具备相应的资质；</w:t>
      </w:r>
    </w:p>
    <w:p>
      <w:pPr>
        <w:spacing w:line="48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sz w:val="24"/>
          <w:lang w:val="en-US" w:eastAsia="zh-CN"/>
        </w:rPr>
        <w:t>6</w:t>
      </w:r>
      <w:r>
        <w:rPr>
          <w:rFonts w:hint="eastAsia" w:ascii="宋体" w:hAnsi="宋体"/>
          <w:sz w:val="24"/>
        </w:rPr>
        <w:t>、财务状况良好，可开具增值税</w:t>
      </w:r>
      <w:r>
        <w:rPr>
          <w:rFonts w:hint="eastAsia" w:ascii="宋体" w:hAnsi="宋体"/>
          <w:color w:val="000000" w:themeColor="text1"/>
          <w:sz w:val="24"/>
          <w14:textFill>
            <w14:solidFill>
              <w14:schemeClr w14:val="tx1"/>
            </w14:solidFill>
          </w14:textFill>
        </w:rPr>
        <w:t>专用发票。</w:t>
      </w:r>
    </w:p>
    <w:p>
      <w:pPr>
        <w:pStyle w:val="2"/>
        <w:spacing w:line="480" w:lineRule="exact"/>
      </w:pPr>
      <w:bookmarkStart w:id="18" w:name="_Toc75176452"/>
      <w:bookmarkStart w:id="19" w:name="_Toc54603375"/>
      <w:bookmarkStart w:id="20" w:name="_Toc54603438"/>
      <w:bookmarkStart w:id="21" w:name="_Toc54685366"/>
      <w:r>
        <w:rPr>
          <w:rFonts w:hint="eastAsia"/>
        </w:rPr>
        <w:t>四、报价要求</w:t>
      </w:r>
      <w:bookmarkEnd w:id="18"/>
      <w:bookmarkEnd w:id="19"/>
      <w:bookmarkEnd w:id="20"/>
      <w:bookmarkEnd w:id="21"/>
      <w:bookmarkStart w:id="26" w:name="_GoBack"/>
      <w:bookmarkEnd w:id="26"/>
    </w:p>
    <w:p>
      <w:pPr>
        <w:autoSpaceDE w:val="0"/>
        <w:spacing w:line="480" w:lineRule="exact"/>
        <w:ind w:firstLine="482" w:firstLineChars="200"/>
        <w:rPr>
          <w:rFonts w:hint="eastAsia" w:ascii="宋体" w:hAnsi="宋体"/>
          <w:b/>
          <w:bCs/>
          <w:color w:val="000000" w:themeColor="text1"/>
          <w:kern w:val="0"/>
          <w:sz w:val="24"/>
          <w14:textFill>
            <w14:solidFill>
              <w14:schemeClr w14:val="tx1"/>
            </w14:solidFill>
          </w14:textFill>
        </w:rPr>
      </w:pPr>
      <w:r>
        <w:rPr>
          <w:rFonts w:hint="eastAsia" w:ascii="宋体" w:hAnsi="宋体"/>
          <w:b/>
          <w:bCs/>
          <w:color w:val="000000" w:themeColor="text1"/>
          <w:kern w:val="0"/>
          <w:sz w:val="24"/>
          <w14:textFill>
            <w14:solidFill>
              <w14:schemeClr w14:val="tx1"/>
            </w14:solidFill>
          </w14:textFill>
        </w:rPr>
        <w:t>按以下要求在平台进行报价。</w:t>
      </w:r>
    </w:p>
    <w:p>
      <w:pPr>
        <w:numPr>
          <w:ilvl w:val="0"/>
          <w:numId w:val="3"/>
        </w:numPr>
        <w:autoSpaceDE w:val="0"/>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投标保证金：</w:t>
      </w:r>
    </w:p>
    <w:p>
      <w:pPr>
        <w:numPr>
          <w:ilvl w:val="0"/>
          <w:numId w:val="4"/>
        </w:numPr>
        <w:autoSpaceDE w:val="0"/>
        <w:spacing w:line="480" w:lineRule="exact"/>
        <w:ind w:left="480" w:leftChars="0" w:firstLine="0" w:firstLineChars="0"/>
        <w:rPr>
          <w:rFonts w:hint="eastAsia" w:ascii="宋体" w:hAnsi="宋体"/>
          <w:color w:val="000000" w:themeColor="text1"/>
          <w:kern w:val="0"/>
          <w:sz w:val="24"/>
          <w:lang w:val="en-US" w:eastAsia="zh-CN"/>
          <w14:textFill>
            <w14:solidFill>
              <w14:schemeClr w14:val="tx1"/>
            </w14:solidFill>
          </w14:textFill>
        </w:rPr>
      </w:pPr>
      <w:r>
        <w:rPr>
          <w:rFonts w:hint="eastAsia" w:ascii="宋体" w:hAnsi="宋体"/>
          <w:color w:val="000000" w:themeColor="text1"/>
          <w:kern w:val="0"/>
          <w:sz w:val="24"/>
          <w:lang w:val="en-US" w:eastAsia="zh-CN"/>
          <w14:textFill>
            <w14:solidFill>
              <w14:schemeClr w14:val="tx1"/>
            </w14:solidFill>
          </w14:textFill>
        </w:rPr>
        <w:t>本次投标保证金收取金额：壹万元整。</w:t>
      </w:r>
    </w:p>
    <w:p>
      <w:pPr>
        <w:numPr>
          <w:ilvl w:val="0"/>
          <w:numId w:val="4"/>
        </w:numPr>
        <w:autoSpaceDE w:val="0"/>
        <w:spacing w:line="480" w:lineRule="exact"/>
        <w:ind w:left="480" w:leftChars="0" w:firstLine="0" w:firstLineChars="0"/>
        <w:rPr>
          <w:rFonts w:hint="default" w:ascii="宋体" w:hAnsi="宋体"/>
          <w:color w:val="000000" w:themeColor="text1"/>
          <w:kern w:val="0"/>
          <w:sz w:val="24"/>
          <w:lang w:val="en-US" w:eastAsia="zh-CN"/>
          <w14:textFill>
            <w14:solidFill>
              <w14:schemeClr w14:val="tx1"/>
            </w14:solidFill>
          </w14:textFill>
        </w:rPr>
      </w:pPr>
      <w:r>
        <w:rPr>
          <w:rFonts w:hint="eastAsia" w:hAnsi="宋体"/>
          <w:color w:val="000000" w:themeColor="text1"/>
          <w:kern w:val="0"/>
          <w:sz w:val="24"/>
          <w:u w:val="none"/>
          <w:lang w:val="en-US" w:eastAsia="zh-CN"/>
          <w14:textFill>
            <w14:solidFill>
              <w14:schemeClr w14:val="tx1"/>
            </w14:solidFill>
          </w14:textFill>
        </w:rPr>
        <w:t>保证金缴纳开户行:建行北辰支行,账号：12001815700050001627；</w:t>
      </w:r>
    </w:p>
    <w:p>
      <w:pPr>
        <w:autoSpaceDE w:val="0"/>
        <w:spacing w:line="480" w:lineRule="exact"/>
        <w:ind w:firstLine="480" w:firstLineChars="200"/>
        <w:rPr>
          <w:rFonts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lang w:val="en-US" w:eastAsia="zh-CN"/>
          <w14:textFill>
            <w14:solidFill>
              <w14:schemeClr w14:val="tx1"/>
            </w14:solidFill>
          </w14:textFill>
        </w:rPr>
        <w:t>3</w:t>
      </w:r>
      <w:r>
        <w:rPr>
          <w:rFonts w:hint="eastAsia" w:ascii="宋体" w:hAnsi="宋体"/>
          <w:color w:val="000000" w:themeColor="text1"/>
          <w:kern w:val="0"/>
          <w:sz w:val="24"/>
          <w14:textFill>
            <w14:solidFill>
              <w14:schemeClr w14:val="tx1"/>
            </w14:solidFill>
          </w14:textFill>
        </w:rPr>
        <w:t>、报价前必须上传保证金缴纳单据，审核通过后方可报价；</w:t>
      </w:r>
    </w:p>
    <w:p>
      <w:pPr>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lang w:val="en-US" w:eastAsia="zh-CN"/>
          <w14:textFill>
            <w14:solidFill>
              <w14:schemeClr w14:val="tx1"/>
            </w14:solidFill>
          </w14:textFill>
        </w:rPr>
        <w:t>4</w:t>
      </w:r>
      <w:r>
        <w:rPr>
          <w:rFonts w:hint="eastAsia" w:ascii="宋体" w:hAnsi="宋体"/>
          <w:color w:val="000000" w:themeColor="text1"/>
          <w:kern w:val="0"/>
          <w:sz w:val="24"/>
          <w14:textFill>
            <w14:solidFill>
              <w14:schemeClr w14:val="tx1"/>
            </w14:solidFill>
          </w14:textFill>
        </w:rPr>
        <w:t>、投标保证金按以下时间和要求予以退还：</w:t>
      </w:r>
    </w:p>
    <w:p>
      <w:pPr>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1）业务终止或流标后，一个月内不在组织的，于5个工作日内退还；</w:t>
      </w:r>
    </w:p>
    <w:p>
      <w:pPr>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2）投标截止时间前，供应商撤销投标的，于中标结果公示后5个工作日内退还；</w:t>
      </w:r>
    </w:p>
    <w:p>
      <w:pPr>
        <w:spacing w:line="480" w:lineRule="exact"/>
        <w:ind w:firstLine="480" w:firstLineChars="200"/>
        <w:rPr>
          <w:rFonts w:hint="eastAsia" w:ascii="宋体" w:hAnsi="宋体"/>
          <w:color w:val="000000" w:themeColor="text1"/>
          <w:kern w:val="0"/>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3）中标结果公示后，于5个工作日内退还未中标人的投标保证金；</w:t>
      </w:r>
    </w:p>
    <w:p>
      <w:pPr>
        <w:spacing w:line="480" w:lineRule="exact"/>
        <w:ind w:firstLine="480" w:firstLineChars="200"/>
        <w:rPr>
          <w:rFonts w:hint="eastAsia" w:ascii="宋体" w:hAnsi="宋体"/>
          <w:color w:val="000000" w:themeColor="text1"/>
          <w:kern w:val="0"/>
          <w:sz w:val="24"/>
          <w:lang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4）中标人签订合同后，于5个工作日内退还中标人的投标保证金，有约定投标保证金转为履约保证金或质保金的，按合同规定执行。</w:t>
      </w:r>
    </w:p>
    <w:p>
      <w:pPr>
        <w:autoSpaceDE w:val="0"/>
        <w:spacing w:line="480" w:lineRule="exact"/>
        <w:ind w:firstLine="480" w:firstLineChars="200"/>
        <w:rPr>
          <w:rFonts w:hint="default" w:ascii="宋体" w:hAnsi="宋体" w:eastAsia="宋体"/>
          <w:color w:val="000000" w:themeColor="text1"/>
          <w:kern w:val="0"/>
          <w:sz w:val="24"/>
          <w:lang w:val="en-US" w:eastAsia="zh-CN"/>
          <w14:textFill>
            <w14:solidFill>
              <w14:schemeClr w14:val="tx1"/>
            </w14:solidFill>
          </w14:textFill>
        </w:rPr>
      </w:pPr>
      <w:r>
        <w:rPr>
          <w:rFonts w:hint="eastAsia" w:ascii="宋体" w:hAnsi="宋体"/>
          <w:color w:val="000000" w:themeColor="text1"/>
          <w:kern w:val="0"/>
          <w:sz w:val="24"/>
          <w14:textFill>
            <w14:solidFill>
              <w14:schemeClr w14:val="tx1"/>
            </w14:solidFill>
          </w14:textFill>
        </w:rPr>
        <w:t>（二）竞价价格为含税价格</w:t>
      </w:r>
      <w:r>
        <w:rPr>
          <w:rFonts w:hint="eastAsia" w:ascii="宋体" w:hAnsi="宋体"/>
          <w:color w:val="000000" w:themeColor="text1"/>
          <w:kern w:val="0"/>
          <w:sz w:val="24"/>
          <w:lang w:eastAsia="zh-CN"/>
          <w14:textFill>
            <w14:solidFill>
              <w14:schemeClr w14:val="tx1"/>
            </w14:solidFill>
          </w14:textFill>
        </w:rPr>
        <w:t>，</w:t>
      </w:r>
      <w:r>
        <w:rPr>
          <w:rFonts w:hint="eastAsia" w:ascii="宋体" w:hAnsi="宋体"/>
          <w:color w:val="000000" w:themeColor="text1"/>
          <w:kern w:val="0"/>
          <w:sz w:val="24"/>
          <w:lang w:val="en-US" w:eastAsia="zh-CN"/>
          <w14:textFill>
            <w14:solidFill>
              <w14:schemeClr w14:val="tx1"/>
            </w14:solidFill>
          </w14:textFill>
        </w:rPr>
        <w:t>40kg，50kg价格相同</w:t>
      </w:r>
      <w:r>
        <w:rPr>
          <w:rFonts w:hint="eastAsia" w:ascii="宋体" w:hAnsi="宋体"/>
          <w:color w:val="000000" w:themeColor="text1"/>
          <w:kern w:val="0"/>
          <w:sz w:val="24"/>
          <w14:textFill>
            <w14:solidFill>
              <w14:schemeClr w14:val="tx1"/>
            </w14:solidFill>
          </w14:textFill>
        </w:rPr>
        <w:t>，税率必须固定</w:t>
      </w:r>
      <w:r>
        <w:rPr>
          <w:rFonts w:hint="eastAsia" w:ascii="宋体" w:hAnsi="宋体"/>
          <w:color w:val="000000" w:themeColor="text1"/>
          <w:kern w:val="0"/>
          <w:sz w:val="24"/>
          <w:lang w:eastAsia="zh-CN"/>
          <w14:textFill>
            <w14:solidFill>
              <w14:schemeClr w14:val="tx1"/>
            </w14:solidFill>
          </w14:textFill>
        </w:rPr>
        <w:t>为</w:t>
      </w:r>
      <w:r>
        <w:rPr>
          <w:rFonts w:hint="eastAsia" w:ascii="宋体" w:hAnsi="宋体"/>
          <w:color w:val="000000" w:themeColor="text1"/>
          <w:kern w:val="0"/>
          <w:sz w:val="24"/>
          <w:lang w:val="en-US" w:eastAsia="zh-CN"/>
          <w14:textFill>
            <w14:solidFill>
              <w14:schemeClr w14:val="tx1"/>
            </w14:solidFill>
          </w14:textFill>
        </w:rPr>
        <w:t>13%，</w:t>
      </w:r>
      <w:r>
        <w:rPr>
          <w:rFonts w:hint="eastAsia" w:ascii="宋体" w:hAnsi="宋体"/>
          <w:color w:val="000000" w:themeColor="text1"/>
          <w:kern w:val="0"/>
          <w:sz w:val="24"/>
          <w14:textFill>
            <w14:solidFill>
              <w14:schemeClr w14:val="tx1"/>
            </w14:solidFill>
          </w14:textFill>
        </w:rPr>
        <w:t>且为一票结算，基准价格</w:t>
      </w:r>
      <w:r>
        <w:rPr>
          <w:rFonts w:hint="eastAsia" w:ascii="宋体" w:hAnsi="宋体"/>
          <w:color w:val="000000" w:themeColor="text1"/>
          <w:kern w:val="0"/>
          <w:sz w:val="24"/>
          <w:lang w:val="en-US" w:eastAsia="zh-CN"/>
          <w14:textFill>
            <w14:solidFill>
              <w14:schemeClr w14:val="tx1"/>
            </w14:solidFill>
          </w14:textFill>
        </w:rPr>
        <w:t>1.5</w:t>
      </w:r>
      <w:r>
        <w:rPr>
          <w:rFonts w:hint="eastAsia" w:ascii="宋体" w:hAnsi="宋体"/>
          <w:color w:val="000000" w:themeColor="text1"/>
          <w:kern w:val="0"/>
          <w:sz w:val="24"/>
          <w14:textFill>
            <w14:solidFill>
              <w14:schemeClr w14:val="tx1"/>
            </w14:solidFill>
          </w14:textFill>
        </w:rPr>
        <w:t>（含税，元），</w:t>
      </w:r>
      <w:r>
        <w:rPr>
          <w:rFonts w:hint="eastAsia" w:ascii="宋体" w:hAnsi="宋体"/>
          <w:color w:val="000000" w:themeColor="text1"/>
          <w:kern w:val="0"/>
          <w:sz w:val="24"/>
          <w:lang w:eastAsia="zh-CN"/>
          <w14:textFill>
            <w14:solidFill>
              <w14:schemeClr w14:val="tx1"/>
            </w14:solidFill>
          </w14:textFill>
        </w:rPr>
        <w:t>降幅</w:t>
      </w:r>
      <w:r>
        <w:rPr>
          <w:rFonts w:hint="eastAsia" w:ascii="宋体" w:hAnsi="宋体"/>
          <w:color w:val="000000" w:themeColor="text1"/>
          <w:kern w:val="0"/>
          <w:sz w:val="24"/>
          <w:lang w:val="en-US" w:eastAsia="zh-CN"/>
          <w14:textFill>
            <w14:solidFill>
              <w14:schemeClr w14:val="tx1"/>
            </w14:solidFill>
          </w14:textFill>
        </w:rPr>
        <w:t>0.03元/次</w:t>
      </w:r>
      <w:r>
        <w:rPr>
          <w:rFonts w:hint="eastAsia" w:ascii="宋体" w:hAnsi="宋体"/>
          <w:color w:val="000000" w:themeColor="text1"/>
          <w:kern w:val="0"/>
          <w:sz w:val="24"/>
          <w14:textFill>
            <w14:solidFill>
              <w14:schemeClr w14:val="tx1"/>
            </w14:solidFill>
          </w14:textFill>
        </w:rPr>
        <w:t>（含税，元）。</w:t>
      </w:r>
      <w:r>
        <w:rPr>
          <w:rFonts w:hint="eastAsia" w:ascii="宋体" w:hAnsi="宋体"/>
          <w:color w:val="000000" w:themeColor="text1"/>
          <w:kern w:val="0"/>
          <w:sz w:val="24"/>
          <w:lang w:val="en-US" w:eastAsia="zh-CN"/>
          <w14:textFill>
            <w14:solidFill>
              <w14:schemeClr w14:val="tx1"/>
            </w14:solidFill>
          </w14:textFill>
        </w:rPr>
        <w:t>所报价格为现金价。</w:t>
      </w:r>
    </w:p>
    <w:p>
      <w:pPr>
        <w:autoSpaceDE w:val="0"/>
        <w:spacing w:line="480" w:lineRule="exact"/>
        <w:ind w:firstLine="480" w:firstLineChars="200"/>
        <w:rPr>
          <w:rFonts w:hint="eastAsia" w:ascii="宋体" w:hAnsi="宋体"/>
          <w:color w:val="000000" w:themeColor="text1"/>
          <w:kern w:val="0"/>
          <w:sz w:val="24"/>
          <w14:textFill>
            <w14:solidFill>
              <w14:schemeClr w14:val="tx1"/>
            </w14:solidFill>
          </w14:textFill>
        </w:rPr>
      </w:pPr>
    </w:p>
    <w:p>
      <w:pPr>
        <w:autoSpaceDE w:val="0"/>
        <w:spacing w:line="480" w:lineRule="exact"/>
        <w:ind w:firstLine="480" w:firstLineChars="200"/>
        <w:rPr>
          <w:rFonts w:hint="eastAsia" w:ascii="宋体" w:hAnsi="宋体"/>
          <w:color w:val="000000" w:themeColor="text1"/>
          <w:kern w:val="0"/>
          <w:sz w:val="24"/>
          <w14:textFill>
            <w14:solidFill>
              <w14:schemeClr w14:val="tx1"/>
            </w14:solidFill>
          </w14:textFill>
        </w:rPr>
      </w:pPr>
    </w:p>
    <w:p>
      <w:pPr>
        <w:autoSpaceDE w:val="0"/>
        <w:spacing w:line="480" w:lineRule="exact"/>
        <w:ind w:firstLine="480" w:firstLineChars="200"/>
        <w:rPr>
          <w:rFonts w:hint="eastAsia" w:ascii="宋体" w:hAnsi="宋体"/>
          <w:color w:val="000000" w:themeColor="text1"/>
          <w:kern w:val="0"/>
          <w:sz w:val="24"/>
          <w14:textFill>
            <w14:solidFill>
              <w14:schemeClr w14:val="tx1"/>
            </w14:solidFill>
          </w14:textFill>
        </w:rPr>
      </w:pPr>
    </w:p>
    <w:p>
      <w:pPr>
        <w:autoSpaceDE w:val="0"/>
        <w:spacing w:line="480" w:lineRule="exact"/>
        <w:ind w:firstLine="480" w:firstLineChars="200"/>
        <w:rPr>
          <w:rFonts w:hint="eastAsia" w:ascii="宋体" w:hAnsi="宋体"/>
          <w:color w:val="000000" w:themeColor="text1"/>
          <w:kern w:val="0"/>
          <w:sz w:val="24"/>
          <w14:textFill>
            <w14:solidFill>
              <w14:schemeClr w14:val="tx1"/>
            </w14:solidFill>
          </w14:textFill>
        </w:rPr>
      </w:pPr>
    </w:p>
    <w:p>
      <w:pPr>
        <w:autoSpaceDE w:val="0"/>
        <w:spacing w:line="480" w:lineRule="exact"/>
        <w:rPr>
          <w:rFonts w:hint="eastAsia" w:ascii="宋体" w:hAnsi="宋体"/>
          <w:color w:val="000000" w:themeColor="text1"/>
          <w:kern w:val="0"/>
          <w:sz w:val="24"/>
          <w14:textFill>
            <w14:solidFill>
              <w14:schemeClr w14:val="tx1"/>
            </w14:solidFill>
          </w14:textFill>
        </w:rPr>
      </w:pPr>
    </w:p>
    <w:p>
      <w:pPr>
        <w:autoSpaceDE w:val="0"/>
        <w:spacing w:line="480" w:lineRule="exact"/>
        <w:rPr>
          <w:rFonts w:hint="eastAsia" w:ascii="宋体" w:hAnsi="宋体"/>
          <w:color w:val="000000" w:themeColor="text1"/>
          <w:kern w:val="0"/>
          <w:sz w:val="24"/>
          <w14:textFill>
            <w14:solidFill>
              <w14:schemeClr w14:val="tx1"/>
            </w14:solidFill>
          </w14:textFill>
        </w:rPr>
      </w:pPr>
    </w:p>
    <w:p>
      <w:pPr>
        <w:autoSpaceDE w:val="0"/>
        <w:spacing w:line="480" w:lineRule="exact"/>
        <w:rPr>
          <w:rFonts w:hint="eastAsia" w:ascii="宋体" w:hAnsi="宋体"/>
          <w:color w:val="000000" w:themeColor="text1"/>
          <w:kern w:val="0"/>
          <w:sz w:val="24"/>
          <w14:textFill>
            <w14:solidFill>
              <w14:schemeClr w14:val="tx1"/>
            </w14:solidFill>
          </w14:textFill>
        </w:rPr>
      </w:pPr>
    </w:p>
    <w:p>
      <w:pPr>
        <w:autoSpaceDE w:val="0"/>
        <w:spacing w:line="480" w:lineRule="exact"/>
        <w:rPr>
          <w:rFonts w:hint="eastAsia" w:ascii="宋体" w:hAnsi="宋体"/>
          <w:color w:val="000000" w:themeColor="text1"/>
          <w:kern w:val="0"/>
          <w:sz w:val="24"/>
          <w14:textFill>
            <w14:solidFill>
              <w14:schemeClr w14:val="tx1"/>
            </w14:solidFill>
          </w14:textFill>
        </w:rPr>
      </w:pPr>
    </w:p>
    <w:p>
      <w:pPr>
        <w:autoSpaceDE w:val="0"/>
        <w:spacing w:line="480" w:lineRule="exact"/>
        <w:rPr>
          <w:rFonts w:hint="eastAsia" w:ascii="宋体" w:hAnsi="宋体"/>
          <w:color w:val="000000" w:themeColor="text1"/>
          <w:kern w:val="0"/>
          <w:sz w:val="24"/>
          <w14:textFill>
            <w14:solidFill>
              <w14:schemeClr w14:val="tx1"/>
            </w14:solidFill>
          </w14:textFill>
        </w:rPr>
      </w:pPr>
    </w:p>
    <w:p>
      <w:pPr>
        <w:pStyle w:val="2"/>
        <w:spacing w:line="480" w:lineRule="exact"/>
      </w:pPr>
      <w:bookmarkStart w:id="22" w:name="_Toc54603376"/>
      <w:bookmarkStart w:id="23" w:name="_Toc54685368"/>
      <w:bookmarkStart w:id="24" w:name="_Toc54603440"/>
      <w:bookmarkStart w:id="25" w:name="_Toc75176453"/>
      <w:r>
        <w:rPr>
          <w:rFonts w:hint="eastAsia"/>
        </w:rPr>
        <w:t>五、拟签订合同条款</w:t>
      </w:r>
      <w:bookmarkEnd w:id="22"/>
      <w:bookmarkEnd w:id="23"/>
      <w:bookmarkEnd w:id="24"/>
      <w:bookmarkEnd w:id="25"/>
    </w:p>
    <w:p>
      <w:pPr>
        <w:spacing w:line="460" w:lineRule="exact"/>
        <w:ind w:firstLine="480" w:firstLineChars="200"/>
        <w:rPr>
          <w:rFonts w:hint="eastAsia" w:ascii="宋体" w:hAnsi="宋体"/>
          <w:color w:val="000000" w:themeColor="text1"/>
          <w:sz w:val="24"/>
          <w14:textFill>
            <w14:solidFill>
              <w14:schemeClr w14:val="tx1"/>
            </w14:solidFill>
          </w14:textFill>
        </w:rPr>
      </w:pPr>
    </w:p>
    <w:p>
      <w:pPr>
        <w:jc w:val="center"/>
        <w:rPr>
          <w:rFonts w:ascii="黑体" w:hAnsi="黑体" w:eastAsia="黑体"/>
          <w:bCs/>
          <w:sz w:val="36"/>
          <w:szCs w:val="36"/>
        </w:rPr>
      </w:pPr>
      <w:r>
        <w:rPr>
          <w:rFonts w:hint="eastAsia" w:ascii="黑体" w:hAnsi="黑体" w:eastAsia="黑体"/>
          <w:bCs/>
          <w:sz w:val="36"/>
          <w:szCs w:val="36"/>
        </w:rPr>
        <w:t>水泥包装袋买卖合同</w:t>
      </w:r>
    </w:p>
    <w:p>
      <w:pPr>
        <w:spacing w:line="360" w:lineRule="auto"/>
        <w:jc w:val="center"/>
        <w:rPr>
          <w:sz w:val="36"/>
          <w:szCs w:val="36"/>
        </w:rPr>
      </w:pPr>
    </w:p>
    <w:p>
      <w:pPr>
        <w:tabs>
          <w:tab w:val="left" w:pos="6117"/>
          <w:tab w:val="left" w:pos="6145"/>
        </w:tabs>
        <w:spacing w:line="500" w:lineRule="exact"/>
        <w:ind w:right="420" w:firstLine="5145" w:firstLineChars="2450"/>
        <w:rPr>
          <w:szCs w:val="21"/>
        </w:rPr>
      </w:pPr>
      <w:r>
        <w:rPr>
          <w:rFonts w:hint="eastAsia"/>
          <w:szCs w:val="21"/>
        </w:rPr>
        <w:t>签订地点：</w:t>
      </w:r>
      <w:r>
        <w:rPr>
          <w:rFonts w:hint="eastAsia" w:ascii="宋体" w:hAnsi="宋体"/>
          <w:szCs w:val="21"/>
        </w:rPr>
        <w:t>天津市北辰区</w:t>
      </w:r>
    </w:p>
    <w:p>
      <w:pPr>
        <w:tabs>
          <w:tab w:val="left" w:pos="6117"/>
          <w:tab w:val="left" w:pos="6145"/>
        </w:tabs>
        <w:spacing w:line="500" w:lineRule="exact"/>
        <w:ind w:right="420" w:firstLine="5145" w:firstLineChars="2450"/>
        <w:rPr>
          <w:szCs w:val="21"/>
        </w:rPr>
      </w:pPr>
      <w:r>
        <w:rPr>
          <w:rFonts w:hint="eastAsia"/>
          <w:szCs w:val="21"/>
        </w:rPr>
        <w:t>签订时间：</w:t>
      </w:r>
      <w:r>
        <w:rPr>
          <w:rFonts w:ascii="宋体" w:hAnsi="宋体"/>
          <w:szCs w:val="21"/>
          <w:u w:val="single"/>
        </w:rPr>
        <w:t>2020</w:t>
      </w:r>
      <w:r>
        <w:rPr>
          <w:rFonts w:hint="eastAsia" w:ascii="宋体" w:hAnsi="宋体"/>
          <w:szCs w:val="21"/>
        </w:rPr>
        <w:t>年</w:t>
      </w:r>
      <w:r>
        <w:rPr>
          <w:rFonts w:ascii="宋体" w:hAnsi="宋体"/>
          <w:szCs w:val="21"/>
          <w:u w:val="single"/>
        </w:rPr>
        <w:t xml:space="preserve">  </w:t>
      </w:r>
      <w:r>
        <w:rPr>
          <w:rFonts w:hint="eastAsia" w:ascii="宋体" w:hAnsi="宋体"/>
          <w:szCs w:val="21"/>
        </w:rPr>
        <w:t>月</w:t>
      </w:r>
      <w:r>
        <w:rPr>
          <w:rFonts w:hint="eastAsia" w:ascii="宋体" w:hAnsi="宋体"/>
          <w:szCs w:val="21"/>
          <w:u w:val="single"/>
        </w:rPr>
        <w:t>_</w:t>
      </w:r>
      <w:r>
        <w:rPr>
          <w:rFonts w:ascii="宋体" w:hAnsi="宋体"/>
          <w:szCs w:val="21"/>
          <w:u w:val="single"/>
        </w:rPr>
        <w:t xml:space="preserve"> </w:t>
      </w:r>
      <w:r>
        <w:rPr>
          <w:rFonts w:hint="eastAsia" w:ascii="宋体" w:hAnsi="宋体"/>
          <w:szCs w:val="21"/>
        </w:rPr>
        <w:t>日</w:t>
      </w:r>
    </w:p>
    <w:p>
      <w:pPr>
        <w:spacing w:line="360" w:lineRule="auto"/>
        <w:ind w:firstLine="463" w:firstLineChars="192"/>
        <w:jc w:val="left"/>
        <w:rPr>
          <w:rFonts w:ascii="宋体" w:hAnsi="宋体"/>
          <w:sz w:val="24"/>
        </w:rPr>
      </w:pPr>
      <w:r>
        <w:rPr>
          <w:rFonts w:hint="eastAsia" w:ascii="宋体" w:hAnsi="宋体"/>
          <w:b/>
          <w:sz w:val="24"/>
        </w:rPr>
        <w:t>甲方</w:t>
      </w:r>
      <w:r>
        <w:rPr>
          <w:rFonts w:hint="eastAsia" w:ascii="宋体" w:hAnsi="宋体"/>
          <w:sz w:val="24"/>
        </w:rPr>
        <w:t>：</w:t>
      </w:r>
      <w:r>
        <w:rPr>
          <w:rFonts w:hint="eastAsia" w:ascii="宋体" w:hAnsi="宋体"/>
          <w:sz w:val="24"/>
          <w:u w:val="single"/>
        </w:rPr>
        <w:t>天津金隅振兴环保科技有限公司</w:t>
      </w:r>
      <w:r>
        <w:rPr>
          <w:rFonts w:hint="eastAsia" w:ascii="宋体" w:hAnsi="宋体"/>
          <w:sz w:val="24"/>
        </w:rPr>
        <w:t xml:space="preserve">                 </w:t>
      </w:r>
    </w:p>
    <w:p>
      <w:pPr>
        <w:spacing w:line="360" w:lineRule="auto"/>
        <w:ind w:firstLine="463" w:firstLineChars="192"/>
        <w:jc w:val="left"/>
        <w:rPr>
          <w:rFonts w:ascii="宋体" w:hAnsi="宋体"/>
          <w:sz w:val="24"/>
        </w:rPr>
      </w:pPr>
      <w:r>
        <w:rPr>
          <w:rFonts w:hint="eastAsia" w:ascii="宋体" w:hAnsi="宋体"/>
          <w:b/>
          <w:sz w:val="24"/>
        </w:rPr>
        <w:t>乙方</w:t>
      </w:r>
      <w:r>
        <w:rPr>
          <w:rFonts w:hint="eastAsia" w:ascii="宋体" w:hAnsi="宋体"/>
          <w:sz w:val="24"/>
        </w:rPr>
        <w:t>：</w:t>
      </w:r>
      <w:r>
        <w:rPr>
          <w:rFonts w:hint="eastAsia" w:ascii="宋体" w:hAnsi="宋体"/>
          <w:sz w:val="24"/>
          <w:u w:val="single"/>
        </w:rPr>
        <w:t xml:space="preserve"> </w:t>
      </w:r>
      <w:r>
        <w:rPr>
          <w:rFonts w:ascii="宋体" w:hAnsi="宋体"/>
          <w:sz w:val="24"/>
          <w:u w:val="single"/>
        </w:rPr>
        <w:t xml:space="preserve">                           </w:t>
      </w:r>
      <w:r>
        <w:rPr>
          <w:rFonts w:ascii="宋体" w:hAnsi="宋体"/>
          <w:sz w:val="24"/>
        </w:rPr>
        <w:t xml:space="preserve">  </w:t>
      </w:r>
      <w:r>
        <w:rPr>
          <w:rFonts w:ascii="宋体" w:hAnsi="宋体"/>
          <w:color w:val="FF0000"/>
          <w:sz w:val="24"/>
        </w:rPr>
        <w:t xml:space="preserve">  </w:t>
      </w:r>
      <w:r>
        <w:rPr>
          <w:rFonts w:ascii="宋体" w:hAnsi="宋体"/>
          <w:sz w:val="24"/>
        </w:rPr>
        <w:t xml:space="preserve">     </w:t>
      </w:r>
      <w:r>
        <w:rPr>
          <w:rFonts w:ascii="宋体" w:hAnsi="宋体"/>
          <w:sz w:val="24"/>
        </w:rPr>
        <w:tab/>
      </w:r>
    </w:p>
    <w:p>
      <w:pPr>
        <w:pStyle w:val="9"/>
        <w:spacing w:line="500" w:lineRule="exact"/>
        <w:ind w:firstLine="460" w:firstLineChars="192"/>
        <w:rPr>
          <w:rFonts w:hint="eastAsia" w:ascii="宋体" w:hAnsi="宋体" w:eastAsia="宋体" w:cs="Times New Roman"/>
          <w:color w:val="000000"/>
          <w:kern w:val="2"/>
          <w:sz w:val="24"/>
          <w:szCs w:val="24"/>
          <w:lang w:val="en-US" w:eastAsia="zh-CN" w:bidi="ar-SA"/>
        </w:rPr>
      </w:pPr>
      <w:r>
        <w:rPr>
          <w:rFonts w:hint="eastAsia" w:ascii="宋体" w:hAnsi="宋体" w:eastAsia="宋体" w:cs="Times New Roman"/>
          <w:color w:val="000000"/>
          <w:kern w:val="2"/>
          <w:sz w:val="24"/>
          <w:szCs w:val="24"/>
          <w:lang w:val="en-US" w:eastAsia="zh-CN" w:bidi="ar-SA"/>
        </w:rPr>
        <w:t>根据《中华人民共和国民法典》及相关法律、法规的规定，为保证双方的合法权益，经甲、乙双方协商一致，在自愿、平等、诚信的基础上签订本合同。</w:t>
      </w:r>
    </w:p>
    <w:p>
      <w:pPr>
        <w:numPr>
          <w:ilvl w:val="0"/>
          <w:numId w:val="5"/>
        </w:numPr>
        <w:spacing w:line="500" w:lineRule="exact"/>
        <w:ind w:firstLine="472" w:firstLineChars="196"/>
        <w:rPr>
          <w:rFonts w:hint="eastAsia" w:ascii="宋体" w:hAnsi="宋体"/>
          <w:b/>
          <w:sz w:val="24"/>
        </w:rPr>
      </w:pPr>
      <w:r>
        <w:rPr>
          <w:rFonts w:hint="eastAsia" w:ascii="宋体" w:hAnsi="宋体"/>
          <w:b/>
          <w:sz w:val="24"/>
        </w:rPr>
        <w:t xml:space="preserve"> 产品名称、规格、数量、价格</w:t>
      </w:r>
    </w:p>
    <w:tbl>
      <w:tblPr>
        <w:tblStyle w:val="17"/>
        <w:tblW w:w="46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7"/>
        <w:gridCol w:w="1405"/>
        <w:gridCol w:w="1766"/>
        <w:gridCol w:w="1885"/>
        <w:gridCol w:w="1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957" w:type="pct"/>
            <w:vAlign w:val="center"/>
          </w:tcPr>
          <w:p>
            <w:pPr>
              <w:autoSpaceDE w:val="0"/>
              <w:spacing w:line="360" w:lineRule="exact"/>
              <w:jc w:val="center"/>
              <w:rPr>
                <w:rFonts w:ascii="宋体" w:hAnsi="宋体"/>
                <w:kern w:val="0"/>
                <w:sz w:val="24"/>
              </w:rPr>
            </w:pPr>
            <w:r>
              <w:rPr>
                <w:rFonts w:hint="eastAsia" w:ascii="宋体" w:hAnsi="宋体"/>
                <w:kern w:val="0"/>
                <w:sz w:val="24"/>
              </w:rPr>
              <w:t>产品名称</w:t>
            </w:r>
          </w:p>
        </w:tc>
        <w:tc>
          <w:tcPr>
            <w:tcW w:w="853" w:type="pct"/>
            <w:vAlign w:val="center"/>
          </w:tcPr>
          <w:p>
            <w:pPr>
              <w:autoSpaceDE w:val="0"/>
              <w:spacing w:line="360" w:lineRule="exact"/>
              <w:jc w:val="center"/>
              <w:rPr>
                <w:rFonts w:ascii="宋体" w:hAnsi="宋体"/>
                <w:kern w:val="0"/>
                <w:sz w:val="24"/>
              </w:rPr>
            </w:pPr>
            <w:r>
              <w:rPr>
                <w:rFonts w:hint="eastAsia" w:ascii="宋体" w:hAnsi="宋体"/>
                <w:kern w:val="0"/>
                <w:sz w:val="24"/>
              </w:rPr>
              <w:t>规格</w:t>
            </w:r>
          </w:p>
        </w:tc>
        <w:tc>
          <w:tcPr>
            <w:tcW w:w="1072" w:type="pct"/>
            <w:vAlign w:val="center"/>
          </w:tcPr>
          <w:p>
            <w:pPr>
              <w:autoSpaceDE w:val="0"/>
              <w:spacing w:line="360" w:lineRule="exact"/>
              <w:jc w:val="center"/>
              <w:rPr>
                <w:rFonts w:ascii="宋体" w:hAnsi="宋体"/>
                <w:kern w:val="0"/>
                <w:sz w:val="24"/>
              </w:rPr>
            </w:pPr>
            <w:r>
              <w:rPr>
                <w:rFonts w:hint="eastAsia" w:ascii="宋体" w:hAnsi="宋体"/>
                <w:kern w:val="0"/>
                <w:sz w:val="24"/>
              </w:rPr>
              <w:t>数量（</w:t>
            </w:r>
            <w:r>
              <w:rPr>
                <w:rFonts w:hint="eastAsia" w:ascii="宋体" w:hAnsi="宋体"/>
                <w:kern w:val="0"/>
                <w:sz w:val="24"/>
                <w:lang w:val="en-US" w:eastAsia="zh-CN"/>
              </w:rPr>
              <w:t>万</w:t>
            </w:r>
            <w:r>
              <w:rPr>
                <w:rFonts w:hint="eastAsia" w:ascii="宋体" w:hAnsi="宋体"/>
                <w:kern w:val="0"/>
                <w:sz w:val="24"/>
              </w:rPr>
              <w:t>条）</w:t>
            </w:r>
          </w:p>
        </w:tc>
        <w:tc>
          <w:tcPr>
            <w:tcW w:w="1144" w:type="pct"/>
            <w:vAlign w:val="center"/>
          </w:tcPr>
          <w:p>
            <w:pPr>
              <w:autoSpaceDE w:val="0"/>
              <w:spacing w:line="360" w:lineRule="exact"/>
              <w:jc w:val="center"/>
              <w:rPr>
                <w:rFonts w:ascii="宋体" w:hAnsi="宋体"/>
                <w:kern w:val="0"/>
                <w:sz w:val="24"/>
              </w:rPr>
            </w:pPr>
            <w:r>
              <w:rPr>
                <w:rFonts w:hint="eastAsia" w:ascii="宋体" w:hAnsi="宋体"/>
                <w:kern w:val="0"/>
                <w:sz w:val="24"/>
              </w:rPr>
              <w:t>单价（元）</w:t>
            </w:r>
          </w:p>
        </w:tc>
        <w:tc>
          <w:tcPr>
            <w:tcW w:w="971" w:type="pct"/>
            <w:vAlign w:val="center"/>
          </w:tcPr>
          <w:p>
            <w:pPr>
              <w:autoSpaceDE w:val="0"/>
              <w:spacing w:line="360" w:lineRule="exact"/>
              <w:ind w:firstLine="480" w:firstLineChars="200"/>
              <w:jc w:val="both"/>
              <w:rPr>
                <w:rFonts w:ascii="宋体" w:hAnsi="宋体"/>
                <w:kern w:val="0"/>
                <w:sz w:val="24"/>
              </w:rPr>
            </w:pPr>
            <w:r>
              <w:rPr>
                <w:rFonts w:hint="eastAsia" w:ascii="宋体" w:hAnsi="宋体"/>
                <w:kern w:val="0"/>
                <w:sz w:val="24"/>
              </w:rPr>
              <w:t>金额</w:t>
            </w:r>
          </w:p>
          <w:p>
            <w:pPr>
              <w:autoSpaceDE w:val="0"/>
              <w:spacing w:line="360" w:lineRule="exact"/>
              <w:jc w:val="center"/>
              <w:rPr>
                <w:rFonts w:ascii="宋体" w:hAnsi="宋体"/>
                <w:kern w:val="0"/>
                <w:sz w:val="24"/>
              </w:rPr>
            </w:pPr>
            <w:r>
              <w:rPr>
                <w:rFonts w:hint="eastAsia" w:ascii="宋体" w:hAnsi="宋体"/>
                <w:kern w:val="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57" w:type="pct"/>
            <w:vAlign w:val="center"/>
          </w:tcPr>
          <w:p>
            <w:pPr>
              <w:autoSpaceDE w:val="0"/>
              <w:spacing w:line="360" w:lineRule="exact"/>
              <w:jc w:val="center"/>
              <w:rPr>
                <w:rFonts w:hint="eastAsia" w:ascii="宋体" w:hAnsi="宋体"/>
                <w:kern w:val="0"/>
                <w:sz w:val="24"/>
                <w:lang w:val="en-US" w:eastAsia="zh-CN"/>
              </w:rPr>
            </w:pPr>
            <w:r>
              <w:rPr>
                <w:rFonts w:hint="eastAsia" w:ascii="宋体" w:hAnsi="宋体"/>
                <w:kern w:val="0"/>
                <w:sz w:val="24"/>
                <w:lang w:val="en-US" w:eastAsia="zh-CN"/>
              </w:rPr>
              <w:t>方底阀口袋</w:t>
            </w:r>
          </w:p>
        </w:tc>
        <w:tc>
          <w:tcPr>
            <w:tcW w:w="853"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40kg</w:t>
            </w:r>
          </w:p>
        </w:tc>
        <w:tc>
          <w:tcPr>
            <w:tcW w:w="1072"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30</w:t>
            </w:r>
          </w:p>
        </w:tc>
        <w:tc>
          <w:tcPr>
            <w:tcW w:w="1144" w:type="pct"/>
            <w:vAlign w:val="center"/>
          </w:tcPr>
          <w:p>
            <w:pPr>
              <w:autoSpaceDE w:val="0"/>
              <w:spacing w:line="360" w:lineRule="exact"/>
              <w:jc w:val="center"/>
              <w:rPr>
                <w:rFonts w:ascii="宋体" w:hAnsi="宋体"/>
                <w:kern w:val="0"/>
                <w:sz w:val="24"/>
              </w:rPr>
            </w:pPr>
          </w:p>
        </w:tc>
        <w:tc>
          <w:tcPr>
            <w:tcW w:w="971" w:type="pct"/>
            <w:vAlign w:val="center"/>
          </w:tcPr>
          <w:p>
            <w:pPr>
              <w:autoSpaceDE w:val="0"/>
              <w:spacing w:line="360" w:lineRule="exact"/>
              <w:ind w:firstLine="480" w:firstLineChars="200"/>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957"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方底阀口袋</w:t>
            </w:r>
          </w:p>
        </w:tc>
        <w:tc>
          <w:tcPr>
            <w:tcW w:w="853"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50kg</w:t>
            </w:r>
          </w:p>
        </w:tc>
        <w:tc>
          <w:tcPr>
            <w:tcW w:w="1072"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60</w:t>
            </w:r>
          </w:p>
        </w:tc>
        <w:tc>
          <w:tcPr>
            <w:tcW w:w="1144" w:type="pct"/>
            <w:vAlign w:val="center"/>
          </w:tcPr>
          <w:p>
            <w:pPr>
              <w:autoSpaceDE w:val="0"/>
              <w:spacing w:line="360" w:lineRule="exact"/>
              <w:jc w:val="center"/>
              <w:rPr>
                <w:rFonts w:ascii="宋体" w:hAnsi="宋体"/>
                <w:kern w:val="0"/>
                <w:sz w:val="24"/>
              </w:rPr>
            </w:pPr>
          </w:p>
        </w:tc>
        <w:tc>
          <w:tcPr>
            <w:tcW w:w="971" w:type="pct"/>
            <w:vAlign w:val="center"/>
          </w:tcPr>
          <w:p>
            <w:pPr>
              <w:autoSpaceDE w:val="0"/>
              <w:spacing w:line="360" w:lineRule="exact"/>
              <w:ind w:firstLine="480" w:firstLineChars="200"/>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57" w:type="pct"/>
            <w:vAlign w:val="center"/>
          </w:tcPr>
          <w:p>
            <w:pPr>
              <w:autoSpaceDE w:val="0"/>
              <w:spacing w:line="360" w:lineRule="exact"/>
              <w:jc w:val="center"/>
              <w:rPr>
                <w:rFonts w:hint="eastAsia" w:ascii="宋体" w:hAnsi="宋体" w:eastAsia="宋体"/>
                <w:kern w:val="0"/>
                <w:sz w:val="24"/>
                <w:lang w:val="en-US" w:eastAsia="zh-CN"/>
              </w:rPr>
            </w:pPr>
            <w:r>
              <w:rPr>
                <w:rFonts w:hint="eastAsia" w:ascii="宋体" w:hAnsi="宋体"/>
                <w:kern w:val="0"/>
                <w:sz w:val="24"/>
                <w:lang w:val="en-US" w:eastAsia="zh-CN"/>
              </w:rPr>
              <w:t>合计</w:t>
            </w:r>
          </w:p>
        </w:tc>
        <w:tc>
          <w:tcPr>
            <w:tcW w:w="853" w:type="pct"/>
            <w:vAlign w:val="center"/>
          </w:tcPr>
          <w:p>
            <w:pPr>
              <w:autoSpaceDE w:val="0"/>
              <w:spacing w:line="360" w:lineRule="exact"/>
              <w:ind w:firstLine="480" w:firstLineChars="200"/>
              <w:jc w:val="center"/>
              <w:rPr>
                <w:rFonts w:ascii="宋体" w:hAnsi="宋体"/>
                <w:kern w:val="0"/>
                <w:sz w:val="24"/>
              </w:rPr>
            </w:pPr>
          </w:p>
        </w:tc>
        <w:tc>
          <w:tcPr>
            <w:tcW w:w="1072" w:type="pct"/>
            <w:vAlign w:val="center"/>
          </w:tcPr>
          <w:p>
            <w:pPr>
              <w:autoSpaceDE w:val="0"/>
              <w:spacing w:line="360" w:lineRule="exact"/>
              <w:jc w:val="center"/>
              <w:rPr>
                <w:rFonts w:hint="default" w:ascii="宋体" w:hAnsi="宋体" w:eastAsia="宋体"/>
                <w:kern w:val="0"/>
                <w:sz w:val="24"/>
                <w:lang w:val="en-US" w:eastAsia="zh-CN"/>
              </w:rPr>
            </w:pPr>
            <w:r>
              <w:rPr>
                <w:rFonts w:hint="eastAsia" w:ascii="宋体" w:hAnsi="宋体"/>
                <w:kern w:val="0"/>
                <w:sz w:val="24"/>
                <w:lang w:val="en-US" w:eastAsia="zh-CN"/>
              </w:rPr>
              <w:t>90</w:t>
            </w:r>
          </w:p>
        </w:tc>
        <w:tc>
          <w:tcPr>
            <w:tcW w:w="1144" w:type="pct"/>
            <w:vAlign w:val="center"/>
          </w:tcPr>
          <w:p>
            <w:pPr>
              <w:autoSpaceDE w:val="0"/>
              <w:spacing w:line="360" w:lineRule="exact"/>
              <w:ind w:firstLine="480" w:firstLineChars="200"/>
              <w:jc w:val="center"/>
              <w:rPr>
                <w:rFonts w:ascii="宋体" w:hAnsi="宋体"/>
                <w:kern w:val="0"/>
                <w:sz w:val="24"/>
              </w:rPr>
            </w:pPr>
          </w:p>
        </w:tc>
        <w:tc>
          <w:tcPr>
            <w:tcW w:w="971" w:type="pct"/>
            <w:vAlign w:val="center"/>
          </w:tcPr>
          <w:p>
            <w:pPr>
              <w:autoSpaceDE w:val="0"/>
              <w:spacing w:line="360" w:lineRule="exact"/>
              <w:ind w:firstLine="480" w:firstLineChars="200"/>
              <w:jc w:val="center"/>
              <w:rPr>
                <w:rFonts w:ascii="宋体" w:hAnsi="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000" w:type="pct"/>
            <w:gridSpan w:val="5"/>
            <w:vAlign w:val="center"/>
          </w:tcPr>
          <w:p>
            <w:pPr>
              <w:autoSpaceDE w:val="0"/>
              <w:spacing w:line="360" w:lineRule="exact"/>
              <w:jc w:val="left"/>
              <w:rPr>
                <w:rFonts w:hint="eastAsia" w:ascii="宋体" w:hAnsi="宋体"/>
                <w:kern w:val="0"/>
                <w:sz w:val="24"/>
              </w:rPr>
            </w:pPr>
            <w:r>
              <w:rPr>
                <w:rFonts w:hint="eastAsia" w:ascii="宋体" w:hAnsi="宋体"/>
                <w:kern w:val="0"/>
                <w:sz w:val="24"/>
              </w:rPr>
              <w:t>总计（人民币）：</w:t>
            </w:r>
          </w:p>
          <w:p>
            <w:pPr>
              <w:autoSpaceDE w:val="0"/>
              <w:spacing w:line="360" w:lineRule="exact"/>
              <w:jc w:val="left"/>
              <w:rPr>
                <w:rFonts w:hint="default" w:ascii="宋体" w:hAnsi="宋体" w:eastAsia="宋体"/>
                <w:kern w:val="0"/>
                <w:sz w:val="24"/>
                <w:lang w:val="en-US" w:eastAsia="zh-CN"/>
              </w:rPr>
            </w:pPr>
            <w:r>
              <w:rPr>
                <w:rFonts w:hint="eastAsia" w:ascii="宋体" w:hAnsi="宋体"/>
                <w:kern w:val="0"/>
                <w:sz w:val="24"/>
                <w:lang w:val="en-US" w:eastAsia="zh-CN"/>
              </w:rPr>
              <w:t>备注：一票，现金结算。</w:t>
            </w:r>
          </w:p>
        </w:tc>
      </w:tr>
    </w:tbl>
    <w:p>
      <w:pPr>
        <w:numPr>
          <w:ilvl w:val="0"/>
          <w:numId w:val="0"/>
        </w:numPr>
        <w:spacing w:line="500" w:lineRule="exact"/>
        <w:rPr>
          <w:rFonts w:hint="eastAsia" w:ascii="宋体" w:hAnsi="宋体"/>
          <w:b/>
          <w:sz w:val="24"/>
        </w:rPr>
      </w:pPr>
    </w:p>
    <w:p>
      <w:pPr>
        <w:spacing w:line="500" w:lineRule="exact"/>
        <w:ind w:firstLine="360" w:firstLineChars="150"/>
        <w:rPr>
          <w:rFonts w:ascii="宋体" w:hAnsi="宋体"/>
          <w:sz w:val="24"/>
        </w:rPr>
      </w:pPr>
      <w:r>
        <w:rPr>
          <w:rFonts w:hint="eastAsia" w:ascii="宋体" w:hAnsi="宋体"/>
          <w:color w:val="000000"/>
          <w:sz w:val="24"/>
        </w:rPr>
        <w:t>产品以甲方提供尺寸及图样为准，</w:t>
      </w:r>
      <w:r>
        <w:rPr>
          <w:rFonts w:hint="eastAsia" w:ascii="宋体" w:hAnsi="宋体"/>
          <w:sz w:val="24"/>
        </w:rPr>
        <w:t>具体要求见附件。</w:t>
      </w:r>
    </w:p>
    <w:p>
      <w:pPr>
        <w:spacing w:line="500" w:lineRule="exact"/>
        <w:ind w:firstLine="360" w:firstLineChars="150"/>
        <w:rPr>
          <w:rFonts w:ascii="宋体" w:hAnsi="宋体"/>
          <w:sz w:val="24"/>
        </w:rPr>
      </w:pPr>
      <w:r>
        <w:rPr>
          <w:rFonts w:hint="eastAsia" w:ascii="宋体" w:hAnsi="宋体"/>
          <w:sz w:val="24"/>
        </w:rPr>
        <w:t>上述供货数量及金额为暂估数，具体供货数量及供货时间以甲方通知为准，最终结算价款根据乙方在本合同有效期内具体的供货数量计算。</w:t>
      </w:r>
    </w:p>
    <w:p>
      <w:pPr>
        <w:spacing w:line="500" w:lineRule="exact"/>
        <w:ind w:firstLine="472" w:firstLineChars="196"/>
        <w:rPr>
          <w:rFonts w:ascii="宋体" w:hAnsi="宋体"/>
          <w:sz w:val="24"/>
        </w:rPr>
      </w:pPr>
      <w:r>
        <w:rPr>
          <w:rFonts w:hint="eastAsia" w:ascii="宋体" w:hAnsi="宋体"/>
          <w:b/>
          <w:sz w:val="24"/>
        </w:rPr>
        <w:t>第二条  交货时间、地点、费用负担、运输车辆要求</w:t>
      </w:r>
    </w:p>
    <w:p>
      <w:pPr>
        <w:spacing w:line="353" w:lineRule="auto"/>
        <w:ind w:firstLine="480" w:firstLineChars="200"/>
        <w:rPr>
          <w:sz w:val="24"/>
        </w:rPr>
      </w:pPr>
      <w:r>
        <w:rPr>
          <w:rFonts w:hint="eastAsia"/>
          <w:sz w:val="24"/>
        </w:rPr>
        <w:t>1、甲方按实际需求每月20日前以书面形式提供需求计划，发货前需提前</w:t>
      </w:r>
      <w:r>
        <w:rPr>
          <w:rFonts w:hint="eastAsia"/>
          <w:sz w:val="24"/>
          <w:u w:val="single"/>
        </w:rPr>
        <w:t>7</w:t>
      </w:r>
      <w:r>
        <w:rPr>
          <w:rFonts w:hint="eastAsia"/>
          <w:sz w:val="24"/>
        </w:rPr>
        <w:t>日通知乙方（电话或传真方式）。乙方负责将货物运送至甲方厂内指定库房，并负责承担全部运输费用及交货前发生的费用（包括但不限于运输保险费用、装车费等），如果出现卸车与装车数量不符时，乙方有义务协助甲方进行复核，复核结果由双方书面签字确认。</w:t>
      </w:r>
    </w:p>
    <w:p>
      <w:pPr>
        <w:spacing w:line="353" w:lineRule="auto"/>
        <w:ind w:firstLine="480" w:firstLineChars="200"/>
        <w:rPr>
          <w:sz w:val="24"/>
        </w:rPr>
      </w:pPr>
      <w:r>
        <w:rPr>
          <w:rFonts w:hint="eastAsia"/>
          <w:sz w:val="24"/>
        </w:rPr>
        <w:t>2、所用运输车辆及排放标准必须符合天津市政府及相关部门规定。</w:t>
      </w:r>
    </w:p>
    <w:p>
      <w:pPr>
        <w:spacing w:line="500" w:lineRule="exact"/>
        <w:ind w:firstLine="472" w:firstLineChars="196"/>
        <w:rPr>
          <w:rFonts w:ascii="宋体" w:hAnsi="宋体"/>
          <w:b/>
          <w:sz w:val="24"/>
        </w:rPr>
      </w:pPr>
      <w:r>
        <w:rPr>
          <w:rFonts w:hint="eastAsia" w:ascii="宋体" w:hAnsi="宋体"/>
          <w:b/>
          <w:sz w:val="24"/>
        </w:rPr>
        <w:t>第三条   价格保证及变动</w:t>
      </w:r>
    </w:p>
    <w:p>
      <w:pPr>
        <w:autoSpaceDE w:val="0"/>
        <w:autoSpaceDN w:val="0"/>
        <w:adjustRightInd w:val="0"/>
        <w:spacing w:line="500" w:lineRule="exact"/>
        <w:ind w:firstLine="460" w:firstLineChars="192"/>
        <w:jc w:val="left"/>
        <w:rPr>
          <w:rFonts w:ascii="宋体" w:hAnsi="宋体"/>
          <w:bCs/>
          <w:kern w:val="0"/>
          <w:sz w:val="24"/>
        </w:rPr>
      </w:pPr>
      <w:r>
        <w:rPr>
          <w:rFonts w:hint="eastAsia" w:ascii="宋体" w:hAnsi="宋体"/>
          <w:bCs/>
          <w:kern w:val="0"/>
          <w:sz w:val="24"/>
        </w:rPr>
        <w:t>在本合同履行期间，市场价格出现较大变化时，</w:t>
      </w:r>
      <w:r>
        <w:rPr>
          <w:rFonts w:hint="eastAsia" w:ascii="宋体" w:hAnsi="宋体"/>
          <w:bCs/>
          <w:color w:val="000000"/>
          <w:kern w:val="0"/>
          <w:sz w:val="24"/>
        </w:rPr>
        <w:t>双方需协商另签补充协议。对于已确认的需求计划，乙方仍应当执行原定价格，不得变价。</w:t>
      </w:r>
    </w:p>
    <w:p>
      <w:pPr>
        <w:spacing w:line="500" w:lineRule="exact"/>
        <w:ind w:firstLine="472" w:firstLineChars="196"/>
        <w:rPr>
          <w:rFonts w:ascii="宋体" w:hAnsi="宋体"/>
          <w:b/>
          <w:sz w:val="24"/>
        </w:rPr>
      </w:pPr>
      <w:r>
        <w:rPr>
          <w:rFonts w:hint="eastAsia" w:ascii="宋体" w:hAnsi="宋体"/>
          <w:b/>
          <w:sz w:val="24"/>
        </w:rPr>
        <w:t>第四条  质量标准及品质要求</w:t>
      </w:r>
    </w:p>
    <w:p>
      <w:pPr>
        <w:spacing w:line="500" w:lineRule="exact"/>
        <w:ind w:firstLine="480" w:firstLineChars="200"/>
        <w:rPr>
          <w:rFonts w:ascii="宋体" w:hAnsi="宋体"/>
          <w:bCs/>
          <w:kern w:val="0"/>
          <w:sz w:val="24"/>
        </w:rPr>
      </w:pPr>
      <w:r>
        <w:rPr>
          <w:rFonts w:hint="eastAsia" w:ascii="宋体" w:hAnsi="宋体"/>
          <w:bCs/>
          <w:kern w:val="0"/>
          <w:sz w:val="24"/>
        </w:rPr>
        <w:t>一、执行水泥包装袋（GB9774-20</w:t>
      </w:r>
      <w:r>
        <w:rPr>
          <w:rFonts w:hint="eastAsia" w:ascii="宋体" w:hAnsi="宋体"/>
          <w:bCs/>
          <w:kern w:val="0"/>
          <w:sz w:val="24"/>
          <w:lang w:val="en-US" w:eastAsia="zh-CN"/>
        </w:rPr>
        <w:t>20</w:t>
      </w:r>
      <w:r>
        <w:rPr>
          <w:rFonts w:hint="eastAsia" w:ascii="宋体" w:hAnsi="宋体"/>
          <w:bCs/>
          <w:kern w:val="0"/>
          <w:sz w:val="24"/>
        </w:rPr>
        <w:t>）标准</w:t>
      </w:r>
      <w:r>
        <w:rPr>
          <w:rFonts w:hint="eastAsia" w:ascii="宋体" w:hAnsi="宋体"/>
          <w:bCs/>
          <w:kern w:val="0"/>
          <w:sz w:val="24"/>
          <w:lang w:eastAsia="zh-CN"/>
        </w:rPr>
        <w:t>及甲方质量要求</w:t>
      </w:r>
      <w:r>
        <w:rPr>
          <w:rFonts w:hint="eastAsia" w:ascii="宋体" w:hAnsi="宋体"/>
          <w:bCs/>
          <w:kern w:val="0"/>
          <w:sz w:val="24"/>
        </w:rPr>
        <w:t>：</w:t>
      </w:r>
    </w:p>
    <w:p>
      <w:pPr>
        <w:spacing w:line="460" w:lineRule="exact"/>
        <w:ind w:firstLine="480" w:firstLineChars="200"/>
        <w:rPr>
          <w:rFonts w:hint="eastAsia" w:ascii="宋体" w:hAnsi="宋体" w:eastAsia="宋体"/>
          <w:bCs/>
          <w:kern w:val="0"/>
          <w:sz w:val="24"/>
          <w:lang w:val="en-US" w:eastAsia="zh-CN"/>
        </w:rPr>
      </w:pPr>
      <w:r>
        <w:rPr>
          <w:rFonts w:hint="eastAsia" w:ascii="宋体" w:hAnsi="宋体"/>
          <w:bCs/>
          <w:kern w:val="0"/>
          <w:sz w:val="24"/>
          <w:lang w:val="en-US" w:eastAsia="zh-CN"/>
        </w:rPr>
        <w:t>1</w:t>
      </w:r>
      <w:r>
        <w:rPr>
          <w:rFonts w:hint="eastAsia" w:ascii="宋体" w:hAnsi="宋体"/>
          <w:bCs/>
          <w:kern w:val="0"/>
          <w:sz w:val="24"/>
          <w:lang w:eastAsia="zh-CN"/>
        </w:rPr>
        <w:t>、</w:t>
      </w:r>
      <w:r>
        <w:rPr>
          <w:rFonts w:hint="eastAsia" w:ascii="宋体" w:hAnsi="宋体"/>
          <w:bCs/>
          <w:kern w:val="0"/>
          <w:sz w:val="24"/>
        </w:rPr>
        <w:t>热封阀口袋:底色为白色，经向拉伸强度≥550N/50mm，纬向拉伸强度≥500N/50mm</w:t>
      </w:r>
      <w:r>
        <w:rPr>
          <w:rFonts w:hint="eastAsia" w:ascii="宋体" w:hAnsi="宋体"/>
          <w:bCs/>
          <w:kern w:val="0"/>
          <w:sz w:val="24"/>
          <w:lang w:eastAsia="zh-CN"/>
        </w:rPr>
        <w:t>。</w:t>
      </w:r>
    </w:p>
    <w:p>
      <w:pPr>
        <w:spacing w:line="460" w:lineRule="exact"/>
        <w:ind w:firstLine="480" w:firstLineChars="200"/>
        <w:rPr>
          <w:rFonts w:hint="eastAsia" w:ascii="宋体" w:hAnsi="宋体"/>
          <w:bCs/>
          <w:kern w:val="0"/>
          <w:sz w:val="24"/>
        </w:rPr>
      </w:pPr>
      <w:r>
        <w:rPr>
          <w:rFonts w:hint="eastAsia" w:ascii="宋体" w:hAnsi="宋体"/>
          <w:bCs/>
          <w:kern w:val="0"/>
          <w:sz w:val="24"/>
        </w:rPr>
        <w:t>2、糊底≥400N/50mm，单位面积质量≥80g/m</w:t>
      </w:r>
      <w:r>
        <w:rPr>
          <w:rFonts w:hint="eastAsia" w:ascii="宋体" w:hAnsi="宋体"/>
          <w:bCs/>
          <w:kern w:val="0"/>
          <w:sz w:val="24"/>
          <w:vertAlign w:val="superscript"/>
        </w:rPr>
        <w:t>2</w:t>
      </w:r>
      <w:r>
        <w:rPr>
          <w:rFonts w:hint="eastAsia" w:ascii="宋体" w:hAnsi="宋体"/>
          <w:bCs/>
          <w:kern w:val="0"/>
          <w:sz w:val="24"/>
        </w:rPr>
        <w:t>，其中覆膜质量≥18g/m</w:t>
      </w:r>
      <w:r>
        <w:rPr>
          <w:rFonts w:hint="eastAsia" w:ascii="宋体" w:hAnsi="宋体"/>
          <w:bCs/>
          <w:kern w:val="0"/>
          <w:sz w:val="24"/>
          <w:vertAlign w:val="superscript"/>
        </w:rPr>
        <w:t>2</w:t>
      </w:r>
      <w:r>
        <w:rPr>
          <w:rFonts w:hint="eastAsia" w:ascii="宋体" w:hAnsi="宋体"/>
          <w:bCs/>
          <w:kern w:val="0"/>
          <w:sz w:val="24"/>
        </w:rPr>
        <w:t>，5条样袋摔包前后平均漏灰量≤40g/条。</w:t>
      </w:r>
    </w:p>
    <w:p>
      <w:pPr>
        <w:spacing w:line="460" w:lineRule="exact"/>
        <w:ind w:firstLine="480" w:firstLineChars="200"/>
        <w:rPr>
          <w:rFonts w:hint="eastAsia" w:ascii="宋体" w:hAnsi="宋体"/>
          <w:bCs/>
          <w:kern w:val="0"/>
          <w:sz w:val="24"/>
        </w:rPr>
      </w:pPr>
      <w:r>
        <w:rPr>
          <w:rFonts w:hint="eastAsia" w:ascii="宋体" w:hAnsi="宋体"/>
          <w:bCs/>
          <w:kern w:val="0"/>
          <w:sz w:val="24"/>
        </w:rPr>
        <w:t>3、阀口袋尺寸、版面印刷按买方要求,其版面清晰。</w:t>
      </w:r>
    </w:p>
    <w:p>
      <w:pPr>
        <w:spacing w:line="353" w:lineRule="auto"/>
        <w:ind w:firstLine="480" w:firstLineChars="200"/>
        <w:rPr>
          <w:rFonts w:ascii="宋体" w:hAnsi="宋体"/>
          <w:bCs/>
          <w:kern w:val="0"/>
          <w:sz w:val="24"/>
        </w:rPr>
      </w:pPr>
      <w:r>
        <w:rPr>
          <w:rFonts w:hint="eastAsia" w:ascii="宋体" w:hAnsi="宋体"/>
          <w:bCs/>
          <w:kern w:val="0"/>
          <w:sz w:val="24"/>
          <w:lang w:val="en-US" w:eastAsia="zh-CN"/>
        </w:rPr>
        <w:t>4</w:t>
      </w:r>
      <w:r>
        <w:rPr>
          <w:rFonts w:hint="eastAsia" w:ascii="宋体" w:hAnsi="宋体"/>
          <w:bCs/>
          <w:kern w:val="0"/>
          <w:sz w:val="24"/>
        </w:rPr>
        <w:t>、牢固度：任取5条样袋，按规定温度热处理后进行跌落试验，以跌落试验不破次数表示，5条样袋跌落不破次数均应≥</w:t>
      </w:r>
      <w:r>
        <w:rPr>
          <w:rFonts w:hint="eastAsia" w:ascii="宋体" w:hAnsi="宋体"/>
          <w:bCs/>
          <w:kern w:val="0"/>
          <w:sz w:val="24"/>
          <w:lang w:val="en-US" w:eastAsia="zh-CN"/>
        </w:rPr>
        <w:t>6</w:t>
      </w:r>
      <w:r>
        <w:rPr>
          <w:rFonts w:hint="eastAsia" w:ascii="宋体" w:hAnsi="宋体"/>
          <w:bCs/>
          <w:kern w:val="0"/>
          <w:sz w:val="24"/>
        </w:rPr>
        <w:t>次。</w:t>
      </w:r>
    </w:p>
    <w:p>
      <w:pPr>
        <w:spacing w:line="353" w:lineRule="auto"/>
        <w:ind w:firstLine="480" w:firstLineChars="200"/>
        <w:rPr>
          <w:rFonts w:ascii="宋体" w:hAnsi="宋体"/>
          <w:bCs/>
          <w:kern w:val="0"/>
          <w:sz w:val="24"/>
        </w:rPr>
      </w:pPr>
      <w:r>
        <w:rPr>
          <w:rFonts w:hint="eastAsia" w:ascii="宋体" w:hAnsi="宋体"/>
          <w:bCs/>
          <w:kern w:val="0"/>
          <w:sz w:val="24"/>
          <w:lang w:val="en-US" w:eastAsia="zh-CN"/>
        </w:rPr>
        <w:t>5</w:t>
      </w:r>
      <w:r>
        <w:rPr>
          <w:rFonts w:hint="eastAsia" w:ascii="宋体" w:hAnsi="宋体"/>
          <w:bCs/>
          <w:kern w:val="0"/>
          <w:sz w:val="24"/>
        </w:rPr>
        <w:t>、其它标准：包装袋承受的水泥最高温度不大于</w:t>
      </w:r>
      <w:r>
        <w:rPr>
          <w:rFonts w:ascii="宋体" w:hAnsi="宋体"/>
          <w:bCs/>
          <w:kern w:val="0"/>
          <w:sz w:val="24"/>
        </w:rPr>
        <w:t>100</w:t>
      </w:r>
      <w:r>
        <w:rPr>
          <w:rFonts w:hint="eastAsia" w:ascii="宋体" w:hAnsi="宋体"/>
          <w:bCs/>
          <w:kern w:val="0"/>
          <w:sz w:val="24"/>
        </w:rPr>
        <w:t>℃，包装袋抗老化满足不在阳光照晒下存储时间为</w:t>
      </w:r>
      <w:r>
        <w:rPr>
          <w:rFonts w:ascii="宋体" w:hAnsi="宋体"/>
          <w:bCs/>
          <w:kern w:val="0"/>
          <w:sz w:val="24"/>
        </w:rPr>
        <w:t>12</w:t>
      </w:r>
      <w:r>
        <w:rPr>
          <w:rFonts w:hint="eastAsia" w:ascii="宋体" w:hAnsi="宋体"/>
          <w:bCs/>
          <w:kern w:val="0"/>
          <w:sz w:val="24"/>
        </w:rPr>
        <w:t>个月。</w:t>
      </w:r>
    </w:p>
    <w:p>
      <w:pPr>
        <w:spacing w:line="353" w:lineRule="auto"/>
        <w:ind w:firstLine="480" w:firstLineChars="200"/>
        <w:jc w:val="left"/>
        <w:rPr>
          <w:rFonts w:ascii="宋体" w:hAnsi="宋体"/>
          <w:bCs/>
          <w:color w:val="000000"/>
          <w:kern w:val="0"/>
          <w:sz w:val="24"/>
        </w:rPr>
      </w:pPr>
      <w:r>
        <w:rPr>
          <w:rFonts w:hint="eastAsia" w:ascii="宋体" w:hAnsi="宋体"/>
          <w:bCs/>
          <w:color w:val="000000"/>
          <w:kern w:val="0"/>
          <w:sz w:val="24"/>
          <w:lang w:val="en-US" w:eastAsia="zh-CN"/>
        </w:rPr>
        <w:t>6</w:t>
      </w:r>
      <w:r>
        <w:rPr>
          <w:rFonts w:hint="eastAsia" w:ascii="宋体" w:hAnsi="宋体"/>
          <w:bCs/>
          <w:color w:val="000000"/>
          <w:kern w:val="0"/>
          <w:sz w:val="24"/>
        </w:rPr>
        <w:t>、如质量低于合同约定标准，扣款可在当月或次月执行。其它未定项目按</w:t>
      </w:r>
      <w:r>
        <w:rPr>
          <w:rFonts w:ascii="宋体" w:hAnsi="宋体"/>
          <w:bCs/>
          <w:color w:val="000000"/>
          <w:kern w:val="0"/>
          <w:sz w:val="24"/>
        </w:rPr>
        <w:t>GB9774-20</w:t>
      </w:r>
      <w:r>
        <w:rPr>
          <w:rFonts w:hint="eastAsia" w:ascii="宋体" w:hAnsi="宋体"/>
          <w:bCs/>
          <w:color w:val="000000"/>
          <w:kern w:val="0"/>
          <w:sz w:val="24"/>
          <w:lang w:val="en-US" w:eastAsia="zh-CN"/>
        </w:rPr>
        <w:t>20</w:t>
      </w:r>
      <w:r>
        <w:rPr>
          <w:rFonts w:hint="eastAsia" w:ascii="宋体" w:hAnsi="宋体"/>
          <w:bCs/>
          <w:color w:val="000000"/>
          <w:kern w:val="0"/>
          <w:sz w:val="24"/>
        </w:rPr>
        <w:t>国家标准执行。</w:t>
      </w:r>
    </w:p>
    <w:p>
      <w:pPr>
        <w:spacing w:line="353" w:lineRule="auto"/>
        <w:ind w:firstLine="480" w:firstLineChars="200"/>
        <w:rPr>
          <w:rFonts w:ascii="宋体" w:hAnsi="宋体"/>
          <w:bCs/>
          <w:kern w:val="0"/>
          <w:sz w:val="24"/>
        </w:rPr>
      </w:pPr>
      <w:r>
        <w:rPr>
          <w:rFonts w:hint="eastAsia" w:ascii="宋体" w:hAnsi="宋体"/>
          <w:bCs/>
          <w:kern w:val="0"/>
          <w:sz w:val="24"/>
          <w:lang w:val="en-US" w:eastAsia="zh-CN"/>
        </w:rPr>
        <w:t>7</w:t>
      </w:r>
      <w:r>
        <w:rPr>
          <w:rFonts w:hint="eastAsia" w:ascii="宋体" w:hAnsi="宋体"/>
          <w:bCs/>
          <w:kern w:val="0"/>
          <w:sz w:val="24"/>
        </w:rPr>
        <w:t>、</w:t>
      </w:r>
      <w:r>
        <w:rPr>
          <w:rFonts w:hint="eastAsia" w:ascii="宋体" w:hAnsi="宋体"/>
          <w:bCs/>
          <w:color w:val="auto"/>
          <w:kern w:val="0"/>
          <w:sz w:val="24"/>
        </w:rPr>
        <w:t>乙方每</w:t>
      </w:r>
      <w:r>
        <w:rPr>
          <w:rFonts w:hint="eastAsia" w:ascii="宋体" w:hAnsi="宋体"/>
          <w:bCs/>
          <w:color w:val="auto"/>
          <w:kern w:val="0"/>
          <w:sz w:val="24"/>
          <w:lang w:val="en-US" w:eastAsia="zh-CN"/>
        </w:rPr>
        <w:t>半</w:t>
      </w:r>
      <w:r>
        <w:rPr>
          <w:rFonts w:hint="eastAsia" w:ascii="宋体" w:hAnsi="宋体"/>
          <w:bCs/>
          <w:color w:val="auto"/>
          <w:kern w:val="0"/>
          <w:sz w:val="24"/>
        </w:rPr>
        <w:t>年向甲方提供国家级型式检验报告</w:t>
      </w:r>
      <w:r>
        <w:rPr>
          <w:rFonts w:hint="eastAsia" w:ascii="宋体" w:hAnsi="宋体"/>
          <w:bCs/>
          <w:kern w:val="0"/>
          <w:sz w:val="24"/>
        </w:rPr>
        <w:t>（按水泥包装袋（GB9774-20</w:t>
      </w:r>
      <w:r>
        <w:rPr>
          <w:rFonts w:hint="eastAsia" w:ascii="宋体" w:hAnsi="宋体"/>
          <w:bCs/>
          <w:kern w:val="0"/>
          <w:sz w:val="24"/>
          <w:lang w:val="en-US" w:eastAsia="zh-CN"/>
        </w:rPr>
        <w:t>20</w:t>
      </w:r>
      <w:r>
        <w:rPr>
          <w:rFonts w:hint="eastAsia" w:ascii="宋体" w:hAnsi="宋体"/>
          <w:bCs/>
          <w:kern w:val="0"/>
          <w:sz w:val="24"/>
        </w:rPr>
        <w:t>要求内容进行检验）及定点生产许可证和资质。</w:t>
      </w:r>
    </w:p>
    <w:p>
      <w:pPr>
        <w:spacing w:line="353" w:lineRule="auto"/>
        <w:ind w:firstLine="472" w:firstLineChars="196"/>
        <w:rPr>
          <w:rFonts w:ascii="宋体" w:hAnsi="宋体"/>
          <w:bCs/>
          <w:kern w:val="0"/>
          <w:sz w:val="24"/>
        </w:rPr>
      </w:pPr>
      <w:r>
        <w:rPr>
          <w:rFonts w:hint="eastAsia" w:ascii="宋体" w:hAnsi="宋体" w:cs="宋体"/>
          <w:b/>
          <w:bCs/>
          <w:sz w:val="24"/>
        </w:rPr>
        <w:t>第五条</w:t>
      </w:r>
      <w:r>
        <w:rPr>
          <w:rFonts w:ascii="宋体" w:hAnsi="宋体" w:cs="宋体"/>
          <w:b/>
          <w:bCs/>
          <w:sz w:val="24"/>
        </w:rPr>
        <w:t xml:space="preserve">  </w:t>
      </w:r>
      <w:r>
        <w:rPr>
          <w:rFonts w:hint="eastAsia" w:ascii="宋体" w:hAnsi="宋体" w:cs="宋体"/>
          <w:b/>
          <w:bCs/>
          <w:sz w:val="24"/>
        </w:rPr>
        <w:t>包装标准：</w:t>
      </w:r>
      <w:r>
        <w:rPr>
          <w:rFonts w:ascii="宋体" w:hAnsi="宋体"/>
          <w:bCs/>
          <w:kern w:val="0"/>
          <w:sz w:val="24"/>
        </w:rPr>
        <w:t>200</w:t>
      </w:r>
      <w:r>
        <w:rPr>
          <w:rFonts w:hint="eastAsia" w:ascii="宋体" w:hAnsi="宋体"/>
          <w:bCs/>
          <w:kern w:val="0"/>
          <w:sz w:val="24"/>
        </w:rPr>
        <w:t>条</w:t>
      </w:r>
      <w:r>
        <w:rPr>
          <w:rFonts w:ascii="宋体" w:hAnsi="宋体"/>
          <w:bCs/>
          <w:kern w:val="0"/>
          <w:sz w:val="24"/>
        </w:rPr>
        <w:t>/</w:t>
      </w:r>
      <w:r>
        <w:rPr>
          <w:rFonts w:hint="eastAsia" w:ascii="宋体" w:hAnsi="宋体"/>
          <w:bCs/>
          <w:kern w:val="0"/>
          <w:sz w:val="24"/>
        </w:rPr>
        <w:t>捆。</w:t>
      </w:r>
    </w:p>
    <w:p>
      <w:pPr>
        <w:spacing w:line="353" w:lineRule="auto"/>
        <w:ind w:firstLine="472" w:firstLineChars="196"/>
        <w:rPr>
          <w:rFonts w:ascii="宋体" w:hAnsi="宋体"/>
          <w:bCs/>
          <w:kern w:val="0"/>
          <w:sz w:val="24"/>
        </w:rPr>
      </w:pPr>
      <w:r>
        <w:rPr>
          <w:rFonts w:hint="eastAsia" w:ascii="宋体" w:hAnsi="宋体" w:cs="宋体"/>
          <w:b/>
          <w:bCs/>
          <w:sz w:val="24"/>
        </w:rPr>
        <w:t>第六条</w:t>
      </w:r>
      <w:r>
        <w:rPr>
          <w:rFonts w:ascii="宋体" w:hAnsi="宋体" w:cs="宋体"/>
          <w:b/>
          <w:bCs/>
          <w:sz w:val="24"/>
        </w:rPr>
        <w:t xml:space="preserve">  </w:t>
      </w:r>
      <w:r>
        <w:rPr>
          <w:rFonts w:hint="eastAsia" w:ascii="宋体" w:hAnsi="宋体" w:cs="宋体"/>
          <w:b/>
          <w:bCs/>
          <w:sz w:val="24"/>
        </w:rPr>
        <w:t>合理损耗及计算方法：</w:t>
      </w:r>
      <w:r>
        <w:rPr>
          <w:rFonts w:hint="eastAsia" w:ascii="宋体" w:hAnsi="宋体"/>
          <w:bCs/>
          <w:kern w:val="0"/>
          <w:sz w:val="24"/>
        </w:rPr>
        <w:t>包装袋质量破损率小于</w:t>
      </w:r>
      <w:r>
        <w:rPr>
          <w:rFonts w:ascii="宋体" w:hAnsi="宋体"/>
          <w:bCs/>
          <w:kern w:val="0"/>
          <w:sz w:val="24"/>
        </w:rPr>
        <w:t>1.5</w:t>
      </w:r>
      <w:r>
        <w:rPr>
          <w:rFonts w:hint="eastAsia" w:ascii="宋体" w:hAnsi="宋体"/>
          <w:bCs/>
          <w:kern w:val="0"/>
          <w:sz w:val="24"/>
        </w:rPr>
        <w:t>‰，超出此比例经乙方确认后全部破损袋由乙方承担补偿责任。</w:t>
      </w:r>
    </w:p>
    <w:p>
      <w:pPr>
        <w:spacing w:line="500" w:lineRule="exact"/>
        <w:ind w:firstLine="472" w:firstLineChars="196"/>
        <w:rPr>
          <w:rFonts w:ascii="宋体" w:hAnsi="宋体"/>
          <w:sz w:val="24"/>
        </w:rPr>
      </w:pPr>
      <w:r>
        <w:rPr>
          <w:rFonts w:hint="eastAsia" w:ascii="宋体" w:hAnsi="宋体"/>
          <w:b/>
          <w:sz w:val="24"/>
        </w:rPr>
        <w:t>第七条  货物验收及异议</w:t>
      </w:r>
    </w:p>
    <w:p>
      <w:pPr>
        <w:spacing w:line="353" w:lineRule="auto"/>
        <w:ind w:firstLine="480" w:firstLineChars="200"/>
        <w:rPr>
          <w:rFonts w:ascii="宋体" w:hAnsi="宋体"/>
          <w:sz w:val="24"/>
        </w:rPr>
      </w:pPr>
      <w:r>
        <w:rPr>
          <w:rFonts w:ascii="宋体" w:hAnsi="宋体"/>
          <w:sz w:val="24"/>
        </w:rPr>
        <w:t>1、货物到达后，甲方对数量及外观进行初步验收，发现不符的应在</w:t>
      </w:r>
      <w:r>
        <w:rPr>
          <w:rFonts w:hint="eastAsia" w:ascii="宋体" w:hAnsi="宋体"/>
          <w:sz w:val="24"/>
          <w:u w:val="single"/>
        </w:rPr>
        <w:t>30</w:t>
      </w:r>
      <w:r>
        <w:rPr>
          <w:rFonts w:ascii="宋体" w:hAnsi="宋体"/>
          <w:sz w:val="24"/>
        </w:rPr>
        <w:t>日内书面通知乙方</w:t>
      </w:r>
      <w:r>
        <w:rPr>
          <w:rFonts w:hint="eastAsia" w:ascii="宋体" w:hAnsi="宋体"/>
          <w:sz w:val="24"/>
        </w:rPr>
        <w:t>；</w:t>
      </w:r>
      <w:r>
        <w:rPr>
          <w:rFonts w:ascii="宋体" w:hAnsi="宋体"/>
          <w:sz w:val="24"/>
        </w:rPr>
        <w:t>乙方应当在</w:t>
      </w:r>
      <w:r>
        <w:rPr>
          <w:rFonts w:hint="eastAsia" w:ascii="宋体" w:hAnsi="宋体"/>
          <w:sz w:val="24"/>
          <w:u w:val="single"/>
        </w:rPr>
        <w:t>48</w:t>
      </w:r>
      <w:r>
        <w:rPr>
          <w:rFonts w:hint="eastAsia" w:ascii="宋体" w:hAnsi="宋体"/>
          <w:sz w:val="24"/>
        </w:rPr>
        <w:t>小时</w:t>
      </w:r>
      <w:r>
        <w:rPr>
          <w:rFonts w:ascii="宋体" w:hAnsi="宋体"/>
          <w:sz w:val="24"/>
        </w:rPr>
        <w:t>内予以答复或解决，逾期</w:t>
      </w:r>
      <w:r>
        <w:rPr>
          <w:rFonts w:hint="eastAsia" w:ascii="宋体" w:hAnsi="宋体"/>
          <w:sz w:val="24"/>
        </w:rPr>
        <w:t>乙方不予答复</w:t>
      </w:r>
      <w:r>
        <w:rPr>
          <w:rFonts w:ascii="宋体" w:hAnsi="宋体"/>
          <w:sz w:val="24"/>
        </w:rPr>
        <w:t>视为默认。</w:t>
      </w:r>
      <w:r>
        <w:rPr>
          <w:rFonts w:hint="eastAsia" w:ascii="宋体" w:hAnsi="宋体"/>
          <w:sz w:val="24"/>
        </w:rPr>
        <w:t>内在质量由甲方在使用中检验，如出现质量问题或其他异议，甲方应在</w:t>
      </w:r>
      <w:r>
        <w:rPr>
          <w:rFonts w:ascii="宋体" w:hAnsi="宋体"/>
          <w:sz w:val="24"/>
        </w:rPr>
        <w:t>1</w:t>
      </w:r>
      <w:r>
        <w:rPr>
          <w:rFonts w:hint="eastAsia" w:ascii="宋体" w:hAnsi="宋体"/>
          <w:sz w:val="24"/>
        </w:rPr>
        <w:t>个月内及时以书面形式告知乙方，以便双方及时协调解决。</w:t>
      </w:r>
    </w:p>
    <w:p>
      <w:pPr>
        <w:spacing w:line="500" w:lineRule="exact"/>
        <w:ind w:firstLine="540" w:firstLineChars="225"/>
        <w:jc w:val="left"/>
        <w:rPr>
          <w:rFonts w:ascii="宋体" w:hAnsi="宋体"/>
          <w:sz w:val="24"/>
        </w:rPr>
      </w:pPr>
      <w:r>
        <w:rPr>
          <w:rFonts w:hint="eastAsia" w:ascii="宋体" w:hAnsi="宋体"/>
          <w:sz w:val="24"/>
        </w:rPr>
        <w:t>2</w:t>
      </w:r>
      <w:r>
        <w:rPr>
          <w:rFonts w:ascii="宋体" w:hAnsi="宋体"/>
          <w:sz w:val="24"/>
        </w:rPr>
        <w:t>、双方对于质量问题不能形成一致意见的，</w:t>
      </w:r>
      <w:r>
        <w:rPr>
          <w:rFonts w:hint="eastAsia" w:ascii="宋体" w:hAnsi="宋体"/>
          <w:sz w:val="24"/>
        </w:rPr>
        <w:t>以甲方委托的</w:t>
      </w:r>
      <w:r>
        <w:rPr>
          <w:rFonts w:ascii="宋体" w:hAnsi="宋体"/>
          <w:sz w:val="24"/>
        </w:rPr>
        <w:t>具有质量鉴定资格的机构</w:t>
      </w:r>
      <w:r>
        <w:rPr>
          <w:rFonts w:hint="eastAsia" w:ascii="宋体" w:hAnsi="宋体"/>
          <w:sz w:val="24"/>
        </w:rPr>
        <w:t>作出的</w:t>
      </w:r>
      <w:r>
        <w:rPr>
          <w:rFonts w:ascii="宋体" w:hAnsi="宋体"/>
          <w:sz w:val="24"/>
        </w:rPr>
        <w:t>鉴定</w:t>
      </w:r>
      <w:r>
        <w:rPr>
          <w:rFonts w:hint="eastAsia" w:ascii="宋体" w:hAnsi="宋体"/>
          <w:sz w:val="24"/>
        </w:rPr>
        <w:t>结论</w:t>
      </w:r>
      <w:r>
        <w:rPr>
          <w:rFonts w:ascii="宋体" w:hAnsi="宋体"/>
          <w:sz w:val="24"/>
        </w:rPr>
        <w:t>为准。</w:t>
      </w:r>
    </w:p>
    <w:p>
      <w:pPr>
        <w:spacing w:line="500" w:lineRule="exact"/>
        <w:ind w:firstLine="540" w:firstLineChars="225"/>
        <w:jc w:val="left"/>
        <w:rPr>
          <w:rFonts w:ascii="宋体" w:hAnsi="宋体"/>
          <w:sz w:val="24"/>
        </w:rPr>
      </w:pPr>
      <w:r>
        <w:rPr>
          <w:rFonts w:hint="eastAsia" w:ascii="宋体" w:hAnsi="宋体"/>
          <w:sz w:val="24"/>
        </w:rPr>
        <w:t>3、各项验收仅为付款条件，并不视为当然合格，也不因此减免乙方任何责任。</w:t>
      </w:r>
    </w:p>
    <w:p>
      <w:pPr>
        <w:spacing w:line="500" w:lineRule="exact"/>
        <w:ind w:firstLine="472" w:firstLineChars="196"/>
        <w:rPr>
          <w:rFonts w:ascii="宋体" w:hAnsi="宋体"/>
          <w:b/>
          <w:sz w:val="24"/>
        </w:rPr>
      </w:pPr>
      <w:r>
        <w:rPr>
          <w:rFonts w:hint="eastAsia" w:ascii="宋体" w:hAnsi="宋体"/>
          <w:b/>
          <w:sz w:val="24"/>
        </w:rPr>
        <w:t>第八条  结算方式</w:t>
      </w:r>
    </w:p>
    <w:p>
      <w:pPr>
        <w:spacing w:line="353" w:lineRule="auto"/>
        <w:ind w:firstLine="480" w:firstLineChars="200"/>
        <w:rPr>
          <w:rFonts w:ascii="宋体" w:hAnsi="宋体"/>
          <w:sz w:val="24"/>
        </w:rPr>
      </w:pPr>
      <w:r>
        <w:rPr>
          <w:rFonts w:hint="eastAsia" w:ascii="宋体" w:hAnsi="宋体"/>
          <w:sz w:val="24"/>
          <w:lang w:eastAsia="zh-CN"/>
        </w:rPr>
        <w:t>现金</w:t>
      </w:r>
      <w:r>
        <w:rPr>
          <w:rFonts w:hint="eastAsia" w:ascii="宋体" w:hAnsi="宋体"/>
          <w:sz w:val="24"/>
        </w:rPr>
        <w:t>结算。每月底结</w:t>
      </w:r>
      <w:r>
        <w:rPr>
          <w:rFonts w:hint="eastAsia" w:ascii="宋体" w:hAnsi="宋体"/>
          <w:sz w:val="24"/>
          <w:lang w:val="en-US" w:eastAsia="zh-CN"/>
        </w:rPr>
        <w:t>根据数量和质量进行结算</w:t>
      </w:r>
      <w:r>
        <w:rPr>
          <w:rFonts w:hint="eastAsia" w:ascii="宋体" w:hAnsi="宋体"/>
          <w:sz w:val="24"/>
        </w:rPr>
        <w:t>，乙方开具税率</w:t>
      </w:r>
      <w:r>
        <w:rPr>
          <w:rFonts w:ascii="宋体" w:hAnsi="宋体"/>
          <w:sz w:val="24"/>
        </w:rPr>
        <w:t>1</w:t>
      </w:r>
      <w:r>
        <w:rPr>
          <w:rFonts w:hint="eastAsia" w:ascii="宋体" w:hAnsi="宋体"/>
          <w:sz w:val="24"/>
        </w:rPr>
        <w:t>3</w:t>
      </w:r>
      <w:r>
        <w:rPr>
          <w:rFonts w:ascii="宋体" w:hAnsi="宋体"/>
          <w:sz w:val="24"/>
        </w:rPr>
        <w:t>%</w:t>
      </w:r>
      <w:r>
        <w:rPr>
          <w:rFonts w:hint="eastAsia" w:ascii="宋体" w:hAnsi="宋体"/>
          <w:sz w:val="24"/>
        </w:rPr>
        <w:t>的全额增值税发票送达甲方，发票验收无误后陆续付款。</w:t>
      </w:r>
    </w:p>
    <w:p>
      <w:pPr>
        <w:autoSpaceDE w:val="0"/>
        <w:autoSpaceDN w:val="0"/>
        <w:adjustRightInd w:val="0"/>
        <w:spacing w:line="500" w:lineRule="exact"/>
        <w:ind w:firstLine="472" w:firstLineChars="196"/>
        <w:jc w:val="left"/>
        <w:rPr>
          <w:rFonts w:ascii="宋体" w:hAnsi="宋体"/>
          <w:bCs/>
          <w:kern w:val="0"/>
          <w:sz w:val="24"/>
        </w:rPr>
      </w:pPr>
      <w:r>
        <w:rPr>
          <w:rFonts w:hint="eastAsia" w:ascii="宋体" w:hAnsi="宋体"/>
          <w:b/>
          <w:sz w:val="24"/>
        </w:rPr>
        <w:t>第九条  违约责任</w:t>
      </w:r>
    </w:p>
    <w:p>
      <w:pPr>
        <w:spacing w:line="353" w:lineRule="auto"/>
        <w:ind w:firstLine="480" w:firstLineChars="200"/>
        <w:rPr>
          <w:rFonts w:ascii="宋体" w:hAnsi="宋体"/>
          <w:sz w:val="24"/>
        </w:rPr>
      </w:pPr>
      <w:r>
        <w:rPr>
          <w:rFonts w:ascii="宋体" w:hAnsi="宋体"/>
          <w:sz w:val="24"/>
        </w:rPr>
        <w:t>1</w:t>
      </w:r>
      <w:r>
        <w:rPr>
          <w:rFonts w:hint="eastAsia" w:ascii="宋体" w:hAnsi="宋体"/>
          <w:sz w:val="24"/>
        </w:rPr>
        <w:t>、甲方检测编织袋克重、包装袋规格尺寸及外观颜色检验结果不合格，经甲方认定对甲方造成损失时，甲方书面向乙方提出改进质量的要求，如乙方不能解决，甲方有权要求乙方停止供货。</w:t>
      </w:r>
    </w:p>
    <w:p>
      <w:pPr>
        <w:spacing w:line="353" w:lineRule="auto"/>
        <w:ind w:firstLine="480" w:firstLineChars="200"/>
        <w:rPr>
          <w:rFonts w:ascii="宋体" w:hAnsi="宋体"/>
          <w:sz w:val="24"/>
        </w:rPr>
      </w:pPr>
      <w:r>
        <w:rPr>
          <w:rFonts w:ascii="宋体" w:hAnsi="宋体"/>
          <w:sz w:val="24"/>
        </w:rPr>
        <w:t>2</w:t>
      </w:r>
      <w:r>
        <w:rPr>
          <w:rFonts w:hint="eastAsia" w:ascii="宋体" w:hAnsi="宋体"/>
          <w:sz w:val="24"/>
        </w:rPr>
        <w:t>、如甲方在抽检时发现乙方供应的包装袋存在质量问题如：单位克重不符合合同要求，编织袋不严实、袋号乱改、混号、混品种、裂缝、破包、印刷错误等造成包装袋无法使用的现象，甲方有权要求乙方退货，此编号包装袋货款为零，乙方应承担退货相关所有费用。</w:t>
      </w:r>
    </w:p>
    <w:p>
      <w:pPr>
        <w:spacing w:line="353" w:lineRule="auto"/>
        <w:ind w:firstLine="480" w:firstLineChars="200"/>
        <w:rPr>
          <w:rFonts w:ascii="宋体" w:hAnsi="宋体"/>
          <w:sz w:val="24"/>
        </w:rPr>
      </w:pPr>
      <w:r>
        <w:rPr>
          <w:rFonts w:ascii="宋体" w:hAnsi="宋体"/>
          <w:sz w:val="24"/>
        </w:rPr>
        <w:t>3</w:t>
      </w:r>
      <w:r>
        <w:rPr>
          <w:rFonts w:hint="eastAsia" w:ascii="宋体" w:hAnsi="宋体"/>
          <w:sz w:val="24"/>
        </w:rPr>
        <w:t>、乙方供应的包装袋使用过程中存在质量问题（如：包装袋裂缝、袋号乱改、破裂、爆袋等现象），当每个自然月中存在质量问题的包装袋超出当月全部使用量（以出包装机为准）</w:t>
      </w:r>
      <w:r>
        <w:rPr>
          <w:rFonts w:ascii="宋体" w:hAnsi="宋体"/>
          <w:sz w:val="24"/>
        </w:rPr>
        <w:t>1.5</w:t>
      </w:r>
      <w:r>
        <w:rPr>
          <w:rFonts w:hint="eastAsia" w:ascii="宋体" w:hAnsi="宋体"/>
          <w:sz w:val="24"/>
        </w:rPr>
        <w:t>‰，则对全部破损袋子进行等量更换赔偿，甲方将破损袋子</w:t>
      </w:r>
      <w:r>
        <w:rPr>
          <w:rFonts w:ascii="宋体" w:hAnsi="宋体"/>
          <w:sz w:val="24"/>
        </w:rPr>
        <w:t>50</w:t>
      </w:r>
      <w:r>
        <w:rPr>
          <w:rFonts w:hint="eastAsia" w:ascii="宋体" w:hAnsi="宋体"/>
          <w:sz w:val="24"/>
        </w:rPr>
        <w:t>个为一捆进行捆扎存放待供需双方共同确认。</w:t>
      </w:r>
    </w:p>
    <w:p>
      <w:pPr>
        <w:spacing w:line="353" w:lineRule="auto"/>
        <w:ind w:firstLine="480" w:firstLineChars="200"/>
        <w:rPr>
          <w:rFonts w:ascii="宋体" w:hAnsi="宋体"/>
          <w:sz w:val="24"/>
        </w:rPr>
      </w:pPr>
      <w:r>
        <w:rPr>
          <w:rFonts w:ascii="宋体" w:hAnsi="宋体"/>
          <w:sz w:val="24"/>
        </w:rPr>
        <w:t>4</w:t>
      </w:r>
      <w:r>
        <w:rPr>
          <w:rFonts w:hint="eastAsia" w:ascii="宋体" w:hAnsi="宋体"/>
          <w:sz w:val="24"/>
        </w:rPr>
        <w:t>、在水泥包装时包装袋大量出现裂缝、袋号乱改、破裂、爆袋等现象，影响甲方正常生产时，乙方和甲方共同到现场核实、验证，经双方确认如为乙方责任，甲方有权要求退货，乙方应承担所有费用，或按责任承担相关费用。</w:t>
      </w:r>
    </w:p>
    <w:p>
      <w:pPr>
        <w:spacing w:line="353" w:lineRule="auto"/>
        <w:ind w:firstLine="480" w:firstLineChars="200"/>
        <w:rPr>
          <w:rFonts w:ascii="宋体" w:hAnsi="宋体"/>
          <w:sz w:val="24"/>
        </w:rPr>
      </w:pPr>
      <w:r>
        <w:rPr>
          <w:rFonts w:ascii="宋体" w:hAnsi="宋体"/>
          <w:sz w:val="24"/>
        </w:rPr>
        <w:t>5</w:t>
      </w:r>
      <w:r>
        <w:rPr>
          <w:rFonts w:hint="eastAsia" w:ascii="宋体" w:hAnsi="宋体"/>
          <w:sz w:val="24"/>
        </w:rPr>
        <w:t>、乙方严格按合同规定的品种和数量组织发货，保证供货总量准确，进厂抽查时，按</w:t>
      </w:r>
      <w:r>
        <w:rPr>
          <w:rFonts w:ascii="宋体" w:hAnsi="宋体"/>
          <w:sz w:val="24"/>
        </w:rPr>
        <w:t>2%</w:t>
      </w:r>
      <w:r>
        <w:rPr>
          <w:rFonts w:hint="eastAsia" w:ascii="宋体" w:hAnsi="宋体"/>
          <w:sz w:val="24"/>
        </w:rPr>
        <w:t>的比例进行，出现误差按整批数量的百分比例进行考核，核减送货数量，并按每差一个袋子扣罚乙方</w:t>
      </w:r>
      <w:r>
        <w:rPr>
          <w:rFonts w:ascii="宋体" w:hAnsi="宋体"/>
          <w:sz w:val="24"/>
        </w:rPr>
        <w:t>30</w:t>
      </w:r>
      <w:r>
        <w:rPr>
          <w:rFonts w:hint="eastAsia" w:ascii="宋体" w:hAnsi="宋体"/>
          <w:sz w:val="24"/>
        </w:rPr>
        <w:t>元计算，对乙方扣罚金额计算公式为：</w:t>
      </w:r>
    </w:p>
    <w:p>
      <w:pPr>
        <w:spacing w:line="353" w:lineRule="auto"/>
        <w:ind w:firstLine="2040" w:firstLineChars="850"/>
        <w:rPr>
          <w:rFonts w:ascii="宋体" w:hAnsi="宋体"/>
          <w:sz w:val="24"/>
        </w:rPr>
      </w:pPr>
      <w:r>
        <w:rPr>
          <w:rFonts w:hint="eastAsia" w:ascii="宋体" w:hAnsi="宋体"/>
          <w:sz w:val="24"/>
        </w:rPr>
        <w:t>本批次入库抽查总误差量</w:t>
      </w:r>
    </w:p>
    <w:p>
      <w:pPr>
        <w:spacing w:line="353"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1419225</wp:posOffset>
                </wp:positionH>
                <wp:positionV relativeFrom="paragraph">
                  <wp:posOffset>198120</wp:posOffset>
                </wp:positionV>
                <wp:extent cx="165227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165227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11.75pt;margin-top:15.6pt;height:0pt;width:130.1pt;z-index:251659264;mso-width-relative:page;mso-height-relative:page;" filled="f" stroked="t" coordsize="21600,21600" o:gfxdata="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IQfHAPWAAAACQEAAA8AAAAAAAAAAQAgAAAAIgAA&#10;AGRycy9kb3ducmV2LnhtbFBLAQIUABQAAAAIAIdO4kA64c520QEAAIoDAAAOAAAAAAAAAAEAIAAA&#10;ACUBAABkcnMvZTJvRG9jLnhtbFBLBQYAAAAABgAGAFkBAABoBQAAAAA=&#10;">
                <v:fill on="f" focussize="0,0"/>
                <v:stroke color="#000000" joinstyle="round"/>
                <v:imagedata o:title=""/>
                <o:lock v:ext="edit" aspectratio="f"/>
              </v:line>
            </w:pict>
          </mc:Fallback>
        </mc:AlternateContent>
      </w:r>
      <w:r>
        <w:rPr>
          <w:rFonts w:hint="eastAsia" w:ascii="宋体" w:hAnsi="宋体"/>
          <w:sz w:val="24"/>
        </w:rPr>
        <w:t>总扣罚金额</w:t>
      </w:r>
      <w:r>
        <w:rPr>
          <w:rFonts w:ascii="宋体" w:hAnsi="宋体"/>
          <w:sz w:val="24"/>
        </w:rPr>
        <w:t xml:space="preserve">=                            </w:t>
      </w:r>
      <w:r>
        <w:rPr>
          <w:rFonts w:hint="eastAsia" w:ascii="宋体" w:hAnsi="宋体"/>
          <w:sz w:val="24"/>
        </w:rPr>
        <w:t>×</w:t>
      </w:r>
      <w:r>
        <w:rPr>
          <w:rFonts w:ascii="宋体" w:hAnsi="宋体"/>
          <w:sz w:val="24"/>
        </w:rPr>
        <w:t xml:space="preserve"> </w:t>
      </w:r>
      <w:r>
        <w:rPr>
          <w:rFonts w:hint="eastAsia" w:ascii="宋体" w:hAnsi="宋体"/>
          <w:sz w:val="24"/>
        </w:rPr>
        <w:t>本批次入库总量×</w:t>
      </w:r>
      <w:r>
        <w:rPr>
          <w:rFonts w:ascii="宋体" w:hAnsi="宋体"/>
          <w:sz w:val="24"/>
        </w:rPr>
        <w:t>30</w:t>
      </w:r>
      <w:r>
        <w:rPr>
          <w:rFonts w:hint="eastAsia" w:ascii="宋体" w:hAnsi="宋体"/>
          <w:sz w:val="24"/>
        </w:rPr>
        <w:t>元。</w:t>
      </w:r>
    </w:p>
    <w:p>
      <w:pPr>
        <w:spacing w:line="353" w:lineRule="auto"/>
        <w:ind w:firstLine="480" w:firstLineChars="200"/>
        <w:rPr>
          <w:rFonts w:ascii="宋体" w:hAnsi="宋体"/>
          <w:sz w:val="24"/>
        </w:rPr>
      </w:pPr>
      <w:r>
        <w:rPr>
          <w:rFonts w:ascii="宋体" w:hAnsi="宋体"/>
          <w:sz w:val="24"/>
        </w:rPr>
        <w:t xml:space="preserve">                  </w:t>
      </w:r>
      <w:r>
        <w:rPr>
          <w:rFonts w:hint="eastAsia" w:ascii="宋体" w:hAnsi="宋体"/>
          <w:sz w:val="24"/>
        </w:rPr>
        <w:t>抽查总量</w:t>
      </w:r>
    </w:p>
    <w:p>
      <w:pPr>
        <w:spacing w:line="353" w:lineRule="auto"/>
        <w:ind w:firstLine="480" w:firstLineChars="200"/>
        <w:rPr>
          <w:rFonts w:ascii="宋体" w:hAnsi="宋体"/>
          <w:sz w:val="24"/>
        </w:rPr>
      </w:pPr>
      <w:r>
        <w:rPr>
          <w:rFonts w:ascii="宋体" w:hAnsi="宋体"/>
          <w:sz w:val="24"/>
        </w:rPr>
        <w:t>6</w:t>
      </w:r>
      <w:r>
        <w:rPr>
          <w:rFonts w:hint="eastAsia" w:ascii="宋体" w:hAnsi="宋体"/>
          <w:sz w:val="24"/>
        </w:rPr>
        <w:t>、如果乙方未到甲方现场共同抽查，视为乙方放弃共同抽查，则以甲方抽查结果为准。</w:t>
      </w:r>
    </w:p>
    <w:p>
      <w:pPr>
        <w:spacing w:line="353" w:lineRule="auto"/>
        <w:ind w:firstLine="480" w:firstLineChars="200"/>
        <w:rPr>
          <w:rFonts w:ascii="宋体" w:hAnsi="宋体"/>
          <w:sz w:val="24"/>
        </w:rPr>
      </w:pPr>
      <w:r>
        <w:rPr>
          <w:rFonts w:ascii="宋体" w:hAnsi="宋体"/>
          <w:sz w:val="24"/>
        </w:rPr>
        <w:t>7</w:t>
      </w:r>
      <w:r>
        <w:rPr>
          <w:rFonts w:hint="eastAsia" w:ascii="宋体" w:hAnsi="宋体"/>
          <w:sz w:val="24"/>
        </w:rPr>
        <w:t>、乙方供应的编织袋因生产工艺或材料发生变化时，必须以书面形式，通知甲方，在没有接到甲方回复，不允许将发生变化的编织袋送达甲方厂区。若因乙方没有及时通知甲方，除对乙方处以</w:t>
      </w:r>
      <w:r>
        <w:rPr>
          <w:rFonts w:ascii="宋体" w:hAnsi="宋体"/>
          <w:sz w:val="24"/>
        </w:rPr>
        <w:t>5000</w:t>
      </w:r>
      <w:r>
        <w:rPr>
          <w:rFonts w:hint="eastAsia" w:ascii="宋体" w:hAnsi="宋体"/>
          <w:sz w:val="24"/>
        </w:rPr>
        <w:t>元罚款（在货款中扣除）外，由此给甲方造成的一切经济损失，由乙方承担。</w:t>
      </w:r>
    </w:p>
    <w:p>
      <w:pPr>
        <w:spacing w:line="353" w:lineRule="auto"/>
        <w:ind w:firstLine="480" w:firstLineChars="200"/>
        <w:rPr>
          <w:rFonts w:ascii="宋体" w:hAnsi="宋体"/>
          <w:sz w:val="24"/>
        </w:rPr>
      </w:pPr>
      <w:r>
        <w:rPr>
          <w:rFonts w:ascii="宋体" w:hAnsi="宋体"/>
          <w:sz w:val="24"/>
        </w:rPr>
        <w:t>8</w:t>
      </w:r>
      <w:r>
        <w:rPr>
          <w:rFonts w:hint="eastAsia" w:ascii="宋体" w:hAnsi="宋体"/>
          <w:sz w:val="24"/>
        </w:rPr>
        <w:t>、包装袋抗老化在阳光照晒下存储时间小于</w:t>
      </w:r>
      <w:r>
        <w:rPr>
          <w:rFonts w:ascii="宋体" w:hAnsi="宋体"/>
          <w:sz w:val="24"/>
        </w:rPr>
        <w:t>6</w:t>
      </w:r>
      <w:r>
        <w:rPr>
          <w:rFonts w:hint="eastAsia" w:ascii="宋体" w:hAnsi="宋体"/>
          <w:sz w:val="24"/>
        </w:rPr>
        <w:t>个月，因此给甲方造成的全部损失由乙方承担。</w:t>
      </w:r>
    </w:p>
    <w:p>
      <w:pPr>
        <w:spacing w:line="353" w:lineRule="auto"/>
        <w:ind w:firstLine="480" w:firstLineChars="200"/>
        <w:rPr>
          <w:rFonts w:ascii="宋体" w:hAnsi="宋体"/>
          <w:sz w:val="24"/>
        </w:rPr>
      </w:pPr>
      <w:r>
        <w:rPr>
          <w:rFonts w:ascii="宋体" w:hAnsi="宋体"/>
          <w:sz w:val="24"/>
        </w:rPr>
        <w:t>9</w:t>
      </w:r>
      <w:r>
        <w:rPr>
          <w:rFonts w:hint="eastAsia" w:ascii="宋体" w:hAnsi="宋体"/>
          <w:sz w:val="24"/>
        </w:rPr>
        <w:t>、如乙方未按甲方要求指定时间内供货，影响甲方生产使用所造成的经济损失，全部由乙方承担。</w:t>
      </w:r>
    </w:p>
    <w:p>
      <w:pPr>
        <w:spacing w:line="353" w:lineRule="auto"/>
        <w:ind w:firstLine="480" w:firstLineChars="200"/>
        <w:rPr>
          <w:rFonts w:ascii="宋体" w:hAnsi="宋体"/>
          <w:sz w:val="24"/>
        </w:rPr>
      </w:pPr>
      <w:r>
        <w:rPr>
          <w:rFonts w:ascii="宋体" w:hAnsi="宋体"/>
          <w:sz w:val="24"/>
        </w:rPr>
        <w:t>10</w:t>
      </w:r>
      <w:r>
        <w:rPr>
          <w:rFonts w:hint="eastAsia" w:ascii="宋体" w:hAnsi="宋体"/>
          <w:sz w:val="24"/>
        </w:rPr>
        <w:t>、当每个自然月中存在质量问题的编织袋超出当月全部使用量（以出包装机为准）</w:t>
      </w:r>
      <w:r>
        <w:rPr>
          <w:rFonts w:ascii="宋体" w:hAnsi="宋体"/>
          <w:sz w:val="24"/>
        </w:rPr>
        <w:t>1.5</w:t>
      </w:r>
      <w:r>
        <w:rPr>
          <w:rFonts w:hint="eastAsia" w:ascii="宋体" w:hAnsi="宋体"/>
          <w:sz w:val="24"/>
        </w:rPr>
        <w:t>‰时，认定为当月入库的包装袋不合格，超出</w:t>
      </w:r>
      <w:r>
        <w:rPr>
          <w:rFonts w:ascii="宋体" w:hAnsi="宋体"/>
          <w:sz w:val="24"/>
        </w:rPr>
        <w:t>1.5</w:t>
      </w:r>
      <w:r>
        <w:rPr>
          <w:rFonts w:hint="eastAsia" w:ascii="宋体" w:hAnsi="宋体"/>
          <w:sz w:val="24"/>
        </w:rPr>
        <w:t>‰部分每条不合格的编织袋以每条</w:t>
      </w:r>
      <w:r>
        <w:rPr>
          <w:rFonts w:ascii="宋体" w:hAnsi="宋体"/>
          <w:sz w:val="24"/>
        </w:rPr>
        <w:t>3</w:t>
      </w:r>
      <w:r>
        <w:rPr>
          <w:rFonts w:hint="eastAsia" w:ascii="宋体" w:hAnsi="宋体"/>
          <w:sz w:val="24"/>
        </w:rPr>
        <w:t>元的价格赔偿给甲方，并对全部破损编织袋等量调换</w:t>
      </w:r>
    </w:p>
    <w:p>
      <w:pPr>
        <w:spacing w:line="353" w:lineRule="auto"/>
        <w:ind w:firstLine="480" w:firstLineChars="200"/>
        <w:rPr>
          <w:rFonts w:hint="eastAsia" w:ascii="宋体" w:hAnsi="宋体"/>
          <w:sz w:val="24"/>
        </w:rPr>
      </w:pPr>
      <w:r>
        <w:rPr>
          <w:rFonts w:ascii="宋体" w:hAnsi="宋体"/>
          <w:sz w:val="24"/>
        </w:rPr>
        <w:t>11</w:t>
      </w:r>
      <w:r>
        <w:rPr>
          <w:rFonts w:hint="eastAsia" w:ascii="宋体" w:hAnsi="宋体"/>
          <w:sz w:val="24"/>
        </w:rPr>
        <w:t>、编织袋摔包实验五条样袋跌落不破次数小于</w:t>
      </w:r>
      <w:r>
        <w:rPr>
          <w:rFonts w:ascii="宋体" w:hAnsi="宋体"/>
          <w:sz w:val="24"/>
        </w:rPr>
        <w:t>8</w:t>
      </w:r>
      <w:r>
        <w:rPr>
          <w:rFonts w:hint="eastAsia" w:ascii="宋体" w:hAnsi="宋体"/>
          <w:sz w:val="24"/>
        </w:rPr>
        <w:t>次，认定为当批入库的包装袋不合格，甲方有权要求换货，并扣除合同总价的百分之十（</w:t>
      </w:r>
      <w:r>
        <w:rPr>
          <w:rFonts w:ascii="宋体" w:hAnsi="宋体"/>
          <w:sz w:val="24"/>
        </w:rPr>
        <w:t>10%</w:t>
      </w:r>
      <w:r>
        <w:rPr>
          <w:rFonts w:hint="eastAsia" w:ascii="宋体" w:hAnsi="宋体"/>
          <w:sz w:val="24"/>
        </w:rPr>
        <w:t>），乙方应承担换货相关所有费用以及因延期造成的任何经济损失。</w:t>
      </w:r>
    </w:p>
    <w:p>
      <w:pPr>
        <w:spacing w:line="353" w:lineRule="auto"/>
        <w:ind w:firstLine="480" w:firstLineChars="200"/>
        <w:rPr>
          <w:rFonts w:hint="default" w:ascii="宋体" w:hAnsi="宋体" w:eastAsia="宋体"/>
          <w:sz w:val="24"/>
          <w:lang w:val="en-US" w:eastAsia="zh-CN"/>
        </w:rPr>
      </w:pPr>
      <w:r>
        <w:rPr>
          <w:rFonts w:hint="eastAsia" w:ascii="宋体" w:hAnsi="宋体"/>
          <w:sz w:val="24"/>
          <w:lang w:val="en-US" w:eastAsia="zh-CN"/>
        </w:rPr>
        <w:t>12、若国家有关部门检查，因水泥包装袋质量不合格而判定水泥不合格，一切责任和损失由卖方承担。</w:t>
      </w:r>
    </w:p>
    <w:p>
      <w:pPr>
        <w:spacing w:line="500" w:lineRule="exact"/>
        <w:ind w:firstLine="472" w:firstLineChars="196"/>
        <w:rPr>
          <w:b/>
          <w:sz w:val="24"/>
        </w:rPr>
      </w:pPr>
      <w:r>
        <w:rPr>
          <w:rFonts w:hint="eastAsia" w:ascii="宋体" w:hAnsi="宋体"/>
          <w:b/>
          <w:sz w:val="24"/>
        </w:rPr>
        <w:t xml:space="preserve">第十条  </w:t>
      </w:r>
      <w:r>
        <w:rPr>
          <w:rFonts w:hint="eastAsia"/>
          <w:b/>
          <w:sz w:val="24"/>
        </w:rPr>
        <w:t>合同履行期限</w:t>
      </w:r>
    </w:p>
    <w:p>
      <w:pPr>
        <w:spacing w:line="500" w:lineRule="exact"/>
        <w:ind w:firstLine="480"/>
        <w:rPr>
          <w:rFonts w:ascii="宋体"/>
          <w:sz w:val="24"/>
        </w:rPr>
      </w:pPr>
      <w:r>
        <w:rPr>
          <w:rFonts w:hint="eastAsia" w:ascii="宋体"/>
          <w:sz w:val="24"/>
        </w:rPr>
        <w:t>本合同履行期限为</w:t>
      </w:r>
      <w:r>
        <w:rPr>
          <w:rFonts w:hint="eastAsia" w:ascii="宋体"/>
          <w:sz w:val="24"/>
          <w:u w:val="single"/>
        </w:rPr>
        <w:t>202</w:t>
      </w:r>
      <w:r>
        <w:rPr>
          <w:rFonts w:ascii="宋体"/>
          <w:sz w:val="24"/>
          <w:u w:val="single"/>
        </w:rPr>
        <w:t>1</w:t>
      </w:r>
      <w:r>
        <w:rPr>
          <w:rFonts w:hint="eastAsia" w:ascii="宋体"/>
          <w:sz w:val="24"/>
        </w:rPr>
        <w:t>年</w:t>
      </w:r>
      <w:r>
        <w:rPr>
          <w:rFonts w:ascii="宋体"/>
          <w:sz w:val="24"/>
          <w:u w:val="single"/>
        </w:rPr>
        <w:t xml:space="preserve">  </w:t>
      </w:r>
      <w:r>
        <w:rPr>
          <w:rFonts w:hint="eastAsia" w:ascii="宋体"/>
          <w:sz w:val="24"/>
        </w:rPr>
        <w:t>月</w:t>
      </w:r>
      <w:r>
        <w:rPr>
          <w:rFonts w:ascii="宋体"/>
          <w:sz w:val="24"/>
          <w:u w:val="single"/>
        </w:rPr>
        <w:t xml:space="preserve">  </w:t>
      </w:r>
      <w:r>
        <w:rPr>
          <w:rFonts w:hint="eastAsia" w:ascii="宋体"/>
          <w:sz w:val="24"/>
        </w:rPr>
        <w:t>日至</w:t>
      </w:r>
      <w:r>
        <w:rPr>
          <w:rFonts w:hint="eastAsia" w:ascii="宋体"/>
          <w:sz w:val="24"/>
          <w:u w:val="single"/>
        </w:rPr>
        <w:t>202</w:t>
      </w:r>
      <w:r>
        <w:rPr>
          <w:rFonts w:hint="eastAsia" w:ascii="宋体"/>
          <w:sz w:val="24"/>
          <w:u w:val="single"/>
          <w:lang w:val="en-US" w:eastAsia="zh-CN"/>
        </w:rPr>
        <w:t>2</w:t>
      </w:r>
      <w:r>
        <w:rPr>
          <w:rFonts w:hint="eastAsia" w:ascii="宋体"/>
          <w:sz w:val="24"/>
        </w:rPr>
        <w:t>年</w:t>
      </w:r>
      <w:r>
        <w:rPr>
          <w:rFonts w:hint="eastAsia" w:ascii="宋体"/>
          <w:sz w:val="24"/>
          <w:u w:val="single"/>
          <w:lang w:val="en-US" w:eastAsia="zh-CN"/>
        </w:rPr>
        <w:t xml:space="preserve">  </w:t>
      </w:r>
      <w:r>
        <w:rPr>
          <w:rFonts w:hint="eastAsia" w:ascii="宋体"/>
          <w:sz w:val="24"/>
        </w:rPr>
        <w:t>月</w:t>
      </w:r>
      <w:r>
        <w:rPr>
          <w:rFonts w:hint="eastAsia" w:ascii="宋体"/>
          <w:sz w:val="24"/>
          <w:u w:val="single"/>
          <w:lang w:val="en-US" w:eastAsia="zh-CN"/>
        </w:rPr>
        <w:t xml:space="preserve">  </w:t>
      </w:r>
      <w:r>
        <w:rPr>
          <w:rFonts w:hint="eastAsia" w:ascii="宋体"/>
          <w:sz w:val="24"/>
        </w:rPr>
        <w:t>日。</w:t>
      </w:r>
    </w:p>
    <w:p>
      <w:pPr>
        <w:spacing w:line="500" w:lineRule="exact"/>
        <w:ind w:firstLine="463" w:firstLineChars="192"/>
        <w:rPr>
          <w:rFonts w:ascii="宋体" w:hAnsi="宋体"/>
          <w:b/>
          <w:sz w:val="24"/>
        </w:rPr>
      </w:pPr>
      <w:r>
        <w:rPr>
          <w:rFonts w:hint="eastAsia"/>
          <w:b/>
          <w:sz w:val="24"/>
        </w:rPr>
        <w:t>第</w:t>
      </w:r>
      <w:r>
        <w:rPr>
          <w:rFonts w:hint="eastAsia" w:ascii="宋体" w:hAnsi="宋体"/>
          <w:b/>
          <w:sz w:val="24"/>
        </w:rPr>
        <w:t>十一条  廉政条款</w:t>
      </w:r>
    </w:p>
    <w:p>
      <w:pPr>
        <w:spacing w:line="500" w:lineRule="exact"/>
        <w:ind w:firstLine="470" w:firstLineChars="196"/>
        <w:rPr>
          <w:rFonts w:ascii="宋体" w:hAnsi="宋体"/>
          <w:sz w:val="24"/>
        </w:rPr>
      </w:pPr>
      <w:r>
        <w:rPr>
          <w:rFonts w:hint="eastAsia" w:ascii="宋体" w:hAnsi="宋体"/>
          <w:sz w:val="24"/>
        </w:rPr>
        <w:t>乙方不以任何理由邀请甲方人员参加由乙方出资的各种餐饮、娱乐、休闲、健身等活动；不向甲方人员及其家属、朋友送礼（含礼金、购物卡、有价证券和物品）、报销应由其个人负担的费用；不为甲方人员及其家属、朋友的个人事务提供低酬劳、无偿帮助或任何形式的好处；不为甲方及其亲属、朋友提供使用交通工具、通讯工具；遵守公平竞争原则，不通过非正常手段进行商业竞争，损害甲方及其他商家利益，如违反上述承诺之一的，视为乙方违约，乙方同意向甲方支付合同价款30%的违约金。</w:t>
      </w:r>
    </w:p>
    <w:p>
      <w:pPr>
        <w:spacing w:line="500" w:lineRule="exact"/>
        <w:ind w:firstLine="472" w:firstLineChars="196"/>
        <w:rPr>
          <w:rFonts w:ascii="宋体" w:hAnsi="宋体"/>
          <w:b/>
          <w:sz w:val="24"/>
        </w:rPr>
      </w:pPr>
      <w:r>
        <w:rPr>
          <w:rFonts w:hint="eastAsia" w:ascii="宋体" w:hAnsi="宋体"/>
          <w:b/>
          <w:sz w:val="24"/>
        </w:rPr>
        <w:t>第十二条  争议解决及其他</w:t>
      </w:r>
    </w:p>
    <w:p>
      <w:pPr>
        <w:spacing w:line="500" w:lineRule="exact"/>
        <w:ind w:firstLine="460" w:firstLineChars="192"/>
        <w:rPr>
          <w:rFonts w:ascii="宋体" w:hAnsi="宋体"/>
          <w:sz w:val="24"/>
        </w:rPr>
      </w:pPr>
      <w:r>
        <w:rPr>
          <w:rFonts w:ascii="宋体" w:hAnsi="宋体"/>
          <w:sz w:val="24"/>
        </w:rPr>
        <w:t>1、</w:t>
      </w:r>
      <w:r>
        <w:rPr>
          <w:rFonts w:hint="eastAsia" w:ascii="宋体" w:hAnsi="宋体"/>
          <w:sz w:val="24"/>
        </w:rPr>
        <w:t>因本合同产生的纠纷双方协商解决，协商不成任何一方均有权向</w:t>
      </w:r>
      <w:r>
        <w:rPr>
          <w:rFonts w:hint="eastAsia" w:ascii="宋体" w:hAnsi="宋体"/>
          <w:sz w:val="24"/>
          <w:u w:val="single"/>
        </w:rPr>
        <w:t>签约地</w:t>
      </w:r>
      <w:r>
        <w:rPr>
          <w:rFonts w:hint="eastAsia" w:ascii="宋体" w:hAnsi="宋体"/>
          <w:sz w:val="24"/>
        </w:rPr>
        <w:t>人民法院提起诉讼。</w:t>
      </w:r>
    </w:p>
    <w:p>
      <w:pPr>
        <w:spacing w:line="500" w:lineRule="exact"/>
        <w:ind w:firstLine="470" w:firstLineChars="196"/>
        <w:rPr>
          <w:rFonts w:ascii="宋体" w:hAnsi="宋体"/>
          <w:b/>
          <w:sz w:val="24"/>
        </w:rPr>
      </w:pPr>
      <w:r>
        <w:rPr>
          <w:rFonts w:hint="eastAsia" w:ascii="宋体" w:hAnsi="宋体"/>
          <w:sz w:val="24"/>
        </w:rPr>
        <w:t>2、本合同</w:t>
      </w:r>
      <w:r>
        <w:rPr>
          <w:rFonts w:ascii="宋体" w:hAnsi="宋体"/>
          <w:sz w:val="24"/>
        </w:rPr>
        <w:t>一式</w:t>
      </w:r>
      <w:r>
        <w:rPr>
          <w:rFonts w:hint="eastAsia" w:ascii="宋体" w:hAnsi="宋体"/>
          <w:sz w:val="24"/>
          <w:lang w:val="en-US" w:eastAsia="zh-CN"/>
        </w:rPr>
        <w:t>四</w:t>
      </w:r>
      <w:r>
        <w:rPr>
          <w:rFonts w:hint="eastAsia" w:ascii="宋体" w:hAnsi="宋体"/>
          <w:sz w:val="24"/>
        </w:rPr>
        <w:t>份，甲方执三份，乙方执</w:t>
      </w:r>
      <w:r>
        <w:rPr>
          <w:rFonts w:hint="eastAsia" w:ascii="宋体" w:hAnsi="宋体"/>
          <w:sz w:val="24"/>
          <w:lang w:val="en-US" w:eastAsia="zh-CN"/>
        </w:rPr>
        <w:t>一</w:t>
      </w:r>
      <w:r>
        <w:rPr>
          <w:rFonts w:hint="eastAsia" w:ascii="宋体" w:hAnsi="宋体"/>
          <w:sz w:val="24"/>
        </w:rPr>
        <w:t>份，均具有同等法律效力。</w:t>
      </w:r>
    </w:p>
    <w:p>
      <w:pPr>
        <w:spacing w:line="500" w:lineRule="exact"/>
        <w:ind w:firstLine="460" w:firstLineChars="192"/>
        <w:rPr>
          <w:rFonts w:ascii="宋体" w:hAnsi="宋体"/>
          <w:sz w:val="24"/>
        </w:rPr>
      </w:pPr>
      <w:r>
        <w:rPr>
          <w:rFonts w:hint="eastAsia" w:ascii="宋体" w:hAnsi="宋体"/>
          <w:sz w:val="24"/>
        </w:rPr>
        <w:t>3、本合同以打印体有效，涂改无效。</w:t>
      </w:r>
    </w:p>
    <w:p>
      <w:pPr>
        <w:spacing w:line="500" w:lineRule="exact"/>
        <w:rPr>
          <w:rFonts w:ascii="宋体" w:hAnsi="宋体"/>
          <w:sz w:val="24"/>
        </w:rPr>
      </w:pPr>
    </w:p>
    <w:p>
      <w:pPr>
        <w:spacing w:line="500" w:lineRule="exact"/>
        <w:rPr>
          <w:rFonts w:ascii="黑体" w:hAnsi="宋体" w:eastAsia="黑体"/>
          <w:sz w:val="28"/>
          <w:szCs w:val="28"/>
        </w:rPr>
      </w:pPr>
      <w:r>
        <w:rPr>
          <w:rFonts w:hint="eastAsia" w:ascii="黑体" w:hAnsi="宋体" w:eastAsia="黑体"/>
          <w:sz w:val="28"/>
          <w:szCs w:val="28"/>
        </w:rPr>
        <w:t>特别声明：</w:t>
      </w:r>
    </w:p>
    <w:p>
      <w:pPr>
        <w:spacing w:line="500" w:lineRule="exact"/>
        <w:ind w:firstLine="560" w:firstLineChars="200"/>
        <w:rPr>
          <w:rFonts w:ascii="黑体" w:hAnsi="宋体" w:eastAsia="黑体"/>
          <w:sz w:val="28"/>
          <w:szCs w:val="28"/>
        </w:rPr>
      </w:pPr>
      <w:r>
        <w:rPr>
          <w:rFonts w:hint="eastAsia" w:ascii="黑体" w:hAnsi="宋体" w:eastAsia="黑体"/>
          <w:sz w:val="28"/>
          <w:szCs w:val="28"/>
        </w:rPr>
        <w:t>本合同双方对合同的全部条款均无疑义，并对当事人有关权利义务和责任限制或免除条款的法律含义有准确无误的理解。</w:t>
      </w:r>
    </w:p>
    <w:p>
      <w:pPr>
        <w:spacing w:line="500" w:lineRule="exact"/>
        <w:ind w:firstLine="460" w:firstLineChars="192"/>
        <w:rPr>
          <w:rFonts w:ascii="宋体" w:hAnsi="宋体"/>
          <w:sz w:val="24"/>
        </w:rPr>
      </w:pPr>
      <w:r>
        <w:rPr>
          <w:rFonts w:hint="eastAsia" w:ascii="宋体" w:hAnsi="宋体"/>
          <w:sz w:val="24"/>
        </w:rPr>
        <w:t>（以下无正文）</w:t>
      </w:r>
    </w:p>
    <w:tbl>
      <w:tblPr>
        <w:tblStyle w:val="17"/>
        <w:tblW w:w="9369" w:type="dxa"/>
        <w:tblInd w:w="288" w:type="dxa"/>
        <w:tblLayout w:type="fixed"/>
        <w:tblCellMar>
          <w:top w:w="0" w:type="dxa"/>
          <w:left w:w="108" w:type="dxa"/>
          <w:bottom w:w="0" w:type="dxa"/>
          <w:right w:w="108" w:type="dxa"/>
        </w:tblCellMar>
      </w:tblPr>
      <w:tblGrid>
        <w:gridCol w:w="4522"/>
        <w:gridCol w:w="4847"/>
      </w:tblGrid>
      <w:tr>
        <w:tblPrEx>
          <w:tblCellMar>
            <w:top w:w="0" w:type="dxa"/>
            <w:left w:w="108" w:type="dxa"/>
            <w:bottom w:w="0" w:type="dxa"/>
            <w:right w:w="108" w:type="dxa"/>
          </w:tblCellMar>
        </w:tblPrEx>
        <w:trPr>
          <w:cantSplit/>
          <w:trHeight w:val="465" w:hRule="atLeast"/>
        </w:trPr>
        <w:tc>
          <w:tcPr>
            <w:tcW w:w="4522" w:type="dxa"/>
          </w:tcPr>
          <w:p>
            <w:pPr>
              <w:spacing w:line="500" w:lineRule="exact"/>
              <w:rPr>
                <w:rFonts w:ascii="宋体"/>
                <w:sz w:val="24"/>
              </w:rPr>
            </w:pPr>
            <w:r>
              <w:rPr>
                <w:rFonts w:hint="eastAsia" w:ascii="宋体"/>
                <w:sz w:val="24"/>
              </w:rPr>
              <w:t>甲方：天津金隅振兴环保科技有限公司</w:t>
            </w:r>
          </w:p>
        </w:tc>
        <w:tc>
          <w:tcPr>
            <w:tcW w:w="4847" w:type="dxa"/>
          </w:tcPr>
          <w:p>
            <w:pPr>
              <w:spacing w:line="500" w:lineRule="exact"/>
              <w:rPr>
                <w:rFonts w:ascii="宋体"/>
                <w:sz w:val="24"/>
              </w:rPr>
            </w:pPr>
            <w:r>
              <w:rPr>
                <w:rFonts w:hint="eastAsia" w:ascii="宋体"/>
                <w:sz w:val="24"/>
              </w:rPr>
              <w:t xml:space="preserve">乙方（章）： </w:t>
            </w:r>
            <w:r>
              <w:rPr>
                <w:rFonts w:ascii="宋体"/>
                <w:sz w:val="24"/>
              </w:rPr>
              <w:t xml:space="preserve">  </w:t>
            </w:r>
          </w:p>
        </w:tc>
      </w:tr>
      <w:tr>
        <w:tblPrEx>
          <w:tblCellMar>
            <w:top w:w="0" w:type="dxa"/>
            <w:left w:w="108" w:type="dxa"/>
            <w:bottom w:w="0" w:type="dxa"/>
            <w:right w:w="108" w:type="dxa"/>
          </w:tblCellMar>
        </w:tblPrEx>
        <w:trPr>
          <w:cantSplit/>
          <w:trHeight w:val="450" w:hRule="atLeast"/>
        </w:trPr>
        <w:tc>
          <w:tcPr>
            <w:tcW w:w="4522" w:type="dxa"/>
          </w:tcPr>
          <w:p>
            <w:pPr>
              <w:spacing w:line="500" w:lineRule="exact"/>
              <w:rPr>
                <w:rFonts w:ascii="宋体"/>
                <w:sz w:val="24"/>
              </w:rPr>
            </w:pPr>
            <w:r>
              <w:rPr>
                <w:rFonts w:hint="eastAsia" w:ascii="宋体"/>
                <w:sz w:val="24"/>
              </w:rPr>
              <w:t>住所：天津市北辰区引河桥北</w:t>
            </w:r>
          </w:p>
        </w:tc>
        <w:tc>
          <w:tcPr>
            <w:tcW w:w="4847" w:type="dxa"/>
          </w:tcPr>
          <w:p>
            <w:pPr>
              <w:spacing w:line="500" w:lineRule="exact"/>
              <w:rPr>
                <w:rFonts w:ascii="宋体"/>
                <w:sz w:val="24"/>
              </w:rPr>
            </w:pPr>
            <w:r>
              <w:rPr>
                <w:rFonts w:hint="eastAsia" w:ascii="宋体"/>
                <w:sz w:val="24"/>
              </w:rPr>
              <w:t xml:space="preserve">地址： </w:t>
            </w:r>
          </w:p>
        </w:tc>
      </w:tr>
      <w:tr>
        <w:tblPrEx>
          <w:tblCellMar>
            <w:top w:w="0" w:type="dxa"/>
            <w:left w:w="108" w:type="dxa"/>
            <w:bottom w:w="0" w:type="dxa"/>
            <w:right w:w="108" w:type="dxa"/>
          </w:tblCellMar>
        </w:tblPrEx>
        <w:trPr>
          <w:cantSplit/>
          <w:trHeight w:val="285" w:hRule="atLeast"/>
        </w:trPr>
        <w:tc>
          <w:tcPr>
            <w:tcW w:w="4522" w:type="dxa"/>
          </w:tcPr>
          <w:p>
            <w:pPr>
              <w:spacing w:line="500" w:lineRule="exact"/>
              <w:rPr>
                <w:rFonts w:ascii="宋体"/>
                <w:sz w:val="24"/>
              </w:rPr>
            </w:pPr>
            <w:r>
              <w:rPr>
                <w:rFonts w:hint="eastAsia" w:ascii="宋体"/>
                <w:sz w:val="24"/>
              </w:rPr>
              <w:t xml:space="preserve">法定代表人： </w:t>
            </w:r>
          </w:p>
        </w:tc>
        <w:tc>
          <w:tcPr>
            <w:tcW w:w="4847" w:type="dxa"/>
          </w:tcPr>
          <w:p>
            <w:pPr>
              <w:spacing w:line="500" w:lineRule="exact"/>
              <w:rPr>
                <w:rFonts w:ascii="宋体"/>
                <w:sz w:val="24"/>
              </w:rPr>
            </w:pPr>
            <w:r>
              <w:rPr>
                <w:rFonts w:hint="eastAsia" w:ascii="宋体"/>
                <w:sz w:val="24"/>
              </w:rPr>
              <w:t xml:space="preserve">法定代表人： </w:t>
            </w:r>
          </w:p>
        </w:tc>
      </w:tr>
      <w:tr>
        <w:tblPrEx>
          <w:tblCellMar>
            <w:top w:w="0" w:type="dxa"/>
            <w:left w:w="108" w:type="dxa"/>
            <w:bottom w:w="0" w:type="dxa"/>
            <w:right w:w="108" w:type="dxa"/>
          </w:tblCellMar>
        </w:tblPrEx>
        <w:trPr>
          <w:cantSplit/>
          <w:trHeight w:val="435" w:hRule="atLeast"/>
        </w:trPr>
        <w:tc>
          <w:tcPr>
            <w:tcW w:w="4522" w:type="dxa"/>
          </w:tcPr>
          <w:p>
            <w:pPr>
              <w:spacing w:line="500" w:lineRule="exact"/>
              <w:rPr>
                <w:rFonts w:ascii="宋体"/>
                <w:sz w:val="24"/>
              </w:rPr>
            </w:pPr>
            <w:r>
              <w:rPr>
                <w:rFonts w:hint="eastAsia" w:ascii="宋体"/>
                <w:sz w:val="24"/>
              </w:rPr>
              <w:t>委托代理人：</w:t>
            </w:r>
          </w:p>
        </w:tc>
        <w:tc>
          <w:tcPr>
            <w:tcW w:w="4847" w:type="dxa"/>
          </w:tcPr>
          <w:p>
            <w:pPr>
              <w:spacing w:line="500" w:lineRule="exact"/>
              <w:rPr>
                <w:rFonts w:ascii="宋体"/>
                <w:sz w:val="24"/>
              </w:rPr>
            </w:pPr>
            <w:r>
              <w:rPr>
                <w:rFonts w:hint="eastAsia" w:ascii="宋体"/>
                <w:sz w:val="24"/>
              </w:rPr>
              <w:t>委托代理人：</w:t>
            </w:r>
          </w:p>
        </w:tc>
      </w:tr>
      <w:tr>
        <w:tblPrEx>
          <w:tblCellMar>
            <w:top w:w="0" w:type="dxa"/>
            <w:left w:w="108" w:type="dxa"/>
            <w:bottom w:w="0" w:type="dxa"/>
            <w:right w:w="108" w:type="dxa"/>
          </w:tblCellMar>
        </w:tblPrEx>
        <w:trPr>
          <w:cantSplit/>
          <w:trHeight w:val="331" w:hRule="atLeast"/>
        </w:trPr>
        <w:tc>
          <w:tcPr>
            <w:tcW w:w="4522" w:type="dxa"/>
          </w:tcPr>
          <w:p>
            <w:pPr>
              <w:spacing w:line="500" w:lineRule="exact"/>
              <w:rPr>
                <w:rFonts w:ascii="宋体"/>
                <w:sz w:val="24"/>
              </w:rPr>
            </w:pPr>
            <w:r>
              <w:rPr>
                <w:rFonts w:hint="eastAsia" w:ascii="宋体"/>
                <w:sz w:val="24"/>
              </w:rPr>
              <w:t>电话：</w:t>
            </w:r>
            <w:r>
              <w:rPr>
                <w:rFonts w:ascii="宋体"/>
                <w:sz w:val="24"/>
              </w:rPr>
              <w:t xml:space="preserve"> </w:t>
            </w:r>
          </w:p>
        </w:tc>
        <w:tc>
          <w:tcPr>
            <w:tcW w:w="4847" w:type="dxa"/>
            <w:vAlign w:val="center"/>
          </w:tcPr>
          <w:p>
            <w:pPr>
              <w:spacing w:line="500" w:lineRule="exact"/>
              <w:rPr>
                <w:rFonts w:ascii="宋体"/>
                <w:sz w:val="24"/>
              </w:rPr>
            </w:pPr>
            <w:r>
              <w:rPr>
                <w:rFonts w:hint="eastAsia" w:ascii="宋体"/>
                <w:sz w:val="24"/>
              </w:rPr>
              <w:t>电话：</w:t>
            </w:r>
            <w:r>
              <w:rPr>
                <w:rFonts w:ascii="宋体"/>
                <w:sz w:val="24"/>
              </w:rPr>
              <w:t xml:space="preserve"> </w:t>
            </w:r>
          </w:p>
        </w:tc>
      </w:tr>
      <w:tr>
        <w:tblPrEx>
          <w:tblCellMar>
            <w:top w:w="0" w:type="dxa"/>
            <w:left w:w="108" w:type="dxa"/>
            <w:bottom w:w="0" w:type="dxa"/>
            <w:right w:w="108" w:type="dxa"/>
          </w:tblCellMar>
        </w:tblPrEx>
        <w:trPr>
          <w:cantSplit/>
          <w:trHeight w:val="405" w:hRule="atLeast"/>
        </w:trPr>
        <w:tc>
          <w:tcPr>
            <w:tcW w:w="4522" w:type="dxa"/>
          </w:tcPr>
          <w:p>
            <w:pPr>
              <w:spacing w:line="500" w:lineRule="exact"/>
              <w:rPr>
                <w:rFonts w:ascii="宋体"/>
                <w:sz w:val="24"/>
              </w:rPr>
            </w:pPr>
            <w:r>
              <w:rPr>
                <w:rFonts w:hint="eastAsia" w:ascii="宋体"/>
                <w:sz w:val="24"/>
              </w:rPr>
              <w:t xml:space="preserve">开户银行：   </w:t>
            </w:r>
          </w:p>
        </w:tc>
        <w:tc>
          <w:tcPr>
            <w:tcW w:w="4847" w:type="dxa"/>
            <w:vAlign w:val="center"/>
          </w:tcPr>
          <w:p>
            <w:pPr>
              <w:spacing w:line="500" w:lineRule="exact"/>
              <w:rPr>
                <w:rFonts w:ascii="宋体"/>
                <w:sz w:val="24"/>
              </w:rPr>
            </w:pPr>
            <w:r>
              <w:rPr>
                <w:rFonts w:hint="eastAsia" w:ascii="宋体"/>
                <w:sz w:val="24"/>
              </w:rPr>
              <w:t xml:space="preserve">开户银行： </w:t>
            </w:r>
          </w:p>
        </w:tc>
      </w:tr>
      <w:tr>
        <w:tblPrEx>
          <w:tblCellMar>
            <w:top w:w="0" w:type="dxa"/>
            <w:left w:w="108" w:type="dxa"/>
            <w:bottom w:w="0" w:type="dxa"/>
            <w:right w:w="108" w:type="dxa"/>
          </w:tblCellMar>
        </w:tblPrEx>
        <w:trPr>
          <w:cantSplit/>
          <w:trHeight w:val="444" w:hRule="atLeast"/>
        </w:trPr>
        <w:tc>
          <w:tcPr>
            <w:tcW w:w="4522" w:type="dxa"/>
          </w:tcPr>
          <w:p>
            <w:pPr>
              <w:spacing w:line="500" w:lineRule="exact"/>
              <w:rPr>
                <w:rFonts w:ascii="宋体"/>
                <w:sz w:val="24"/>
              </w:rPr>
            </w:pPr>
            <w:r>
              <w:rPr>
                <w:rFonts w:hint="eastAsia" w:ascii="宋体"/>
                <w:sz w:val="24"/>
              </w:rPr>
              <w:t>账号：</w:t>
            </w:r>
            <w:r>
              <w:rPr>
                <w:rFonts w:ascii="宋体"/>
                <w:sz w:val="24"/>
              </w:rPr>
              <w:t xml:space="preserve"> </w:t>
            </w:r>
          </w:p>
        </w:tc>
        <w:tc>
          <w:tcPr>
            <w:tcW w:w="4847" w:type="dxa"/>
            <w:vAlign w:val="center"/>
          </w:tcPr>
          <w:p>
            <w:pPr>
              <w:spacing w:line="500" w:lineRule="exact"/>
              <w:rPr>
                <w:rFonts w:ascii="宋体"/>
                <w:sz w:val="24"/>
              </w:rPr>
            </w:pPr>
            <w:r>
              <w:rPr>
                <w:rFonts w:hint="eastAsia" w:ascii="宋体"/>
                <w:sz w:val="24"/>
              </w:rPr>
              <w:t>帐号：</w:t>
            </w:r>
            <w:r>
              <w:rPr>
                <w:rFonts w:ascii="宋体"/>
                <w:sz w:val="24"/>
              </w:rPr>
              <w:t xml:space="preserve"> </w:t>
            </w:r>
          </w:p>
        </w:tc>
      </w:tr>
      <w:tr>
        <w:tblPrEx>
          <w:tblCellMar>
            <w:top w:w="0" w:type="dxa"/>
            <w:left w:w="108" w:type="dxa"/>
            <w:bottom w:w="0" w:type="dxa"/>
            <w:right w:w="108" w:type="dxa"/>
          </w:tblCellMar>
        </w:tblPrEx>
        <w:trPr>
          <w:cantSplit/>
          <w:trHeight w:val="385" w:hRule="atLeast"/>
        </w:trPr>
        <w:tc>
          <w:tcPr>
            <w:tcW w:w="4522" w:type="dxa"/>
          </w:tcPr>
          <w:p>
            <w:pPr>
              <w:spacing w:line="500" w:lineRule="exact"/>
              <w:rPr>
                <w:rFonts w:ascii="宋体"/>
                <w:sz w:val="24"/>
              </w:rPr>
            </w:pPr>
            <w:r>
              <w:rPr>
                <w:rFonts w:hint="eastAsia" w:ascii="宋体"/>
                <w:sz w:val="24"/>
              </w:rPr>
              <w:t>税号：</w:t>
            </w:r>
            <w:r>
              <w:rPr>
                <w:rFonts w:ascii="宋体"/>
                <w:sz w:val="24"/>
              </w:rPr>
              <w:t xml:space="preserve"> </w:t>
            </w:r>
          </w:p>
        </w:tc>
        <w:tc>
          <w:tcPr>
            <w:tcW w:w="4847" w:type="dxa"/>
            <w:vAlign w:val="center"/>
          </w:tcPr>
          <w:p>
            <w:pPr>
              <w:spacing w:line="500" w:lineRule="exact"/>
              <w:rPr>
                <w:rFonts w:ascii="宋体"/>
                <w:sz w:val="24"/>
              </w:rPr>
            </w:pPr>
            <w:r>
              <w:rPr>
                <w:rFonts w:hint="eastAsia" w:ascii="宋体"/>
                <w:sz w:val="24"/>
              </w:rPr>
              <w:t>税号：</w:t>
            </w:r>
            <w:r>
              <w:rPr>
                <w:rFonts w:ascii="宋体"/>
                <w:sz w:val="24"/>
              </w:rPr>
              <w:t xml:space="preserve"> </w:t>
            </w:r>
          </w:p>
        </w:tc>
      </w:tr>
    </w:tbl>
    <w:p>
      <w:pPr>
        <w:spacing w:line="500" w:lineRule="exact"/>
        <w:rPr>
          <w:sz w:val="24"/>
        </w:rPr>
      </w:pPr>
    </w:p>
    <w:p>
      <w:pPr>
        <w:widowControl/>
        <w:jc w:val="left"/>
        <w:rPr>
          <w:sz w:val="24"/>
        </w:rPr>
      </w:pPr>
      <w:r>
        <w:rPr>
          <w:sz w:val="24"/>
        </w:rPr>
        <w:br w:type="page"/>
      </w:r>
    </w:p>
    <w:p>
      <w:pPr>
        <w:pStyle w:val="2"/>
        <w:rPr>
          <w:sz w:val="28"/>
          <w:szCs w:val="28"/>
        </w:rPr>
      </w:pPr>
      <w:r>
        <w:rPr>
          <w:rFonts w:hint="eastAsia"/>
        </w:rPr>
        <w:t>附件</w:t>
      </w:r>
      <w:r>
        <w:rPr>
          <w:rFonts w:hint="eastAsia"/>
          <w:lang w:val="en-US" w:eastAsia="zh-CN"/>
        </w:rPr>
        <w:t>:图样仅为示例，定标后需根据我公司版面进行更改，尺寸为基本尺寸，根据使用情况做调整。</w:t>
      </w:r>
    </w:p>
    <w:tbl>
      <w:tblPr>
        <w:tblStyle w:val="17"/>
        <w:tblpPr w:leftFromText="180" w:rightFromText="180" w:vertAnchor="text" w:horzAnchor="page" w:tblpX="674" w:tblpY="309"/>
        <w:tblOverlap w:val="never"/>
        <w:tblW w:w="10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403"/>
        <w:gridCol w:w="814"/>
        <w:gridCol w:w="860"/>
        <w:gridCol w:w="950"/>
        <w:gridCol w:w="815"/>
        <w:gridCol w:w="814"/>
        <w:gridCol w:w="815"/>
        <w:gridCol w:w="814"/>
        <w:gridCol w:w="815"/>
        <w:gridCol w:w="814"/>
        <w:gridCol w:w="815"/>
        <w:gridCol w:w="8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62" w:hRule="atLeast"/>
        </w:trPr>
        <w:tc>
          <w:tcPr>
            <w:tcW w:w="10580" w:type="dxa"/>
            <w:gridSpan w:val="12"/>
            <w:tcBorders>
              <w:top w:val="nil"/>
              <w:left w:val="nil"/>
              <w:bottom w:val="single" w:color="000000"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36"/>
                <w:szCs w:val="36"/>
                <w:u w:val="none"/>
              </w:rPr>
            </w:pPr>
            <w:r>
              <w:rPr>
                <w:rFonts w:hint="eastAsia" w:ascii="宋体" w:hAnsi="宋体" w:eastAsia="宋体" w:cs="宋体"/>
                <w:i w:val="0"/>
                <w:color w:val="000000"/>
                <w:kern w:val="0"/>
                <w:sz w:val="36"/>
                <w:szCs w:val="36"/>
                <w:u w:val="none"/>
                <w:lang w:val="en-US" w:eastAsia="zh-CN" w:bidi="ar"/>
              </w:rPr>
              <w:t>糊底袋尺寸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2" w:hRule="atLeast"/>
        </w:trPr>
        <w:tc>
          <w:tcPr>
            <w:tcW w:w="14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规格</w:t>
            </w:r>
          </w:p>
        </w:tc>
        <w:tc>
          <w:tcPr>
            <w:tcW w:w="167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袋长度A/mm</w:t>
            </w:r>
          </w:p>
        </w:tc>
        <w:tc>
          <w:tcPr>
            <w:tcW w:w="176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袋宽度B/mm</w:t>
            </w:r>
          </w:p>
        </w:tc>
        <w:tc>
          <w:tcPr>
            <w:tcW w:w="16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底宽度C/mm</w:t>
            </w:r>
          </w:p>
        </w:tc>
        <w:tc>
          <w:tcPr>
            <w:tcW w:w="16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阀口宽度C’/mm</w:t>
            </w:r>
          </w:p>
        </w:tc>
        <w:tc>
          <w:tcPr>
            <w:tcW w:w="162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阀口长度D/mm</w:t>
            </w:r>
          </w:p>
        </w:tc>
        <w:tc>
          <w:tcPr>
            <w:tcW w:w="85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阀口伸出长度D’/mm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2" w:hRule="atLeast"/>
        </w:trPr>
        <w:tc>
          <w:tcPr>
            <w:tcW w:w="14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基本尺寸</w:t>
            </w:r>
          </w:p>
        </w:tc>
        <w:tc>
          <w:tcPr>
            <w:tcW w:w="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允许偏差</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基本尺寸</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允许偏差</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基本尺寸</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允许偏差</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基本尺寸</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允许偏差</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基本尺寸</w:t>
            </w:r>
          </w:p>
        </w:tc>
        <w:tc>
          <w:tcPr>
            <w:tcW w:w="8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允许偏差</w:t>
            </w:r>
          </w:p>
        </w:tc>
        <w:tc>
          <w:tcPr>
            <w:tcW w:w="85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2"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Tahoma" w:hAnsi="Tahoma" w:eastAsia="Tahoma" w:cs="Tahoma"/>
                <w:i w:val="0"/>
                <w:color w:val="000000"/>
                <w:sz w:val="22"/>
                <w:szCs w:val="22"/>
                <w:u w:val="none"/>
              </w:rPr>
            </w:pPr>
            <w:r>
              <w:rPr>
                <w:rStyle w:val="42"/>
                <w:lang w:val="en-US" w:eastAsia="zh-CN" w:bidi="ar"/>
              </w:rPr>
              <w:t>40KG</w:t>
            </w:r>
            <w:r>
              <w:rPr>
                <w:rStyle w:val="43"/>
                <w:lang w:val="en-US" w:eastAsia="zh-CN" w:bidi="ar"/>
              </w:rPr>
              <w:t>（</w:t>
            </w:r>
            <w:r>
              <w:rPr>
                <w:rStyle w:val="42"/>
                <w:lang w:val="en-US" w:eastAsia="zh-CN" w:bidi="ar"/>
              </w:rPr>
              <w:t>PSA32.5</w:t>
            </w:r>
            <w:r>
              <w:rPr>
                <w:rStyle w:val="43"/>
                <w:lang w:val="en-US" w:eastAsia="zh-CN" w:bidi="ar"/>
              </w:rPr>
              <w:t>）</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580</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±10</w:t>
            </w: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460</w:t>
            </w:r>
          </w:p>
        </w:tc>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106</w:t>
            </w:r>
          </w:p>
        </w:tc>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95</w:t>
            </w:r>
          </w:p>
        </w:tc>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±3</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105</w:t>
            </w:r>
          </w:p>
        </w:tc>
        <w:tc>
          <w:tcPr>
            <w:tcW w:w="8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w:t>
            </w: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82"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Style w:val="42"/>
                <w:lang w:val="en-US" w:eastAsia="zh-CN" w:bidi="ar"/>
              </w:rPr>
              <w:t>50KG</w:t>
            </w:r>
            <w:r>
              <w:rPr>
                <w:rStyle w:val="43"/>
                <w:lang w:val="en-US" w:eastAsia="zh-CN" w:bidi="ar"/>
              </w:rPr>
              <w:t>（</w:t>
            </w:r>
            <w:r>
              <w:rPr>
                <w:rStyle w:val="42"/>
                <w:lang w:val="en-US" w:eastAsia="zh-CN" w:bidi="ar"/>
              </w:rPr>
              <w:t>PSA32.5</w:t>
            </w:r>
            <w:r>
              <w:rPr>
                <w:rStyle w:val="43"/>
                <w:lang w:val="en-US" w:eastAsia="zh-CN" w:bidi="ar"/>
              </w:rPr>
              <w:t>）</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640</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500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110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98</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110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2" w:hRule="atLeast"/>
        </w:trPr>
        <w:tc>
          <w:tcPr>
            <w:tcW w:w="14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Style w:val="42"/>
                <w:lang w:val="en-US" w:eastAsia="zh-CN" w:bidi="ar"/>
              </w:rPr>
              <w:t>50KG</w:t>
            </w:r>
            <w:r>
              <w:rPr>
                <w:rStyle w:val="43"/>
                <w:lang w:val="en-US" w:eastAsia="zh-CN" w:bidi="ar"/>
              </w:rPr>
              <w:t>（</w:t>
            </w:r>
            <w:r>
              <w:rPr>
                <w:rStyle w:val="42"/>
                <w:lang w:val="en-US" w:eastAsia="zh-CN" w:bidi="ar"/>
              </w:rPr>
              <w:t>P.O42.5</w:t>
            </w:r>
            <w:r>
              <w:rPr>
                <w:rStyle w:val="43"/>
                <w:lang w:val="en-US" w:eastAsia="zh-CN" w:bidi="ar"/>
              </w:rPr>
              <w:t>）</w:t>
            </w: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640</w:t>
            </w: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500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110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98</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110</w:t>
            </w:r>
          </w:p>
        </w:tc>
        <w:tc>
          <w:tcPr>
            <w:tcW w:w="8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ahoma" w:hAnsi="Tahoma" w:eastAsia="Tahoma" w:cs="Tahoma"/>
                <w:i w:val="0"/>
                <w:color w:val="000000"/>
                <w:sz w:val="22"/>
                <w:szCs w:val="22"/>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ahoma" w:hAnsi="Tahoma" w:eastAsia="Tahoma" w:cs="Tahoma"/>
                <w:i w:val="0"/>
                <w:color w:val="000000"/>
                <w:sz w:val="22"/>
                <w:szCs w:val="22"/>
                <w:u w:val="none"/>
              </w:rPr>
            </w:pPr>
            <w:r>
              <w:rPr>
                <w:rFonts w:hint="default" w:ascii="Tahoma" w:hAnsi="Tahoma" w:eastAsia="Tahoma" w:cs="Tahoma"/>
                <w:i w:val="0"/>
                <w:color w:val="000000"/>
                <w:kern w:val="0"/>
                <w:sz w:val="22"/>
                <w:szCs w:val="22"/>
                <w:u w:val="none"/>
                <w:lang w:val="en-US" w:eastAsia="zh-CN" w:bidi="ar"/>
              </w:rPr>
              <w:t>2--3</w:t>
            </w:r>
          </w:p>
        </w:tc>
      </w:tr>
    </w:tbl>
    <w:p>
      <w:pPr>
        <w:rPr>
          <w:rFonts w:hint="eastAsia" w:eastAsia="宋体"/>
          <w:lang w:eastAsia="zh-CN"/>
        </w:rPr>
      </w:pPr>
    </w:p>
    <w:p>
      <w:pPr>
        <w:rPr>
          <w:rFonts w:hint="eastAsia" w:eastAsia="宋体"/>
          <w:lang w:eastAsia="zh-CN"/>
        </w:rPr>
      </w:pPr>
    </w:p>
    <w:p>
      <w:pPr>
        <w:rPr>
          <w:rFonts w:hint="eastAsia" w:eastAsia="宋体"/>
          <w:lang w:eastAsia="zh-CN"/>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ascii="宋体" w:hAnsi="宋体"/>
          <w:b/>
          <w:color w:val="000000" w:themeColor="text1"/>
          <w:kern w:val="0"/>
          <w:sz w:val="24"/>
          <w14:textFill>
            <w14:solidFill>
              <w14:schemeClr w14:val="tx1"/>
            </w14:solidFill>
          </w14:textFill>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1" name="图片 11" descr="普通硅酸盐水泥PO42.5-金隅正面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普通硅酸盐水泥PO42.5-金隅正面psd"/>
                    <pic:cNvPicPr>
                      <a:picLocks noChangeAspect="1"/>
                    </pic:cNvPicPr>
                  </pic:nvPicPr>
                  <pic:blipFill>
                    <a:blip r:embed="rId7"/>
                    <a:stretch>
                      <a:fillRect/>
                    </a:stretch>
                  </pic:blipFill>
                  <pic:spPr>
                    <a:xfrm>
                      <a:off x="0" y="0"/>
                      <a:ext cx="5534025" cy="5805805"/>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2" name="图片 12" descr="普通硅酸盐水泥PO42.5-金隅背面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普通硅酸盐水泥PO42.5-金隅背面psd"/>
                    <pic:cNvPicPr>
                      <a:picLocks noChangeAspect="1"/>
                    </pic:cNvPicPr>
                  </pic:nvPicPr>
                  <pic:blipFill>
                    <a:blip r:embed="rId8"/>
                    <a:stretch>
                      <a:fillRect/>
                    </a:stretch>
                  </pic:blipFill>
                  <pic:spPr>
                    <a:xfrm>
                      <a:off x="0" y="0"/>
                      <a:ext cx="5534025" cy="5805805"/>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3" name="图片 13" descr="矿渣硅酸盐水泥50PSA32.5-金隅正面(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矿渣硅酸盐水泥50PSA32.5-金隅正面(绿色)"/>
                    <pic:cNvPicPr>
                      <a:picLocks noChangeAspect="1"/>
                    </pic:cNvPicPr>
                  </pic:nvPicPr>
                  <pic:blipFill>
                    <a:blip r:embed="rId9"/>
                    <a:stretch>
                      <a:fillRect/>
                    </a:stretch>
                  </pic:blipFill>
                  <pic:spPr>
                    <a:xfrm>
                      <a:off x="0" y="0"/>
                      <a:ext cx="5534025" cy="5805805"/>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4" name="图片 14" descr="矿渣硅酸盐水泥50PSA32.5-金隅背面(绿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矿渣硅酸盐水泥50PSA32.5-金隅背面(绿色)"/>
                    <pic:cNvPicPr>
                      <a:picLocks noChangeAspect="1"/>
                    </pic:cNvPicPr>
                  </pic:nvPicPr>
                  <pic:blipFill>
                    <a:blip r:embed="rId10"/>
                    <a:stretch>
                      <a:fillRect/>
                    </a:stretch>
                  </pic:blipFill>
                  <pic:spPr>
                    <a:xfrm>
                      <a:off x="0" y="0"/>
                      <a:ext cx="5534025" cy="5805805"/>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5" name="图片 15" descr="复合硅酸盐水泥-金隅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复合硅酸盐水泥-金隅正面"/>
                    <pic:cNvPicPr>
                      <a:picLocks noChangeAspect="1"/>
                    </pic:cNvPicPr>
                  </pic:nvPicPr>
                  <pic:blipFill>
                    <a:blip r:embed="rId11"/>
                    <a:stretch>
                      <a:fillRect/>
                    </a:stretch>
                  </pic:blipFill>
                  <pic:spPr>
                    <a:xfrm>
                      <a:off x="0" y="0"/>
                      <a:ext cx="5534025" cy="5805805"/>
                    </a:xfrm>
                    <a:prstGeom prst="rect">
                      <a:avLst/>
                    </a:prstGeom>
                  </pic:spPr>
                </pic:pic>
              </a:graphicData>
            </a:graphic>
          </wp:inline>
        </w:drawing>
      </w:r>
    </w:p>
    <w:p>
      <w:pPr>
        <w:widowControl/>
        <w:jc w:val="left"/>
        <w:rPr>
          <w:rFonts w:hint="eastAsia" w:eastAsia="宋体"/>
          <w:lang w:eastAsia="zh-CN"/>
        </w:rPr>
      </w:pPr>
    </w:p>
    <w:p>
      <w:pPr>
        <w:widowControl/>
        <w:jc w:val="left"/>
        <w:rPr>
          <w:rFonts w:hint="eastAsia" w:eastAsia="宋体"/>
          <w:lang w:eastAsia="zh-CN"/>
        </w:rPr>
      </w:pPr>
      <w:r>
        <w:rPr>
          <w:rFonts w:hint="eastAsia" w:eastAsia="宋体"/>
          <w:lang w:eastAsia="zh-CN"/>
        </w:rPr>
        <w:drawing>
          <wp:inline distT="0" distB="0" distL="114300" distR="114300">
            <wp:extent cx="5534025" cy="5805805"/>
            <wp:effectExtent l="0" t="0" r="9525" b="4445"/>
            <wp:docPr id="16" name="图片 16" descr="复合硅酸盐水泥-金隅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复合硅酸盐水泥-金隅背面"/>
                    <pic:cNvPicPr>
                      <a:picLocks noChangeAspect="1"/>
                    </pic:cNvPicPr>
                  </pic:nvPicPr>
                  <pic:blipFill>
                    <a:blip r:embed="rId12"/>
                    <a:stretch>
                      <a:fillRect/>
                    </a:stretch>
                  </pic:blipFill>
                  <pic:spPr>
                    <a:xfrm>
                      <a:off x="0" y="0"/>
                      <a:ext cx="5534025" cy="5805805"/>
                    </a:xfrm>
                    <a:prstGeom prst="rect">
                      <a:avLst/>
                    </a:prstGeom>
                  </pic:spPr>
                </pic:pic>
              </a:graphicData>
            </a:graphic>
          </wp:inline>
        </w:drawing>
      </w:r>
    </w:p>
    <w:sectPr>
      <w:footerReference r:id="rId5" w:type="default"/>
      <w:pgSz w:w="11906" w:h="16838"/>
      <w:pgMar w:top="970" w:right="1469" w:bottom="975" w:left="1701" w:header="1134" w:footer="1134"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0698668"/>
      <w:docPartObj>
        <w:docPartGallery w:val="autotext"/>
      </w:docPartObj>
    </w:sdtPr>
    <w:sdtContent>
      <w:p>
        <w:pPr>
          <w:pStyle w:val="13"/>
          <w:jc w:val="center"/>
        </w:pPr>
        <w:r>
          <w:fldChar w:fldCharType="begin"/>
        </w:r>
        <w:r>
          <w:instrText xml:space="preserve">PAGE   \* MERGEFORMAT</w:instrText>
        </w:r>
        <w:r>
          <w:fldChar w:fldCharType="separate"/>
        </w:r>
        <w:r>
          <w:t>2</w:t>
        </w:r>
        <w:r>
          <w:fldChar w:fldCharType="end"/>
        </w:r>
      </w:p>
    </w:sdtContent>
  </w:sdt>
  <w:p>
    <w:pPr>
      <w:pStyle w:val="1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39CF05"/>
    <w:multiLevelType w:val="singleLevel"/>
    <w:tmpl w:val="EF39CF05"/>
    <w:lvl w:ilvl="0" w:tentative="0">
      <w:start w:val="1"/>
      <w:numFmt w:val="chineseCounting"/>
      <w:suff w:val="nothing"/>
      <w:lvlText w:val="（%1）"/>
      <w:lvlJc w:val="left"/>
      <w:rPr>
        <w:rFonts w:hint="eastAsia"/>
      </w:rPr>
    </w:lvl>
  </w:abstractNum>
  <w:abstractNum w:abstractNumId="1">
    <w:nsid w:val="0000000A"/>
    <w:multiLevelType w:val="multilevel"/>
    <w:tmpl w:val="0000000A"/>
    <w:lvl w:ilvl="0" w:tentative="0">
      <w:start w:val="1"/>
      <w:numFmt w:val="none"/>
      <w:pStyle w:val="2"/>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24A0C291"/>
    <w:multiLevelType w:val="singleLevel"/>
    <w:tmpl w:val="24A0C291"/>
    <w:lvl w:ilvl="0" w:tentative="0">
      <w:start w:val="1"/>
      <w:numFmt w:val="chineseCounting"/>
      <w:suff w:val="space"/>
      <w:lvlText w:val="第%1条"/>
      <w:lvlJc w:val="left"/>
      <w:rPr>
        <w:rFonts w:hint="eastAsia"/>
      </w:rPr>
    </w:lvl>
  </w:abstractNum>
  <w:abstractNum w:abstractNumId="3">
    <w:nsid w:val="2F59CBBF"/>
    <w:multiLevelType w:val="singleLevel"/>
    <w:tmpl w:val="2F59CBBF"/>
    <w:lvl w:ilvl="0" w:tentative="0">
      <w:start w:val="1"/>
      <w:numFmt w:val="decimal"/>
      <w:suff w:val="nothing"/>
      <w:lvlText w:val="%1、"/>
      <w:lvlJc w:val="left"/>
      <w:pPr>
        <w:ind w:left="480" w:leftChars="0" w:firstLine="0" w:firstLineChars="0"/>
      </w:pPr>
    </w:lvl>
  </w:abstractNum>
  <w:abstractNum w:abstractNumId="4">
    <w:nsid w:val="74BE6C49"/>
    <w:multiLevelType w:val="singleLevel"/>
    <w:tmpl w:val="74BE6C49"/>
    <w:lvl w:ilvl="0" w:tentative="0">
      <w:start w:val="2"/>
      <w:numFmt w:val="chineseCounting"/>
      <w:suff w:val="nothing"/>
      <w:lvlText w:val="（%1）"/>
      <w:lvlJc w:val="left"/>
      <w:rPr>
        <w:rFonts w:hint="eastAsia"/>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873"/>
    <w:rsid w:val="00002E20"/>
    <w:rsid w:val="00017CF4"/>
    <w:rsid w:val="0002421B"/>
    <w:rsid w:val="000254C6"/>
    <w:rsid w:val="00031885"/>
    <w:rsid w:val="000347A6"/>
    <w:rsid w:val="00057234"/>
    <w:rsid w:val="000732E9"/>
    <w:rsid w:val="000A3284"/>
    <w:rsid w:val="000D5F13"/>
    <w:rsid w:val="000D7D5C"/>
    <w:rsid w:val="000E6C5A"/>
    <w:rsid w:val="00102BE7"/>
    <w:rsid w:val="00107CB5"/>
    <w:rsid w:val="001323A5"/>
    <w:rsid w:val="0013301A"/>
    <w:rsid w:val="00156B12"/>
    <w:rsid w:val="00156C2F"/>
    <w:rsid w:val="00175755"/>
    <w:rsid w:val="00191249"/>
    <w:rsid w:val="001D447B"/>
    <w:rsid w:val="001E2B47"/>
    <w:rsid w:val="001E4EC1"/>
    <w:rsid w:val="001F645A"/>
    <w:rsid w:val="00206D71"/>
    <w:rsid w:val="002154B4"/>
    <w:rsid w:val="00246E92"/>
    <w:rsid w:val="002826DA"/>
    <w:rsid w:val="002929A3"/>
    <w:rsid w:val="002D311C"/>
    <w:rsid w:val="002D6066"/>
    <w:rsid w:val="002E0839"/>
    <w:rsid w:val="002F2EEE"/>
    <w:rsid w:val="002F5522"/>
    <w:rsid w:val="002F76E3"/>
    <w:rsid w:val="00313BD3"/>
    <w:rsid w:val="00322FF4"/>
    <w:rsid w:val="00332B1E"/>
    <w:rsid w:val="003346BF"/>
    <w:rsid w:val="00344FBC"/>
    <w:rsid w:val="00365F2E"/>
    <w:rsid w:val="00367829"/>
    <w:rsid w:val="00372B62"/>
    <w:rsid w:val="003921EB"/>
    <w:rsid w:val="0039441D"/>
    <w:rsid w:val="003C5B53"/>
    <w:rsid w:val="00440424"/>
    <w:rsid w:val="0046006F"/>
    <w:rsid w:val="00460B8D"/>
    <w:rsid w:val="00470767"/>
    <w:rsid w:val="00472959"/>
    <w:rsid w:val="00482830"/>
    <w:rsid w:val="004938EA"/>
    <w:rsid w:val="00493FA2"/>
    <w:rsid w:val="004A7F8E"/>
    <w:rsid w:val="004D0AF0"/>
    <w:rsid w:val="004E7C1F"/>
    <w:rsid w:val="005434F9"/>
    <w:rsid w:val="0054363B"/>
    <w:rsid w:val="00545741"/>
    <w:rsid w:val="005618C1"/>
    <w:rsid w:val="005A5416"/>
    <w:rsid w:val="005B1E75"/>
    <w:rsid w:val="005C22D1"/>
    <w:rsid w:val="005F5BBE"/>
    <w:rsid w:val="00622D50"/>
    <w:rsid w:val="00631212"/>
    <w:rsid w:val="00661ACC"/>
    <w:rsid w:val="00676516"/>
    <w:rsid w:val="00690471"/>
    <w:rsid w:val="0069156B"/>
    <w:rsid w:val="006A6E78"/>
    <w:rsid w:val="006B66E8"/>
    <w:rsid w:val="006D3C4E"/>
    <w:rsid w:val="006F6BCC"/>
    <w:rsid w:val="00726ABC"/>
    <w:rsid w:val="00742873"/>
    <w:rsid w:val="00744EB1"/>
    <w:rsid w:val="007468B6"/>
    <w:rsid w:val="00746CE3"/>
    <w:rsid w:val="00751013"/>
    <w:rsid w:val="00797395"/>
    <w:rsid w:val="007D1D3F"/>
    <w:rsid w:val="0080012F"/>
    <w:rsid w:val="00814047"/>
    <w:rsid w:val="008215FE"/>
    <w:rsid w:val="008234FA"/>
    <w:rsid w:val="0082741F"/>
    <w:rsid w:val="008330D7"/>
    <w:rsid w:val="00884FA7"/>
    <w:rsid w:val="008914F6"/>
    <w:rsid w:val="0089458D"/>
    <w:rsid w:val="008B0C7B"/>
    <w:rsid w:val="008D54F6"/>
    <w:rsid w:val="008D7FEB"/>
    <w:rsid w:val="008E579A"/>
    <w:rsid w:val="0092217A"/>
    <w:rsid w:val="00922D6A"/>
    <w:rsid w:val="0093172A"/>
    <w:rsid w:val="009748B9"/>
    <w:rsid w:val="0098373F"/>
    <w:rsid w:val="00984865"/>
    <w:rsid w:val="009E2974"/>
    <w:rsid w:val="009E656D"/>
    <w:rsid w:val="009F2557"/>
    <w:rsid w:val="00A00826"/>
    <w:rsid w:val="00A008E5"/>
    <w:rsid w:val="00A11A13"/>
    <w:rsid w:val="00A31F9D"/>
    <w:rsid w:val="00A36B0B"/>
    <w:rsid w:val="00A36E8B"/>
    <w:rsid w:val="00A47E0C"/>
    <w:rsid w:val="00A619E3"/>
    <w:rsid w:val="00A62E3E"/>
    <w:rsid w:val="00A67E25"/>
    <w:rsid w:val="00A70275"/>
    <w:rsid w:val="00A9226C"/>
    <w:rsid w:val="00A92CDF"/>
    <w:rsid w:val="00A9664B"/>
    <w:rsid w:val="00AB6C2C"/>
    <w:rsid w:val="00AE4D3D"/>
    <w:rsid w:val="00AF7A2A"/>
    <w:rsid w:val="00B15A66"/>
    <w:rsid w:val="00B50D75"/>
    <w:rsid w:val="00B51B52"/>
    <w:rsid w:val="00B5398D"/>
    <w:rsid w:val="00B7443D"/>
    <w:rsid w:val="00B863E5"/>
    <w:rsid w:val="00B86E79"/>
    <w:rsid w:val="00B96160"/>
    <w:rsid w:val="00BB0769"/>
    <w:rsid w:val="00BD7A66"/>
    <w:rsid w:val="00BD7CCF"/>
    <w:rsid w:val="00BE1606"/>
    <w:rsid w:val="00C4051C"/>
    <w:rsid w:val="00C7434F"/>
    <w:rsid w:val="00CD0AE6"/>
    <w:rsid w:val="00CE6F0E"/>
    <w:rsid w:val="00CF7A86"/>
    <w:rsid w:val="00D31CAA"/>
    <w:rsid w:val="00D34557"/>
    <w:rsid w:val="00DC085C"/>
    <w:rsid w:val="00DD19DB"/>
    <w:rsid w:val="00DD20A7"/>
    <w:rsid w:val="00DE4C8E"/>
    <w:rsid w:val="00E21093"/>
    <w:rsid w:val="00E24846"/>
    <w:rsid w:val="00E70F4D"/>
    <w:rsid w:val="00ED0990"/>
    <w:rsid w:val="00EF5D97"/>
    <w:rsid w:val="00EF6E28"/>
    <w:rsid w:val="00F32768"/>
    <w:rsid w:val="00F50E48"/>
    <w:rsid w:val="00F75C2A"/>
    <w:rsid w:val="00F943A7"/>
    <w:rsid w:val="00F96B8D"/>
    <w:rsid w:val="00F97689"/>
    <w:rsid w:val="00FA6A48"/>
    <w:rsid w:val="00FB0601"/>
    <w:rsid w:val="00FC1C06"/>
    <w:rsid w:val="00FC47AF"/>
    <w:rsid w:val="00FD4E1B"/>
    <w:rsid w:val="00FD542F"/>
    <w:rsid w:val="00FD6B9E"/>
    <w:rsid w:val="00FE1432"/>
    <w:rsid w:val="00FE3614"/>
    <w:rsid w:val="00FE3BC1"/>
    <w:rsid w:val="00FF2CBC"/>
    <w:rsid w:val="02402334"/>
    <w:rsid w:val="0F2A6B19"/>
    <w:rsid w:val="174B7803"/>
    <w:rsid w:val="1AE42BD1"/>
    <w:rsid w:val="274648DD"/>
    <w:rsid w:val="2C8E5517"/>
    <w:rsid w:val="2E7437D1"/>
    <w:rsid w:val="3A8A70BC"/>
    <w:rsid w:val="4F3528EB"/>
    <w:rsid w:val="51AA54B6"/>
    <w:rsid w:val="53CC3702"/>
    <w:rsid w:val="54FB4E9E"/>
    <w:rsid w:val="5E5A1048"/>
    <w:rsid w:val="5ECA2F6C"/>
    <w:rsid w:val="69F516D9"/>
    <w:rsid w:val="6FF27C37"/>
    <w:rsid w:val="70A153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qFormat="1" w:uiPriority="39" w:semiHidden="0"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8"/>
    <w:qFormat/>
    <w:uiPriority w:val="0"/>
    <w:pPr>
      <w:keepNext/>
      <w:widowControl/>
      <w:numPr>
        <w:ilvl w:val="0"/>
        <w:numId w:val="1"/>
      </w:numPr>
      <w:ind w:left="0" w:firstLine="0"/>
      <w:jc w:val="left"/>
      <w:outlineLvl w:val="0"/>
    </w:pPr>
    <w:rPr>
      <w:rFonts w:ascii="黑体" w:hAnsi="Times New Roman"/>
      <w:b/>
      <w:kern w:val="0"/>
      <w:sz w:val="28"/>
      <w:szCs w:val="20"/>
    </w:rPr>
  </w:style>
  <w:style w:type="paragraph" w:styleId="3">
    <w:name w:val="heading 3"/>
    <w:basedOn w:val="1"/>
    <w:next w:val="1"/>
    <w:link w:val="25"/>
    <w:qFormat/>
    <w:uiPriority w:val="0"/>
    <w:pPr>
      <w:keepNext/>
      <w:jc w:val="center"/>
      <w:outlineLvl w:val="2"/>
    </w:pPr>
    <w:rPr>
      <w:rFonts w:ascii="宋体" w:hAnsi="宋体"/>
      <w:b/>
      <w:sz w:val="24"/>
      <w:szCs w:val="20"/>
      <w:lang w:val="zh-CN"/>
    </w:rPr>
  </w:style>
  <w:style w:type="paragraph" w:styleId="4">
    <w:name w:val="heading 6"/>
    <w:basedOn w:val="1"/>
    <w:next w:val="1"/>
    <w:link w:val="31"/>
    <w:qFormat/>
    <w:uiPriority w:val="0"/>
    <w:pPr>
      <w:keepNext/>
      <w:keepLines/>
      <w:widowControl/>
      <w:tabs>
        <w:tab w:val="left" w:pos="1440"/>
      </w:tabs>
      <w:spacing w:before="240" w:after="64" w:line="319" w:lineRule="auto"/>
      <w:ind w:left="1152" w:hanging="1152"/>
      <w:jc w:val="left"/>
      <w:outlineLvl w:val="5"/>
    </w:pPr>
    <w:rPr>
      <w:rFonts w:ascii="Arial" w:hAnsi="Arial" w:eastAsia="黑体"/>
      <w:b/>
      <w:bCs/>
      <w:kern w:val="0"/>
      <w:sz w:val="24"/>
    </w:rPr>
  </w:style>
  <w:style w:type="paragraph" w:styleId="5">
    <w:name w:val="heading 7"/>
    <w:basedOn w:val="1"/>
    <w:next w:val="1"/>
    <w:link w:val="32"/>
    <w:qFormat/>
    <w:uiPriority w:val="0"/>
    <w:pPr>
      <w:keepNext/>
      <w:keepLines/>
      <w:widowControl/>
      <w:tabs>
        <w:tab w:val="left" w:pos="2520"/>
      </w:tabs>
      <w:spacing w:before="240" w:after="64" w:line="319" w:lineRule="auto"/>
      <w:ind w:left="1296" w:hanging="1296"/>
      <w:jc w:val="left"/>
      <w:outlineLvl w:val="6"/>
    </w:pPr>
    <w:rPr>
      <w:rFonts w:ascii="Times New Roman" w:hAnsi="Times New Roman"/>
      <w:b/>
      <w:bCs/>
      <w:kern w:val="0"/>
      <w:sz w:val="24"/>
    </w:rPr>
  </w:style>
  <w:style w:type="paragraph" w:styleId="6">
    <w:name w:val="heading 8"/>
    <w:basedOn w:val="1"/>
    <w:next w:val="1"/>
    <w:link w:val="33"/>
    <w:qFormat/>
    <w:uiPriority w:val="0"/>
    <w:pPr>
      <w:keepNext/>
      <w:keepLines/>
      <w:widowControl/>
      <w:tabs>
        <w:tab w:val="left" w:pos="1440"/>
      </w:tabs>
      <w:spacing w:before="240" w:after="64" w:line="319" w:lineRule="auto"/>
      <w:ind w:left="1440" w:hanging="1440"/>
      <w:jc w:val="left"/>
      <w:outlineLvl w:val="7"/>
    </w:pPr>
    <w:rPr>
      <w:rFonts w:ascii="Arial" w:hAnsi="Arial" w:eastAsia="黑体"/>
      <w:kern w:val="0"/>
      <w:sz w:val="24"/>
    </w:rPr>
  </w:style>
  <w:style w:type="paragraph" w:styleId="7">
    <w:name w:val="heading 9"/>
    <w:basedOn w:val="1"/>
    <w:next w:val="1"/>
    <w:link w:val="34"/>
    <w:qFormat/>
    <w:uiPriority w:val="0"/>
    <w:pPr>
      <w:keepNext/>
      <w:keepLines/>
      <w:widowControl/>
      <w:tabs>
        <w:tab w:val="left" w:pos="1584"/>
      </w:tabs>
      <w:spacing w:before="240" w:after="64" w:line="319" w:lineRule="auto"/>
      <w:ind w:left="1584" w:hanging="1584"/>
      <w:jc w:val="left"/>
      <w:outlineLvl w:val="8"/>
    </w:pPr>
    <w:rPr>
      <w:rFonts w:ascii="Arial" w:hAnsi="Arial" w:eastAsia="黑体"/>
      <w:kern w:val="0"/>
      <w:szCs w:val="21"/>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tabs>
        <w:tab w:val="right" w:leader="dot" w:pos="8729"/>
      </w:tabs>
      <w:ind w:left="2520" w:leftChars="1200"/>
      <w:jc w:val="left"/>
    </w:pPr>
  </w:style>
  <w:style w:type="paragraph" w:styleId="9">
    <w:name w:val="Body Text Indent"/>
    <w:basedOn w:val="1"/>
    <w:qFormat/>
    <w:uiPriority w:val="0"/>
    <w:pPr>
      <w:ind w:firstLine="560"/>
    </w:pPr>
    <w:rPr>
      <w:rFonts w:ascii="Times New Roman" w:hAnsi="Times New Roman" w:eastAsia="仿宋_GB2312"/>
      <w:sz w:val="28"/>
      <w:szCs w:val="20"/>
    </w:rPr>
  </w:style>
  <w:style w:type="paragraph" w:styleId="10">
    <w:name w:val="toc 3"/>
    <w:basedOn w:val="1"/>
    <w:next w:val="1"/>
    <w:unhideWhenUsed/>
    <w:qFormat/>
    <w:uiPriority w:val="39"/>
    <w:pPr>
      <w:ind w:left="840" w:leftChars="400"/>
    </w:pPr>
  </w:style>
  <w:style w:type="paragraph" w:styleId="11">
    <w:name w:val="Plain Text"/>
    <w:basedOn w:val="1"/>
    <w:link w:val="36"/>
    <w:qFormat/>
    <w:uiPriority w:val="0"/>
    <w:rPr>
      <w:rFonts w:ascii="宋体" w:hAnsi="Times New Roman"/>
      <w:szCs w:val="20"/>
      <w:lang w:val="zh-CN"/>
    </w:rPr>
  </w:style>
  <w:style w:type="paragraph" w:styleId="12">
    <w:name w:val="Balloon Text"/>
    <w:basedOn w:val="1"/>
    <w:link w:val="38"/>
    <w:semiHidden/>
    <w:unhideWhenUsed/>
    <w:qFormat/>
    <w:uiPriority w:val="99"/>
    <w:rPr>
      <w:sz w:val="18"/>
      <w:szCs w:val="18"/>
    </w:rPr>
  </w:style>
  <w:style w:type="paragraph" w:styleId="13">
    <w:name w:val="footer"/>
    <w:basedOn w:val="1"/>
    <w:link w:val="26"/>
    <w:qFormat/>
    <w:uiPriority w:val="99"/>
    <w:pPr>
      <w:tabs>
        <w:tab w:val="center" w:pos="4153"/>
        <w:tab w:val="right" w:pos="8306"/>
      </w:tabs>
      <w:snapToGrid w:val="0"/>
      <w:jc w:val="left"/>
    </w:pPr>
    <w:rPr>
      <w:sz w:val="18"/>
      <w:szCs w:val="18"/>
      <w:lang w:val="zh-CN"/>
    </w:rPr>
  </w:style>
  <w:style w:type="paragraph" w:styleId="14">
    <w:name w:val="header"/>
    <w:basedOn w:val="1"/>
    <w:link w:val="27"/>
    <w:qFormat/>
    <w:uiPriority w:val="0"/>
    <w:pPr>
      <w:pBdr>
        <w:bottom w:val="single" w:color="auto" w:sz="6" w:space="1"/>
      </w:pBdr>
      <w:tabs>
        <w:tab w:val="center" w:pos="4153"/>
        <w:tab w:val="right" w:pos="8306"/>
      </w:tabs>
      <w:snapToGrid w:val="0"/>
      <w:jc w:val="center"/>
    </w:pPr>
    <w:rPr>
      <w:sz w:val="18"/>
      <w:szCs w:val="18"/>
      <w:lang w:val="zh-CN"/>
    </w:rPr>
  </w:style>
  <w:style w:type="paragraph" w:styleId="15">
    <w:name w:val="toc 1"/>
    <w:basedOn w:val="1"/>
    <w:next w:val="1"/>
    <w:unhideWhenUsed/>
    <w:qFormat/>
    <w:uiPriority w:val="39"/>
    <w:pPr>
      <w:widowControl/>
      <w:tabs>
        <w:tab w:val="right" w:leader="dot" w:pos="8729"/>
      </w:tabs>
      <w:spacing w:after="100" w:line="360" w:lineRule="auto"/>
      <w:jc w:val="left"/>
    </w:pPr>
    <w:rPr>
      <w:rFonts w:asciiTheme="minorHAnsi" w:hAnsiTheme="minorHAnsi"/>
      <w:kern w:val="0"/>
      <w:sz w:val="24"/>
      <w:szCs w:val="22"/>
    </w:rPr>
  </w:style>
  <w:style w:type="paragraph" w:styleId="16">
    <w:name w:val="toc 2"/>
    <w:basedOn w:val="1"/>
    <w:next w:val="1"/>
    <w:unhideWhenUsed/>
    <w:qFormat/>
    <w:uiPriority w:val="39"/>
    <w:pPr>
      <w:ind w:left="420" w:leftChars="200"/>
    </w:pPr>
  </w:style>
  <w:style w:type="character" w:styleId="19">
    <w:name w:val="page number"/>
    <w:basedOn w:val="18"/>
    <w:qFormat/>
    <w:uiPriority w:val="0"/>
  </w:style>
  <w:style w:type="character" w:styleId="20">
    <w:name w:val="FollowedHyperlink"/>
    <w:basedOn w:val="18"/>
    <w:semiHidden/>
    <w:unhideWhenUsed/>
    <w:qFormat/>
    <w:uiPriority w:val="99"/>
    <w:rPr>
      <w:color w:val="954F72" w:themeColor="followedHyperlink"/>
      <w:u w:val="single"/>
      <w14:textFill>
        <w14:solidFill>
          <w14:schemeClr w14:val="folHlink"/>
        </w14:solidFill>
      </w14:textFill>
    </w:rPr>
  </w:style>
  <w:style w:type="character" w:styleId="21">
    <w:name w:val="Hyperlink"/>
    <w:qFormat/>
    <w:uiPriority w:val="99"/>
    <w:rPr>
      <w:color w:val="0000FF"/>
      <w:u w:val="single"/>
    </w:rPr>
  </w:style>
  <w:style w:type="character" w:customStyle="1" w:styleId="22">
    <w:name w:val="标题 3 字符"/>
    <w:basedOn w:val="18"/>
    <w:semiHidden/>
    <w:qFormat/>
    <w:uiPriority w:val="9"/>
    <w:rPr>
      <w:rFonts w:ascii="Calibri" w:hAnsi="Calibri" w:eastAsia="宋体" w:cs="Times New Roman"/>
      <w:b/>
      <w:bCs/>
      <w:sz w:val="32"/>
      <w:szCs w:val="32"/>
    </w:rPr>
  </w:style>
  <w:style w:type="character" w:customStyle="1" w:styleId="23">
    <w:name w:val="页眉 字符"/>
    <w:basedOn w:val="18"/>
    <w:semiHidden/>
    <w:qFormat/>
    <w:uiPriority w:val="99"/>
    <w:rPr>
      <w:rFonts w:ascii="Calibri" w:hAnsi="Calibri" w:eastAsia="宋体" w:cs="Times New Roman"/>
      <w:sz w:val="18"/>
      <w:szCs w:val="18"/>
    </w:rPr>
  </w:style>
  <w:style w:type="character" w:customStyle="1" w:styleId="24">
    <w:name w:val="页脚 字符"/>
    <w:basedOn w:val="18"/>
    <w:qFormat/>
    <w:uiPriority w:val="99"/>
    <w:rPr>
      <w:rFonts w:ascii="Calibri" w:hAnsi="Calibri" w:eastAsia="宋体" w:cs="Times New Roman"/>
      <w:sz w:val="18"/>
      <w:szCs w:val="18"/>
    </w:rPr>
  </w:style>
  <w:style w:type="character" w:customStyle="1" w:styleId="25">
    <w:name w:val="标题 3 字符1"/>
    <w:link w:val="3"/>
    <w:qFormat/>
    <w:uiPriority w:val="0"/>
    <w:rPr>
      <w:rFonts w:ascii="宋体" w:hAnsi="宋体" w:eastAsia="宋体" w:cs="Times New Roman"/>
      <w:b/>
      <w:sz w:val="24"/>
      <w:szCs w:val="20"/>
      <w:lang w:val="zh-CN" w:eastAsia="zh-CN"/>
    </w:rPr>
  </w:style>
  <w:style w:type="character" w:customStyle="1" w:styleId="26">
    <w:name w:val="页脚 字符1"/>
    <w:link w:val="13"/>
    <w:qFormat/>
    <w:uiPriority w:val="0"/>
    <w:rPr>
      <w:rFonts w:ascii="Calibri" w:hAnsi="Calibri" w:eastAsia="宋体" w:cs="Times New Roman"/>
      <w:sz w:val="18"/>
      <w:szCs w:val="18"/>
      <w:lang w:val="zh-CN" w:eastAsia="zh-CN"/>
    </w:rPr>
  </w:style>
  <w:style w:type="character" w:customStyle="1" w:styleId="27">
    <w:name w:val="页眉 字符1"/>
    <w:link w:val="14"/>
    <w:qFormat/>
    <w:uiPriority w:val="0"/>
    <w:rPr>
      <w:rFonts w:ascii="Calibri" w:hAnsi="Calibri" w:eastAsia="宋体" w:cs="Times New Roman"/>
      <w:sz w:val="18"/>
      <w:szCs w:val="18"/>
      <w:lang w:val="zh-CN" w:eastAsia="zh-CN"/>
    </w:rPr>
  </w:style>
  <w:style w:type="character" w:customStyle="1" w:styleId="28">
    <w:name w:val="标题 1 字符"/>
    <w:basedOn w:val="18"/>
    <w:link w:val="2"/>
    <w:qFormat/>
    <w:uiPriority w:val="0"/>
    <w:rPr>
      <w:rFonts w:ascii="黑体" w:hAnsi="Times New Roman" w:eastAsia="宋体" w:cs="Times New Roman"/>
      <w:b/>
      <w:kern w:val="0"/>
      <w:sz w:val="28"/>
      <w:szCs w:val="20"/>
    </w:rPr>
  </w:style>
  <w:style w:type="paragraph" w:customStyle="1" w:styleId="29">
    <w:name w:val="_Style 20"/>
    <w:basedOn w:val="1"/>
    <w:next w:val="1"/>
    <w:qFormat/>
    <w:uiPriority w:val="39"/>
    <w:pPr>
      <w:widowControl/>
      <w:spacing w:before="120" w:after="120"/>
      <w:jc w:val="left"/>
    </w:pPr>
    <w:rPr>
      <w:rFonts w:ascii="Times New Roman" w:hAnsi="Times New Roman"/>
      <w:bCs/>
      <w:caps/>
      <w:kern w:val="0"/>
      <w:sz w:val="28"/>
    </w:rPr>
  </w:style>
  <w:style w:type="paragraph" w:customStyle="1" w:styleId="30">
    <w:name w:val="正文 A"/>
    <w:qFormat/>
    <w:uiPriority w:val="0"/>
    <w:pPr>
      <w:widowControl w:val="0"/>
      <w:spacing w:line="360" w:lineRule="auto"/>
      <w:ind w:firstLine="1440"/>
      <w:jc w:val="both"/>
    </w:pPr>
    <w:rPr>
      <w:rFonts w:ascii="Times New Roman" w:hAnsi="Times New Roman" w:eastAsia="Arial Unicode MS" w:cs="Arial Unicode MS"/>
      <w:color w:val="000000"/>
      <w:kern w:val="2"/>
      <w:sz w:val="24"/>
      <w:szCs w:val="24"/>
      <w:u w:color="000000"/>
      <w:lang w:val="en-US" w:eastAsia="zh-CN" w:bidi="ar-SA"/>
    </w:rPr>
  </w:style>
  <w:style w:type="character" w:customStyle="1" w:styleId="31">
    <w:name w:val="标题 6 字符"/>
    <w:basedOn w:val="18"/>
    <w:link w:val="4"/>
    <w:qFormat/>
    <w:uiPriority w:val="0"/>
    <w:rPr>
      <w:rFonts w:ascii="Arial" w:hAnsi="Arial" w:eastAsia="黑体" w:cs="Times New Roman"/>
      <w:b/>
      <w:bCs/>
      <w:kern w:val="0"/>
      <w:sz w:val="24"/>
      <w:szCs w:val="24"/>
    </w:rPr>
  </w:style>
  <w:style w:type="character" w:customStyle="1" w:styleId="32">
    <w:name w:val="标题 7 字符"/>
    <w:basedOn w:val="18"/>
    <w:link w:val="5"/>
    <w:qFormat/>
    <w:uiPriority w:val="0"/>
    <w:rPr>
      <w:rFonts w:ascii="Times New Roman" w:hAnsi="Times New Roman" w:eastAsia="宋体" w:cs="Times New Roman"/>
      <w:b/>
      <w:bCs/>
      <w:kern w:val="0"/>
      <w:sz w:val="24"/>
      <w:szCs w:val="24"/>
    </w:rPr>
  </w:style>
  <w:style w:type="character" w:customStyle="1" w:styleId="33">
    <w:name w:val="标题 8 字符"/>
    <w:basedOn w:val="18"/>
    <w:link w:val="6"/>
    <w:qFormat/>
    <w:uiPriority w:val="0"/>
    <w:rPr>
      <w:rFonts w:ascii="Arial" w:hAnsi="Arial" w:eastAsia="黑体" w:cs="Times New Roman"/>
      <w:kern w:val="0"/>
      <w:sz w:val="24"/>
      <w:szCs w:val="24"/>
    </w:rPr>
  </w:style>
  <w:style w:type="character" w:customStyle="1" w:styleId="34">
    <w:name w:val="标题 9 字符"/>
    <w:basedOn w:val="18"/>
    <w:link w:val="7"/>
    <w:qFormat/>
    <w:uiPriority w:val="0"/>
    <w:rPr>
      <w:rFonts w:ascii="Arial" w:hAnsi="Arial" w:eastAsia="黑体" w:cs="Times New Roman"/>
      <w:kern w:val="0"/>
      <w:szCs w:val="21"/>
    </w:rPr>
  </w:style>
  <w:style w:type="character" w:customStyle="1" w:styleId="35">
    <w:name w:val="纯文本 字符"/>
    <w:basedOn w:val="18"/>
    <w:semiHidden/>
    <w:qFormat/>
    <w:uiPriority w:val="99"/>
    <w:rPr>
      <w:rFonts w:hAnsi="Courier New" w:cs="Courier New" w:asciiTheme="minorEastAsia"/>
      <w:szCs w:val="24"/>
    </w:rPr>
  </w:style>
  <w:style w:type="character" w:customStyle="1" w:styleId="36">
    <w:name w:val="纯文本 字符1"/>
    <w:link w:val="11"/>
    <w:qFormat/>
    <w:locked/>
    <w:uiPriority w:val="0"/>
    <w:rPr>
      <w:rFonts w:ascii="宋体" w:hAnsi="Times New Roman" w:eastAsia="宋体" w:cs="Times New Roman"/>
      <w:szCs w:val="20"/>
      <w:lang w:val="zh-CN" w:eastAsia="zh-CN"/>
    </w:rPr>
  </w:style>
  <w:style w:type="paragraph" w:customStyle="1" w:styleId="37">
    <w:name w:val="TOC 标题1"/>
    <w:basedOn w:val="2"/>
    <w:next w:val="1"/>
    <w:unhideWhenUsed/>
    <w:qFormat/>
    <w:uiPriority w:val="39"/>
    <w:pPr>
      <w:keepLines/>
      <w:numPr>
        <w:numId w:val="0"/>
      </w:numPr>
      <w:spacing w:before="480" w:line="276" w:lineRule="auto"/>
      <w:outlineLvl w:val="9"/>
    </w:pPr>
    <w:rPr>
      <w:rFonts w:ascii="Cambria" w:hAnsi="Cambria"/>
      <w:b w:val="0"/>
      <w:bCs/>
      <w:color w:val="365F91"/>
      <w:szCs w:val="28"/>
    </w:rPr>
  </w:style>
  <w:style w:type="character" w:customStyle="1" w:styleId="38">
    <w:name w:val="批注框文本 字符"/>
    <w:basedOn w:val="18"/>
    <w:link w:val="12"/>
    <w:semiHidden/>
    <w:qFormat/>
    <w:uiPriority w:val="99"/>
    <w:rPr>
      <w:rFonts w:ascii="Calibri" w:hAnsi="Calibri" w:eastAsia="宋体" w:cs="Times New Roman"/>
      <w:sz w:val="18"/>
      <w:szCs w:val="18"/>
    </w:rPr>
  </w:style>
  <w:style w:type="paragraph" w:styleId="39">
    <w:name w:val="List Paragraph"/>
    <w:basedOn w:val="1"/>
    <w:qFormat/>
    <w:uiPriority w:val="34"/>
    <w:pPr>
      <w:ind w:firstLine="420" w:firstLineChars="200"/>
    </w:pPr>
  </w:style>
  <w:style w:type="paragraph" w:customStyle="1" w:styleId="40">
    <w:name w:val="TOC Heading"/>
    <w:basedOn w:val="2"/>
    <w:next w:val="1"/>
    <w:unhideWhenUsed/>
    <w:qFormat/>
    <w:uiPriority w:val="39"/>
    <w:pPr>
      <w:keepLines/>
      <w:widowControl w:val="0"/>
      <w:numPr>
        <w:numId w:val="0"/>
      </w:numPr>
      <w:tabs>
        <w:tab w:val="clear" w:pos="432"/>
      </w:tabs>
      <w:spacing w:before="340" w:after="330" w:line="578" w:lineRule="auto"/>
      <w:jc w:val="both"/>
      <w:outlineLvl w:val="9"/>
    </w:pPr>
    <w:rPr>
      <w:rFonts w:ascii="Calibri" w:hAnsi="Calibri"/>
      <w:bCs/>
      <w:kern w:val="44"/>
      <w:sz w:val="44"/>
      <w:szCs w:val="44"/>
    </w:rPr>
  </w:style>
  <w:style w:type="character" w:customStyle="1" w:styleId="41">
    <w:name w:val="纯文本 Char"/>
    <w:qFormat/>
    <w:locked/>
    <w:uiPriority w:val="0"/>
    <w:rPr>
      <w:rFonts w:ascii="宋体" w:eastAsia="宋体"/>
      <w:kern w:val="2"/>
      <w:sz w:val="21"/>
    </w:rPr>
  </w:style>
  <w:style w:type="character" w:customStyle="1" w:styleId="42">
    <w:name w:val="font21"/>
    <w:basedOn w:val="18"/>
    <w:qFormat/>
    <w:uiPriority w:val="0"/>
    <w:rPr>
      <w:rFonts w:hint="default" w:ascii="Tahoma" w:hAnsi="Tahoma" w:eastAsia="Tahoma" w:cs="Tahoma"/>
      <w:color w:val="000000"/>
      <w:sz w:val="22"/>
      <w:szCs w:val="22"/>
      <w:u w:val="none"/>
    </w:rPr>
  </w:style>
  <w:style w:type="character" w:customStyle="1" w:styleId="43">
    <w:name w:val="font01"/>
    <w:basedOn w:val="1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DA3759-A6B7-4B7E-90D5-82D87D18A2D7}">
  <ds:schemaRefs/>
</ds:datastoreItem>
</file>

<file path=docProps/app.xml><?xml version="1.0" encoding="utf-8"?>
<Properties xmlns="http://schemas.openxmlformats.org/officeDocument/2006/extended-properties" xmlns:vt="http://schemas.openxmlformats.org/officeDocument/2006/docPropsVTypes">
  <Template>Normal.dotm</Template>
  <Pages>4</Pages>
  <Words>192</Words>
  <Characters>1097</Characters>
  <Lines>9</Lines>
  <Paragraphs>2</Paragraphs>
  <TotalTime>7</TotalTime>
  <ScaleCrop>false</ScaleCrop>
  <LinksUpToDate>false</LinksUpToDate>
  <CharactersWithSpaces>1287</CharactersWithSpaces>
  <Application>WPS Office_11.8.6.9023_F1E327BC-269C-435d-A152-05C5408002CA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2021-06-21T02:21:00Z</dcterms:created>
  <dc:creator>zx0604</dc:creator>
  <cp:lastModifiedBy>史舜</cp:lastModifiedBy>
  <cp:lastPrinted>2020-10-26T01:50:00Z</cp:lastPrinted>
  <dcterms:modified xsi:type="dcterms:W3CDTF">2021-09-08T10:07:41Z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y fmtid="{D5CDD505-2E9C-101B-9397-08002B2CF9AE}" pid="3" name="ICV">
    <vt:lpwstr>1C368DEAF4944804AE6FD699DA62017E</vt:lpwstr>
  </property>
</Properties>
</file>