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宋体" w:hAnsi="宋体"/>
          <w:b/>
          <w:sz w:val="24"/>
        </w:rPr>
      </w:pPr>
      <w:r>
        <w:rPr>
          <w:b/>
        </w:rPr>
        <w:drawing>
          <wp:inline distT="0" distB="0" distL="0" distR="0">
            <wp:extent cx="871220" cy="327660"/>
            <wp:effectExtent l="0" t="0" r="5080" b="0"/>
            <wp:docPr id="2" name="图片 2" descr="说明: 说明: 说明: 说明: 说明: 说明: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说明: 说明: 说明: 说明: 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71220" cy="327804"/>
                    </a:xfrm>
                    <a:prstGeom prst="rect">
                      <a:avLst/>
                    </a:prstGeom>
                    <a:noFill/>
                    <a:ln>
                      <a:noFill/>
                    </a:ln>
                  </pic:spPr>
                </pic:pic>
              </a:graphicData>
            </a:graphic>
          </wp:inline>
        </w:drawing>
      </w:r>
    </w:p>
    <w:p>
      <w:pPr>
        <w:spacing w:line="1400" w:lineRule="exact"/>
        <w:jc w:val="center"/>
        <w:rPr>
          <w:rFonts w:ascii="宋体" w:hAnsi="宋体"/>
          <w:b/>
          <w:sz w:val="24"/>
        </w:rPr>
      </w:pPr>
    </w:p>
    <w:p>
      <w:pPr>
        <w:spacing w:line="600" w:lineRule="exact"/>
        <w:jc w:val="center"/>
        <w:rPr>
          <w:rFonts w:ascii="黑体" w:hAnsi="黑体" w:eastAsia="黑体"/>
          <w:b/>
          <w:sz w:val="48"/>
          <w:szCs w:val="48"/>
        </w:rPr>
      </w:pPr>
      <w:bookmarkStart w:id="0" w:name="OLE_LINK5"/>
      <w:r>
        <w:rPr>
          <w:rFonts w:hint="eastAsia" w:ascii="黑体" w:hAnsi="黑体" w:eastAsia="黑体"/>
          <w:b/>
          <w:sz w:val="48"/>
          <w:szCs w:val="48"/>
        </w:rPr>
        <w:t>台泥(辽宁)水泥有限公司</w:t>
      </w:r>
    </w:p>
    <w:p>
      <w:pPr>
        <w:pStyle w:val="2"/>
        <w:jc w:val="center"/>
        <w:rPr>
          <w:rFonts w:ascii="黑体" w:hAnsi="黑体"/>
          <w:b/>
          <w:sz w:val="48"/>
          <w:szCs w:val="48"/>
          <w:lang w:bidi="ar-SA"/>
        </w:rPr>
      </w:pPr>
      <w:r>
        <w:rPr>
          <w:rFonts w:hint="eastAsia" w:ascii="黑体" w:hAnsi="黑体"/>
          <w:b/>
          <w:sz w:val="48"/>
          <w:szCs w:val="48"/>
          <w:lang w:bidi="ar-SA"/>
        </w:rPr>
        <w:t>自动包装机专用PO42.5编织袋 50KG</w:t>
      </w:r>
    </w:p>
    <w:p>
      <w:pPr>
        <w:spacing w:line="480" w:lineRule="exact"/>
        <w:ind w:firstLine="2891" w:firstLineChars="600"/>
        <w:rPr>
          <w:rFonts w:ascii="黑体" w:hAnsi="黑体" w:eastAsia="黑体"/>
          <w:b/>
          <w:sz w:val="48"/>
          <w:szCs w:val="48"/>
        </w:rPr>
      </w:pPr>
    </w:p>
    <w:p>
      <w:pPr>
        <w:spacing w:line="360" w:lineRule="auto"/>
        <w:jc w:val="center"/>
        <w:rPr>
          <w:rFonts w:ascii="黑体" w:hAnsi="黑体" w:eastAsia="黑体"/>
          <w:b/>
          <w:sz w:val="52"/>
          <w:szCs w:val="52"/>
        </w:rPr>
      </w:pPr>
      <w:r>
        <w:rPr>
          <w:rFonts w:hint="eastAsia" w:ascii="黑体" w:hAnsi="黑体" w:eastAsia="黑体"/>
          <w:b/>
          <w:sz w:val="52"/>
          <w:szCs w:val="52"/>
        </w:rPr>
        <w:t>招 标 文 件</w:t>
      </w:r>
    </w:p>
    <w:p>
      <w:pPr>
        <w:jc w:val="center"/>
        <w:rPr>
          <w:rFonts w:ascii="黑体" w:hAnsi="黑体" w:eastAsia="黑体"/>
          <w:b/>
          <w:sz w:val="28"/>
          <w:szCs w:val="32"/>
        </w:rPr>
      </w:pPr>
      <w:r>
        <w:rPr>
          <w:rFonts w:hint="eastAsia" w:ascii="黑体" w:hAnsi="黑体" w:eastAsia="黑体"/>
          <w:b/>
          <w:sz w:val="28"/>
          <w:szCs w:val="32"/>
        </w:rPr>
        <w:t>详见金隅冀东阳光采购平台</w:t>
      </w:r>
    </w:p>
    <w:p>
      <w:pPr>
        <w:spacing w:line="1400" w:lineRule="exact"/>
        <w:jc w:val="center"/>
        <w:rPr>
          <w:rFonts w:ascii="黑体" w:hAnsi="黑体" w:eastAsia="黑体"/>
          <w:b/>
          <w:sz w:val="28"/>
          <w:szCs w:val="32"/>
        </w:rPr>
      </w:pPr>
    </w:p>
    <w:p>
      <w:pPr>
        <w:jc w:val="center"/>
        <w:rPr>
          <w:rFonts w:ascii="黑体" w:hAnsi="黑体" w:eastAsia="黑体"/>
          <w:b/>
          <w:sz w:val="32"/>
        </w:rPr>
      </w:pPr>
    </w:p>
    <w:bookmarkEnd w:id="0"/>
    <w:p>
      <w:pPr>
        <w:jc w:val="center"/>
        <w:rPr>
          <w:rFonts w:ascii="黑体" w:hAnsi="黑体" w:eastAsia="黑体"/>
          <w:b/>
          <w:sz w:val="32"/>
        </w:rPr>
      </w:pPr>
    </w:p>
    <w:p>
      <w:pPr>
        <w:jc w:val="center"/>
        <w:rPr>
          <w:rFonts w:ascii="黑体" w:hAnsi="黑体" w:eastAsia="黑体"/>
          <w:b/>
          <w:sz w:val="32"/>
        </w:rPr>
      </w:pPr>
    </w:p>
    <w:p>
      <w:pPr>
        <w:jc w:val="center"/>
        <w:rPr>
          <w:rFonts w:ascii="黑体" w:hAnsi="黑体" w:eastAsia="黑体"/>
          <w:b/>
          <w:sz w:val="32"/>
        </w:rPr>
      </w:pPr>
    </w:p>
    <w:p>
      <w:pPr>
        <w:jc w:val="center"/>
        <w:rPr>
          <w:rFonts w:ascii="黑体" w:hAnsi="黑体" w:eastAsia="黑体"/>
          <w:b/>
          <w:sz w:val="32"/>
        </w:rPr>
      </w:pPr>
    </w:p>
    <w:p>
      <w:pPr>
        <w:jc w:val="center"/>
        <w:rPr>
          <w:rFonts w:ascii="黑体" w:hAnsi="黑体" w:eastAsia="黑体"/>
          <w:b/>
          <w:sz w:val="32"/>
        </w:rPr>
      </w:pPr>
    </w:p>
    <w:p>
      <w:pPr>
        <w:snapToGrid w:val="0"/>
        <w:spacing w:line="360" w:lineRule="auto"/>
        <w:ind w:firstLine="2134" w:firstLineChars="759"/>
        <w:rPr>
          <w:rFonts w:ascii="黑体" w:hAnsi="黑体" w:eastAsia="黑体"/>
          <w:b/>
          <w:sz w:val="28"/>
        </w:rPr>
      </w:pPr>
      <w:r>
        <w:rPr>
          <w:rFonts w:hint="eastAsia" w:ascii="黑体" w:hAnsi="黑体" w:eastAsia="黑体"/>
          <w:b/>
          <w:sz w:val="28"/>
        </w:rPr>
        <w:t>招 标 人: 台泥(辽宁)水泥有限公司</w:t>
      </w:r>
    </w:p>
    <w:p>
      <w:pPr>
        <w:snapToGrid w:val="0"/>
        <w:spacing w:line="360" w:lineRule="auto"/>
        <w:ind w:firstLine="2134" w:firstLineChars="759"/>
        <w:rPr>
          <w:rFonts w:ascii="黑体" w:hAnsi="黑体" w:eastAsia="黑体"/>
          <w:b/>
          <w:sz w:val="28"/>
        </w:rPr>
      </w:pPr>
      <w:r>
        <w:rPr>
          <w:rFonts w:hint="eastAsia" w:ascii="黑体" w:hAnsi="黑体" w:eastAsia="黑体"/>
          <w:b/>
          <w:sz w:val="28"/>
        </w:rPr>
        <w:t>日    期：  202</w:t>
      </w:r>
      <w:r>
        <w:rPr>
          <w:rFonts w:ascii="黑体" w:hAnsi="黑体" w:eastAsia="黑体"/>
          <w:b/>
          <w:sz w:val="28"/>
        </w:rPr>
        <w:t>1</w:t>
      </w:r>
      <w:r>
        <w:rPr>
          <w:rFonts w:hint="eastAsia" w:ascii="黑体" w:hAnsi="黑体" w:eastAsia="黑体"/>
          <w:b/>
          <w:sz w:val="28"/>
        </w:rPr>
        <w:t>年 7月</w:t>
      </w:r>
      <w:r>
        <w:rPr>
          <w:rFonts w:hint="eastAsia" w:ascii="黑体" w:hAnsi="黑体" w:eastAsia="黑体"/>
          <w:b/>
          <w:sz w:val="28"/>
        </w:rPr>
        <w:br w:type="page"/>
      </w:r>
    </w:p>
    <w:sdt>
      <w:sdtPr>
        <w:rPr>
          <w:rFonts w:ascii="黑体" w:hAnsi="黑体" w:eastAsia="黑体"/>
          <w:b/>
          <w:sz w:val="30"/>
          <w:szCs w:val="22"/>
          <w:lang w:bidi="he-IL"/>
        </w:rPr>
        <w:id w:val="793563861"/>
        <w:docPartObj>
          <w:docPartGallery w:val="Table of Contents"/>
          <w:docPartUnique/>
        </w:docPartObj>
      </w:sdtPr>
      <w:sdtEndPr>
        <w:rPr>
          <w:rFonts w:hint="eastAsia" w:ascii="黑体" w:hAnsi="黑体" w:eastAsia="黑体" w:cs="宋体"/>
          <w:b/>
          <w:sz w:val="28"/>
          <w:szCs w:val="28"/>
          <w:lang w:bidi="he-IL"/>
        </w:rPr>
      </w:sdtEndPr>
      <w:sdtContent>
        <w:p>
          <w:pPr>
            <w:spacing w:line="360" w:lineRule="auto"/>
            <w:jc w:val="center"/>
            <w:rPr>
              <w:rFonts w:ascii="黑体" w:hAnsi="黑体" w:eastAsia="黑体" w:cs="宋体"/>
              <w:b/>
              <w:sz w:val="28"/>
              <w:szCs w:val="28"/>
            </w:rPr>
          </w:pPr>
          <w:bookmarkStart w:id="1" w:name="_Toc26680_WPSOffice_Type1"/>
          <w:r>
            <w:rPr>
              <w:rFonts w:hint="eastAsia" w:ascii="黑体" w:hAnsi="黑体" w:eastAsia="黑体" w:cs="宋体"/>
              <w:b/>
              <w:sz w:val="28"/>
              <w:szCs w:val="28"/>
            </w:rPr>
            <w:t>目录</w:t>
          </w:r>
        </w:p>
        <w:p>
          <w:pPr>
            <w:pStyle w:val="26"/>
            <w:tabs>
              <w:tab w:val="right" w:leader="dot" w:pos="9354"/>
            </w:tabs>
            <w:spacing w:line="360" w:lineRule="auto"/>
            <w:rPr>
              <w:rFonts w:ascii="黑体" w:hAnsi="黑体" w:eastAsia="黑体" w:cs="宋体"/>
              <w:b/>
              <w:sz w:val="28"/>
              <w:szCs w:val="28"/>
            </w:rPr>
          </w:pPr>
          <w:r>
            <w:fldChar w:fldCharType="begin"/>
          </w:r>
          <w:r>
            <w:instrText xml:space="preserve"> HYPERLINK \l "_Toc18081_WPSOffice_Level1" </w:instrText>
          </w:r>
          <w:r>
            <w:fldChar w:fldCharType="separate"/>
          </w:r>
          <w:sdt>
            <w:sdtPr>
              <w:rPr>
                <w:rFonts w:hint="eastAsia" w:ascii="黑体" w:hAnsi="黑体" w:eastAsia="黑体" w:cs="宋体"/>
                <w:b/>
                <w:kern w:val="2"/>
                <w:sz w:val="28"/>
                <w:szCs w:val="28"/>
                <w:lang w:bidi="he-IL"/>
              </w:rPr>
              <w:id w:val="147459714"/>
            </w:sdtPr>
            <w:sdtEndPr>
              <w:rPr>
                <w:rFonts w:hint="eastAsia" w:ascii="黑体" w:hAnsi="黑体" w:eastAsia="黑体" w:cs="宋体"/>
                <w:b/>
                <w:kern w:val="2"/>
                <w:sz w:val="28"/>
                <w:szCs w:val="28"/>
                <w:lang w:bidi="he-IL"/>
              </w:rPr>
            </w:sdtEndPr>
            <w:sdtContent>
              <w:r>
                <w:rPr>
                  <w:rFonts w:hint="eastAsia" w:ascii="黑体" w:hAnsi="黑体" w:eastAsia="黑体" w:cs="宋体"/>
                  <w:b/>
                  <w:sz w:val="28"/>
                  <w:szCs w:val="28"/>
                </w:rPr>
                <w:t>第一章 招标公告（公开招标）</w:t>
              </w:r>
            </w:sdtContent>
          </w:sdt>
          <w:r>
            <w:rPr>
              <w:rFonts w:hint="eastAsia" w:ascii="黑体" w:hAnsi="黑体" w:eastAsia="黑体" w:cs="宋体"/>
              <w:b/>
              <w:sz w:val="28"/>
              <w:szCs w:val="28"/>
            </w:rPr>
            <w:tab/>
          </w:r>
          <w:bookmarkStart w:id="2" w:name="_Toc18081_WPSOffice_Level1Page"/>
          <w:r>
            <w:rPr>
              <w:rFonts w:hint="eastAsia" w:ascii="黑体" w:hAnsi="黑体" w:eastAsia="黑体" w:cs="宋体"/>
              <w:b/>
              <w:sz w:val="28"/>
              <w:szCs w:val="28"/>
            </w:rPr>
            <w:t>3</w:t>
          </w:r>
          <w:bookmarkEnd w:id="2"/>
          <w:r>
            <w:rPr>
              <w:rFonts w:hint="eastAsia" w:ascii="黑体" w:hAnsi="黑体" w:eastAsia="黑体" w:cs="宋体"/>
              <w:b/>
              <w:sz w:val="28"/>
              <w:szCs w:val="28"/>
            </w:rPr>
            <w:fldChar w:fldCharType="end"/>
          </w:r>
        </w:p>
        <w:p>
          <w:pPr>
            <w:pStyle w:val="26"/>
            <w:tabs>
              <w:tab w:val="right" w:leader="dot" w:pos="9354"/>
            </w:tabs>
            <w:spacing w:line="360" w:lineRule="auto"/>
            <w:rPr>
              <w:rFonts w:ascii="黑体" w:hAnsi="黑体" w:eastAsia="黑体" w:cs="宋体"/>
              <w:b/>
              <w:sz w:val="28"/>
              <w:szCs w:val="28"/>
            </w:rPr>
          </w:pPr>
          <w:r>
            <w:fldChar w:fldCharType="begin"/>
          </w:r>
          <w:r>
            <w:instrText xml:space="preserve"> HYPERLINK \l "_Toc26680_WPSOffice_Level1" </w:instrText>
          </w:r>
          <w:r>
            <w:fldChar w:fldCharType="separate"/>
          </w:r>
          <w:sdt>
            <w:sdtPr>
              <w:rPr>
                <w:rFonts w:hint="eastAsia" w:ascii="黑体" w:hAnsi="黑体" w:eastAsia="黑体" w:cs="宋体"/>
                <w:b/>
                <w:kern w:val="2"/>
                <w:sz w:val="28"/>
                <w:szCs w:val="28"/>
                <w:lang w:bidi="he-IL"/>
              </w:rPr>
              <w:id w:val="-674492003"/>
            </w:sdtPr>
            <w:sdtEndPr>
              <w:rPr>
                <w:rFonts w:hint="eastAsia" w:ascii="黑体" w:hAnsi="黑体" w:eastAsia="黑体" w:cs="宋体"/>
                <w:b/>
                <w:kern w:val="2"/>
                <w:sz w:val="28"/>
                <w:szCs w:val="28"/>
                <w:lang w:bidi="he-IL"/>
              </w:rPr>
            </w:sdtEndPr>
            <w:sdtContent>
              <w:r>
                <w:rPr>
                  <w:rFonts w:hint="eastAsia" w:ascii="黑体" w:hAnsi="黑体" w:eastAsia="黑体" w:cs="宋体"/>
                  <w:b/>
                  <w:sz w:val="28"/>
                  <w:szCs w:val="28"/>
                </w:rPr>
                <w:t>第二章 投标须知</w:t>
              </w:r>
            </w:sdtContent>
          </w:sdt>
          <w:r>
            <w:rPr>
              <w:rFonts w:hint="eastAsia" w:ascii="黑体" w:hAnsi="黑体" w:eastAsia="黑体" w:cs="宋体"/>
              <w:b/>
              <w:sz w:val="28"/>
              <w:szCs w:val="28"/>
            </w:rPr>
            <w:tab/>
          </w:r>
          <w:r>
            <w:rPr>
              <w:rFonts w:hint="eastAsia" w:ascii="黑体" w:hAnsi="黑体" w:eastAsia="黑体" w:cs="宋体"/>
              <w:b/>
              <w:sz w:val="28"/>
              <w:szCs w:val="28"/>
            </w:rPr>
            <w:fldChar w:fldCharType="end"/>
          </w:r>
          <w:r>
            <w:rPr>
              <w:rFonts w:hint="eastAsia" w:ascii="黑体" w:hAnsi="黑体" w:eastAsia="黑体" w:cs="宋体"/>
              <w:b/>
              <w:sz w:val="28"/>
              <w:szCs w:val="28"/>
            </w:rPr>
            <w:t>5</w:t>
          </w:r>
        </w:p>
        <w:p>
          <w:pPr>
            <w:pStyle w:val="26"/>
            <w:tabs>
              <w:tab w:val="right" w:leader="dot" w:pos="9354"/>
            </w:tabs>
            <w:spacing w:line="360" w:lineRule="auto"/>
            <w:rPr>
              <w:rFonts w:ascii="黑体" w:hAnsi="黑体" w:eastAsia="黑体" w:cs="宋体"/>
              <w:b/>
              <w:sz w:val="28"/>
              <w:szCs w:val="28"/>
            </w:rPr>
          </w:pPr>
          <w:r>
            <w:fldChar w:fldCharType="begin"/>
          </w:r>
          <w:r>
            <w:instrText xml:space="preserve"> HYPERLINK \l "_Toc23232_WPSOffice_Level1" </w:instrText>
          </w:r>
          <w:r>
            <w:fldChar w:fldCharType="separate"/>
          </w:r>
          <w:sdt>
            <w:sdtPr>
              <w:rPr>
                <w:rFonts w:hint="eastAsia" w:ascii="黑体" w:hAnsi="黑体" w:eastAsia="黑体" w:cs="宋体"/>
                <w:b/>
                <w:kern w:val="2"/>
                <w:sz w:val="28"/>
                <w:szCs w:val="28"/>
                <w:lang w:bidi="he-IL"/>
              </w:rPr>
              <w:id w:val="-32348295"/>
            </w:sdtPr>
            <w:sdtEndPr>
              <w:rPr>
                <w:rFonts w:hint="eastAsia" w:ascii="黑体" w:hAnsi="黑体" w:eastAsia="黑体" w:cs="宋体"/>
                <w:b/>
                <w:kern w:val="2"/>
                <w:sz w:val="28"/>
                <w:szCs w:val="28"/>
                <w:lang w:bidi="he-IL"/>
              </w:rPr>
            </w:sdtEndPr>
            <w:sdtContent>
              <w:r>
                <w:rPr>
                  <w:rFonts w:hint="eastAsia" w:ascii="黑体" w:hAnsi="黑体" w:eastAsia="黑体" w:cs="宋体"/>
                  <w:b/>
                  <w:sz w:val="28"/>
                  <w:szCs w:val="28"/>
                </w:rPr>
                <w:t>第三章</w:t>
              </w:r>
            </w:sdtContent>
          </w:sdt>
          <w:r>
            <w:rPr>
              <w:rFonts w:hint="eastAsia" w:ascii="黑体" w:hAnsi="黑体" w:eastAsia="黑体" w:cs="宋体"/>
              <w:b/>
              <w:sz w:val="28"/>
              <w:szCs w:val="28"/>
            </w:rPr>
            <w:t xml:space="preserve"> </w:t>
          </w:r>
          <w:r>
            <w:rPr>
              <w:rFonts w:hint="eastAsia" w:ascii="黑体" w:hAnsi="黑体" w:eastAsia="黑体" w:cs="宋体"/>
              <w:b/>
              <w:sz w:val="28"/>
              <w:szCs w:val="28"/>
            </w:rPr>
            <w:fldChar w:fldCharType="end"/>
          </w:r>
          <w:r>
            <w:rPr>
              <w:rFonts w:hint="eastAsia" w:ascii="黑体" w:hAnsi="黑体" w:eastAsia="黑体" w:cs="宋体"/>
              <w:b/>
              <w:sz w:val="28"/>
              <w:szCs w:val="28"/>
            </w:rPr>
            <w:t>项目概况技术及商务要求</w:t>
          </w:r>
          <w:r>
            <w:rPr>
              <w:rFonts w:hint="eastAsia" w:ascii="黑体" w:hAnsi="黑体" w:eastAsia="黑体" w:cs="宋体"/>
              <w:b/>
              <w:sz w:val="28"/>
              <w:szCs w:val="28"/>
            </w:rPr>
            <w:tab/>
          </w:r>
          <w:r>
            <w:rPr>
              <w:rFonts w:ascii="黑体" w:hAnsi="黑体" w:eastAsia="黑体" w:cs="宋体"/>
              <w:b/>
              <w:sz w:val="28"/>
              <w:szCs w:val="28"/>
            </w:rPr>
            <w:t>1</w:t>
          </w:r>
          <w:r>
            <w:rPr>
              <w:rFonts w:hint="eastAsia" w:ascii="黑体" w:hAnsi="黑体" w:eastAsia="黑体" w:cs="宋体"/>
              <w:b/>
              <w:sz w:val="28"/>
              <w:szCs w:val="28"/>
            </w:rPr>
            <w:t>2</w:t>
          </w:r>
        </w:p>
        <w:p>
          <w:pPr>
            <w:pStyle w:val="26"/>
            <w:tabs>
              <w:tab w:val="right" w:leader="dot" w:pos="9354"/>
            </w:tabs>
            <w:spacing w:line="360" w:lineRule="auto"/>
            <w:rPr>
              <w:rFonts w:ascii="黑体" w:hAnsi="黑体" w:eastAsia="黑体" w:cs="宋体"/>
              <w:b/>
              <w:sz w:val="28"/>
              <w:szCs w:val="28"/>
            </w:rPr>
          </w:pPr>
          <w:r>
            <w:fldChar w:fldCharType="begin"/>
          </w:r>
          <w:r>
            <w:instrText xml:space="preserve"> HYPERLINK \l "_Toc24393_WPSOffice_Level1" </w:instrText>
          </w:r>
          <w:r>
            <w:fldChar w:fldCharType="separate"/>
          </w:r>
          <w:sdt>
            <w:sdtPr>
              <w:rPr>
                <w:rFonts w:hint="eastAsia" w:ascii="黑体" w:hAnsi="黑体" w:eastAsia="黑体" w:cs="宋体"/>
                <w:b/>
                <w:kern w:val="2"/>
                <w:sz w:val="28"/>
                <w:szCs w:val="28"/>
                <w:lang w:bidi="he-IL"/>
              </w:rPr>
              <w:id w:val="-433824103"/>
            </w:sdtPr>
            <w:sdtEndPr>
              <w:rPr>
                <w:rFonts w:hint="eastAsia" w:ascii="黑体" w:hAnsi="黑体" w:eastAsia="黑体" w:cs="宋体"/>
                <w:b/>
                <w:kern w:val="2"/>
                <w:sz w:val="28"/>
                <w:szCs w:val="28"/>
                <w:lang w:bidi="he-IL"/>
              </w:rPr>
            </w:sdtEndPr>
            <w:sdtContent>
              <w:r>
                <w:rPr>
                  <w:rFonts w:hint="eastAsia" w:ascii="黑体" w:hAnsi="黑体" w:eastAsia="黑体" w:cs="宋体"/>
                  <w:b/>
                  <w:sz w:val="28"/>
                  <w:szCs w:val="28"/>
                </w:rPr>
                <w:t>第四章 投标文件格式</w:t>
              </w:r>
            </w:sdtContent>
          </w:sdt>
          <w:r>
            <w:rPr>
              <w:rFonts w:hint="eastAsia" w:ascii="黑体" w:hAnsi="黑体" w:eastAsia="黑体" w:cs="宋体"/>
              <w:b/>
              <w:sz w:val="28"/>
              <w:szCs w:val="28"/>
            </w:rPr>
            <w:tab/>
          </w:r>
          <w:bookmarkStart w:id="3" w:name="_Toc24393_WPSOffice_Level1Page"/>
          <w:r>
            <w:rPr>
              <w:rFonts w:hint="eastAsia" w:ascii="黑体" w:hAnsi="黑体" w:eastAsia="黑体" w:cs="宋体"/>
              <w:b/>
              <w:sz w:val="28"/>
              <w:szCs w:val="28"/>
            </w:rPr>
            <w:t>1</w:t>
          </w:r>
          <w:bookmarkEnd w:id="3"/>
          <w:r>
            <w:rPr>
              <w:rFonts w:hint="eastAsia" w:ascii="黑体" w:hAnsi="黑体" w:eastAsia="黑体" w:cs="宋体"/>
              <w:b/>
              <w:sz w:val="28"/>
              <w:szCs w:val="28"/>
            </w:rPr>
            <w:fldChar w:fldCharType="end"/>
          </w:r>
          <w:r>
            <w:rPr>
              <w:rFonts w:hint="eastAsia" w:ascii="黑体" w:hAnsi="黑体" w:eastAsia="黑体" w:cs="宋体"/>
              <w:b/>
              <w:sz w:val="28"/>
              <w:szCs w:val="28"/>
            </w:rPr>
            <w:t>6</w:t>
          </w:r>
        </w:p>
        <w:p>
          <w:pPr>
            <w:rPr>
              <w:rFonts w:ascii="黑体" w:hAnsi="黑体" w:eastAsia="黑体"/>
              <w:b/>
              <w:bCs/>
              <w:sz w:val="36"/>
            </w:rPr>
          </w:pPr>
          <w:sdt>
            <w:sdtPr>
              <w:rPr>
                <w:rFonts w:hint="eastAsia" w:ascii="黑体" w:hAnsi="黑体" w:eastAsia="黑体"/>
                <w:b/>
                <w:bCs/>
                <w:sz w:val="36"/>
              </w:rPr>
              <w:id w:val="-50623300"/>
            </w:sdtPr>
            <w:sdtEndPr>
              <w:rPr>
                <w:rFonts w:hint="eastAsia" w:ascii="黑体" w:hAnsi="黑体" w:eastAsia="黑体" w:cs="宋体"/>
                <w:b/>
                <w:bCs w:val="0"/>
                <w:kern w:val="0"/>
                <w:sz w:val="28"/>
                <w:szCs w:val="28"/>
              </w:rPr>
            </w:sdtEndPr>
            <w:sdtContent>
              <w:r>
                <w:rPr>
                  <w:rFonts w:hint="eastAsia" w:ascii="黑体" w:hAnsi="黑体" w:eastAsia="黑体" w:cs="宋体"/>
                  <w:b/>
                  <w:kern w:val="0"/>
                  <w:sz w:val="28"/>
                  <w:szCs w:val="28"/>
                </w:rPr>
                <w:t>第五章 评标方法和标准</w:t>
              </w:r>
              <w:r>
                <w:rPr>
                  <w:rFonts w:ascii="黑体" w:hAnsi="黑体" w:eastAsia="黑体" w:cs="宋体"/>
                  <w:b/>
                  <w:kern w:val="0"/>
                  <w:sz w:val="28"/>
                  <w:szCs w:val="28"/>
                </w:rPr>
                <w:t>...</w:t>
              </w:r>
              <w:r>
                <w:rPr>
                  <w:rFonts w:hint="eastAsia" w:ascii="黑体" w:hAnsi="黑体" w:eastAsia="黑体" w:cs="宋体"/>
                  <w:b/>
                  <w:kern w:val="0"/>
                  <w:sz w:val="28"/>
                  <w:szCs w:val="28"/>
                </w:rPr>
                <w:t>........................................25</w:t>
              </w:r>
            </w:sdtContent>
          </w:sdt>
        </w:p>
        <w:p>
          <w:pPr>
            <w:pStyle w:val="26"/>
            <w:tabs>
              <w:tab w:val="right" w:leader="dot" w:pos="9354"/>
            </w:tabs>
            <w:spacing w:line="360" w:lineRule="auto"/>
            <w:rPr>
              <w:rFonts w:ascii="黑体" w:hAnsi="黑体" w:eastAsia="黑体" w:cs="宋体"/>
              <w:b/>
              <w:sz w:val="28"/>
              <w:szCs w:val="28"/>
            </w:rPr>
          </w:pPr>
        </w:p>
        <w:p>
          <w:pPr>
            <w:pStyle w:val="2"/>
            <w:spacing w:line="360" w:lineRule="auto"/>
            <w:rPr>
              <w:rFonts w:ascii="黑体" w:hAnsi="黑体" w:cs="宋体"/>
              <w:b/>
              <w:sz w:val="28"/>
              <w:szCs w:val="28"/>
            </w:rPr>
          </w:pPr>
        </w:p>
      </w:sdtContent>
    </w:sdt>
    <w:bookmarkEnd w:id="1"/>
    <w:p>
      <w:pPr>
        <w:snapToGrid w:val="0"/>
        <w:spacing w:line="360" w:lineRule="auto"/>
        <w:ind w:firstLine="2134" w:firstLineChars="759"/>
        <w:rPr>
          <w:rFonts w:ascii="黑体" w:hAnsi="黑体" w:eastAsia="黑体"/>
          <w:b/>
          <w:sz w:val="28"/>
        </w:rPr>
      </w:pPr>
      <w:r>
        <w:rPr>
          <w:rFonts w:hint="eastAsia" w:ascii="黑体" w:hAnsi="黑体" w:eastAsia="黑体"/>
          <w:b/>
          <w:sz w:val="28"/>
        </w:rPr>
        <w:br w:type="page"/>
      </w:r>
    </w:p>
    <w:p>
      <w:pPr>
        <w:keepNext/>
        <w:keepLines/>
        <w:spacing w:line="840" w:lineRule="exact"/>
        <w:jc w:val="center"/>
        <w:outlineLvl w:val="0"/>
        <w:rPr>
          <w:rFonts w:ascii="黑体" w:hAnsi="黑体" w:eastAsia="黑体"/>
          <w:b/>
          <w:bCs/>
          <w:kern w:val="44"/>
          <w:sz w:val="32"/>
          <w:szCs w:val="44"/>
        </w:rPr>
      </w:pPr>
      <w:bookmarkStart w:id="4" w:name="_Toc333499397"/>
      <w:bookmarkStart w:id="5" w:name="_Toc22757"/>
      <w:bookmarkStart w:id="6" w:name="_Toc18081_WPSOffice_Level1"/>
      <w:bookmarkStart w:id="7" w:name="_Toc9693"/>
      <w:r>
        <w:rPr>
          <w:rFonts w:hint="eastAsia" w:ascii="黑体" w:hAnsi="黑体" w:eastAsia="黑体" w:cs="黑体"/>
          <w:b/>
          <w:kern w:val="44"/>
          <w:sz w:val="36"/>
          <w:szCs w:val="36"/>
        </w:rPr>
        <w:t>第一章  招标公告</w:t>
      </w:r>
      <w:bookmarkEnd w:id="4"/>
      <w:r>
        <w:rPr>
          <w:rFonts w:hint="eastAsia" w:ascii="黑体" w:hAnsi="黑体" w:eastAsia="黑体"/>
          <w:b/>
          <w:bCs/>
          <w:kern w:val="44"/>
          <w:sz w:val="36"/>
          <w:szCs w:val="36"/>
        </w:rPr>
        <w:t>（</w:t>
      </w:r>
      <w:r>
        <w:rPr>
          <w:rFonts w:hint="eastAsia" w:ascii="黑体" w:hAnsi="黑体" w:eastAsia="黑体"/>
          <w:b/>
          <w:bCs/>
          <w:kern w:val="44"/>
          <w:sz w:val="32"/>
          <w:szCs w:val="44"/>
        </w:rPr>
        <w:t>公开招标）</w:t>
      </w:r>
      <w:bookmarkEnd w:id="5"/>
      <w:bookmarkEnd w:id="6"/>
      <w:bookmarkEnd w:id="7"/>
    </w:p>
    <w:p>
      <w:pPr>
        <w:rPr>
          <w:rFonts w:ascii="黑体" w:hAnsi="黑体" w:eastAsia="黑体"/>
          <w:b/>
        </w:rPr>
      </w:pPr>
    </w:p>
    <w:p>
      <w:pPr>
        <w:spacing w:line="400" w:lineRule="exact"/>
        <w:jc w:val="center"/>
        <w:rPr>
          <w:rFonts w:ascii="黑体" w:hAnsi="黑体" w:eastAsia="黑体"/>
          <w:b/>
          <w:bCs/>
          <w:sz w:val="28"/>
          <w:szCs w:val="28"/>
        </w:rPr>
      </w:pPr>
      <w:r>
        <w:rPr>
          <w:rFonts w:hint="eastAsia" w:ascii="黑体" w:hAnsi="黑体" w:eastAsia="黑体"/>
          <w:b/>
          <w:bCs/>
          <w:sz w:val="28"/>
          <w:szCs w:val="28"/>
        </w:rPr>
        <w:t>台泥(辽宁)水泥有限公司自动包装机专用PO42.5编织袋 50KG招标公告</w:t>
      </w:r>
    </w:p>
    <w:p>
      <w:pPr>
        <w:spacing w:line="400" w:lineRule="exact"/>
        <w:rPr>
          <w:rFonts w:ascii="黑体" w:hAnsi="黑体" w:eastAsia="黑体"/>
          <w:b/>
          <w:sz w:val="28"/>
          <w:szCs w:val="28"/>
        </w:rPr>
      </w:pPr>
      <w:bookmarkStart w:id="8" w:name="_Toc333499398"/>
      <w:bookmarkStart w:id="9" w:name="_Toc152047191"/>
      <w:bookmarkStart w:id="10" w:name="_Toc179715683"/>
      <w:bookmarkStart w:id="11" w:name="_Toc144974394"/>
      <w:bookmarkStart w:id="12" w:name="_Toc19691"/>
      <w:r>
        <w:rPr>
          <w:rFonts w:hint="eastAsia" w:ascii="黑体" w:hAnsi="黑体" w:eastAsia="黑体"/>
          <w:b/>
          <w:sz w:val="28"/>
          <w:szCs w:val="28"/>
        </w:rPr>
        <w:t>1．招标条件</w:t>
      </w:r>
      <w:bookmarkEnd w:id="8"/>
      <w:bookmarkEnd w:id="9"/>
      <w:bookmarkEnd w:id="10"/>
      <w:bookmarkEnd w:id="11"/>
      <w:bookmarkEnd w:id="12"/>
    </w:p>
    <w:p>
      <w:pPr>
        <w:snapToGrid w:val="0"/>
        <w:spacing w:line="400" w:lineRule="exact"/>
        <w:ind w:firstLine="508" w:firstLineChars="211"/>
        <w:rPr>
          <w:rFonts w:ascii="黑体" w:hAnsi="黑体" w:eastAsia="黑体"/>
          <w:b/>
          <w:szCs w:val="21"/>
        </w:rPr>
      </w:pPr>
      <w:r>
        <w:rPr>
          <w:rFonts w:hint="eastAsia" w:ascii="黑体" w:hAnsi="黑体" w:eastAsia="黑体"/>
          <w:b/>
          <w:sz w:val="24"/>
        </w:rPr>
        <w:t>本招标项目台泥(辽宁)水泥有限公司自动包装机专用PO42.5编织袋 50KG已具备招标条件，现进行公开招标，特邀请有意向的潜在投标人(以下简称申请人)提出投标申请。</w:t>
      </w:r>
    </w:p>
    <w:p>
      <w:pPr>
        <w:spacing w:line="400" w:lineRule="exact"/>
        <w:rPr>
          <w:rFonts w:ascii="黑体" w:hAnsi="黑体" w:eastAsia="黑体"/>
          <w:b/>
          <w:sz w:val="28"/>
          <w:szCs w:val="28"/>
        </w:rPr>
      </w:pPr>
      <w:bookmarkStart w:id="13" w:name="_Toc24460"/>
      <w:bookmarkStart w:id="14" w:name="_Toc144974395"/>
      <w:bookmarkStart w:id="15" w:name="_Toc179715684"/>
      <w:bookmarkStart w:id="16" w:name="_Toc333499399"/>
      <w:bookmarkStart w:id="17" w:name="_Toc152047192"/>
      <w:r>
        <w:rPr>
          <w:rFonts w:hint="eastAsia" w:ascii="黑体" w:hAnsi="黑体" w:eastAsia="黑体"/>
          <w:b/>
          <w:sz w:val="28"/>
          <w:szCs w:val="28"/>
        </w:rPr>
        <w:t>2．项目概况与招标范围</w:t>
      </w:r>
      <w:bookmarkEnd w:id="13"/>
      <w:bookmarkEnd w:id="14"/>
      <w:bookmarkEnd w:id="15"/>
      <w:bookmarkEnd w:id="16"/>
      <w:bookmarkEnd w:id="17"/>
    </w:p>
    <w:p>
      <w:pPr>
        <w:snapToGrid w:val="0"/>
        <w:spacing w:line="400" w:lineRule="exact"/>
        <w:ind w:firstLine="508" w:firstLineChars="211"/>
        <w:rPr>
          <w:rFonts w:ascii="黑体" w:hAnsi="黑体" w:eastAsia="黑体"/>
          <w:b/>
          <w:sz w:val="24"/>
        </w:rPr>
      </w:pPr>
      <w:r>
        <w:rPr>
          <w:rFonts w:hint="eastAsia" w:ascii="黑体" w:hAnsi="黑体" w:eastAsia="黑体"/>
          <w:b/>
          <w:sz w:val="24"/>
        </w:rPr>
        <w:t>2.1项目概况：</w:t>
      </w:r>
    </w:p>
    <w:p>
      <w:pPr>
        <w:snapToGrid w:val="0"/>
        <w:spacing w:line="400" w:lineRule="exact"/>
        <w:ind w:firstLine="508" w:firstLineChars="211"/>
        <w:rPr>
          <w:rFonts w:ascii="黑体" w:hAnsi="黑体" w:eastAsia="黑体"/>
          <w:b/>
          <w:sz w:val="24"/>
          <w:u w:val="single"/>
        </w:rPr>
      </w:pPr>
      <w:r>
        <w:rPr>
          <w:rFonts w:hint="eastAsia" w:ascii="黑体" w:hAnsi="黑体" w:eastAsia="黑体"/>
          <w:b/>
          <w:sz w:val="24"/>
          <w:u w:val="single"/>
        </w:rPr>
        <w:t>台泥(辽宁)水泥有限公司自动包装机专用PO42.5编织袋 50KG进行招标。</w:t>
      </w:r>
    </w:p>
    <w:p>
      <w:pPr>
        <w:snapToGrid w:val="0"/>
        <w:spacing w:line="400" w:lineRule="exact"/>
        <w:ind w:firstLine="482" w:firstLineChars="200"/>
        <w:rPr>
          <w:rFonts w:ascii="黑体" w:hAnsi="黑体" w:eastAsia="黑体"/>
          <w:b/>
          <w:sz w:val="24"/>
          <w:u w:val="single"/>
        </w:rPr>
      </w:pPr>
      <w:r>
        <w:rPr>
          <w:rFonts w:hint="eastAsia" w:ascii="黑体" w:hAnsi="黑体" w:eastAsia="黑体"/>
          <w:b/>
          <w:sz w:val="24"/>
        </w:rPr>
        <w:t>2.2项目地点：</w:t>
      </w:r>
      <w:r>
        <w:rPr>
          <w:rFonts w:hint="eastAsia" w:ascii="黑体" w:hAnsi="黑体" w:eastAsia="黑体"/>
          <w:b/>
          <w:sz w:val="24"/>
          <w:u w:val="single"/>
        </w:rPr>
        <w:t xml:space="preserve">  辽宁  </w:t>
      </w:r>
      <w:r>
        <w:rPr>
          <w:rFonts w:hint="eastAsia" w:ascii="黑体" w:hAnsi="黑体" w:eastAsia="黑体"/>
          <w:b/>
          <w:sz w:val="24"/>
        </w:rPr>
        <w:t>省</w:t>
      </w:r>
      <w:r>
        <w:rPr>
          <w:rFonts w:hint="eastAsia" w:ascii="黑体" w:hAnsi="黑体" w:eastAsia="黑体"/>
          <w:b/>
          <w:sz w:val="24"/>
          <w:u w:val="single"/>
        </w:rPr>
        <w:t xml:space="preserve">  灯塔  </w:t>
      </w:r>
      <w:r>
        <w:rPr>
          <w:rFonts w:hint="eastAsia" w:ascii="黑体" w:hAnsi="黑体" w:eastAsia="黑体"/>
          <w:b/>
          <w:sz w:val="24"/>
        </w:rPr>
        <w:t>市</w:t>
      </w:r>
      <w:r>
        <w:rPr>
          <w:rFonts w:hint="eastAsia" w:ascii="黑体" w:hAnsi="黑体" w:eastAsia="黑体"/>
          <w:b/>
          <w:sz w:val="24"/>
          <w:u w:val="single"/>
        </w:rPr>
        <w:t xml:space="preserve">  西大窑镇台泥水泥有限公司</w:t>
      </w:r>
    </w:p>
    <w:p>
      <w:pPr>
        <w:snapToGrid w:val="0"/>
        <w:spacing w:line="400" w:lineRule="exact"/>
        <w:ind w:firstLine="482" w:firstLineChars="200"/>
        <w:rPr>
          <w:rFonts w:ascii="黑体" w:hAnsi="黑体" w:eastAsia="黑体"/>
          <w:b/>
          <w:sz w:val="24"/>
        </w:rPr>
      </w:pPr>
      <w:r>
        <w:rPr>
          <w:rFonts w:hint="eastAsia" w:ascii="黑体" w:hAnsi="黑体" w:eastAsia="黑体"/>
          <w:b/>
          <w:sz w:val="24"/>
        </w:rPr>
        <w:t>2.</w:t>
      </w:r>
      <w:r>
        <w:rPr>
          <w:rFonts w:ascii="黑体" w:hAnsi="黑体" w:eastAsia="黑体"/>
          <w:b/>
          <w:sz w:val="24"/>
        </w:rPr>
        <w:t>3</w:t>
      </w:r>
      <w:r>
        <w:rPr>
          <w:rFonts w:hint="eastAsia" w:ascii="黑体" w:hAnsi="黑体" w:eastAsia="黑体"/>
          <w:b/>
          <w:sz w:val="24"/>
        </w:rPr>
        <w:t>到货时间：</w:t>
      </w:r>
      <w:r>
        <w:rPr>
          <w:rFonts w:hint="eastAsia" w:ascii="黑体" w:hAnsi="黑体" w:eastAsia="黑体"/>
          <w:b/>
          <w:color w:val="FF0000"/>
          <w:sz w:val="24"/>
          <w:highlight w:val="yellow"/>
          <w:u w:val="single"/>
          <w:lang w:val="en-US" w:eastAsia="zh-CN"/>
        </w:rPr>
        <w:t>预计需求量60万，</w:t>
      </w:r>
      <w:r>
        <w:rPr>
          <w:rFonts w:hint="eastAsia" w:ascii="黑体" w:hAnsi="黑体" w:eastAsia="黑体"/>
          <w:b/>
          <w:color w:val="FF0000"/>
          <w:sz w:val="24"/>
          <w:highlight w:val="yellow"/>
          <w:u w:val="single"/>
        </w:rPr>
        <w:t>分批次交货，实际供货量、交期</w:t>
      </w:r>
      <w:r>
        <w:rPr>
          <w:rFonts w:hint="eastAsia" w:ascii="黑体" w:hAnsi="黑体" w:eastAsia="黑体"/>
          <w:b/>
          <w:color w:val="FF0000"/>
          <w:sz w:val="24"/>
          <w:highlight w:val="yellow"/>
          <w:u w:val="single"/>
        </w:rPr>
        <w:t>依买方通知为准。</w:t>
      </w:r>
    </w:p>
    <w:p>
      <w:pPr>
        <w:snapToGrid w:val="0"/>
        <w:spacing w:line="400" w:lineRule="exact"/>
        <w:ind w:firstLine="482" w:firstLineChars="200"/>
        <w:rPr>
          <w:rFonts w:ascii="黑体" w:hAnsi="黑体" w:eastAsia="黑体"/>
          <w:b/>
          <w:sz w:val="24"/>
          <w:u w:val="single"/>
        </w:rPr>
      </w:pPr>
      <w:r>
        <w:rPr>
          <w:rFonts w:hint="eastAsia" w:ascii="黑体" w:hAnsi="黑体" w:eastAsia="黑体"/>
          <w:b/>
          <w:sz w:val="24"/>
        </w:rPr>
        <w:t>2.</w:t>
      </w:r>
      <w:r>
        <w:rPr>
          <w:rFonts w:ascii="黑体" w:hAnsi="黑体" w:eastAsia="黑体"/>
          <w:b/>
          <w:sz w:val="24"/>
        </w:rPr>
        <w:t>4</w:t>
      </w:r>
      <w:r>
        <w:rPr>
          <w:rFonts w:hint="eastAsia" w:ascii="黑体" w:hAnsi="黑体" w:eastAsia="黑体"/>
          <w:b/>
          <w:sz w:val="24"/>
        </w:rPr>
        <w:t>招标范围：</w:t>
      </w:r>
      <w:r>
        <w:rPr>
          <w:rFonts w:hint="eastAsia" w:ascii="黑体" w:hAnsi="黑体" w:eastAsia="黑体"/>
          <w:b/>
          <w:sz w:val="24"/>
          <w:u w:val="single"/>
        </w:rPr>
        <w:t>自动包装机专用PO42.5编织袋 50KG（详见阳光平台标书等招标资料）。</w:t>
      </w:r>
    </w:p>
    <w:p>
      <w:pPr>
        <w:snapToGrid w:val="0"/>
        <w:spacing w:line="400" w:lineRule="exact"/>
        <w:ind w:firstLine="482" w:firstLineChars="200"/>
        <w:rPr>
          <w:rFonts w:ascii="黑体" w:hAnsi="黑体" w:eastAsia="黑体"/>
          <w:b/>
          <w:sz w:val="24"/>
        </w:rPr>
      </w:pPr>
      <w:r>
        <w:rPr>
          <w:rFonts w:hint="eastAsia" w:ascii="黑体" w:hAnsi="黑体" w:eastAsia="黑体"/>
          <w:b/>
          <w:sz w:val="24"/>
        </w:rPr>
        <w:t>2.</w:t>
      </w:r>
      <w:r>
        <w:rPr>
          <w:rFonts w:ascii="黑体" w:hAnsi="黑体" w:eastAsia="黑体"/>
          <w:b/>
          <w:sz w:val="24"/>
        </w:rPr>
        <w:t>5</w:t>
      </w:r>
      <w:r>
        <w:rPr>
          <w:rFonts w:hint="eastAsia" w:ascii="黑体" w:hAnsi="黑体" w:eastAsia="黑体"/>
          <w:b/>
          <w:sz w:val="24"/>
        </w:rPr>
        <w:t xml:space="preserve"> </w:t>
      </w:r>
      <w:r>
        <w:rPr>
          <w:rFonts w:hint="eastAsia" w:ascii="黑体" w:hAnsi="黑体" w:eastAsia="黑体"/>
          <w:b/>
          <w:sz w:val="24"/>
          <w:highlight w:val="yellow"/>
        </w:rPr>
        <w:t>其他： 各厂商投标前需</w:t>
      </w:r>
      <w:bookmarkStart w:id="239" w:name="_GoBack"/>
      <w:bookmarkEnd w:id="239"/>
      <w:r>
        <w:rPr>
          <w:rFonts w:hint="eastAsia" w:ascii="黑体" w:hAnsi="黑体" w:eastAsia="黑体"/>
          <w:b/>
          <w:sz w:val="24"/>
          <w:highlight w:val="yellow"/>
        </w:rPr>
        <w:t>提供20条样袋，用于我厂进行检测（除印刷版面以外）。</w:t>
      </w:r>
      <w:r>
        <w:rPr>
          <w:rFonts w:hint="eastAsia" w:ascii="黑体" w:hAnsi="黑体" w:eastAsia="黑体"/>
          <w:b/>
          <w:sz w:val="24"/>
        </w:rPr>
        <w:t xml:space="preserve"> </w:t>
      </w:r>
    </w:p>
    <w:p>
      <w:pPr>
        <w:spacing w:line="400" w:lineRule="exact"/>
        <w:rPr>
          <w:rFonts w:ascii="黑体" w:hAnsi="黑体" w:eastAsia="黑体"/>
          <w:b/>
          <w:sz w:val="28"/>
          <w:szCs w:val="28"/>
        </w:rPr>
      </w:pPr>
      <w:bookmarkStart w:id="18" w:name="_Toc333499400"/>
      <w:bookmarkStart w:id="19" w:name="_Toc19838"/>
      <w:bookmarkStart w:id="20" w:name="_Toc152047193"/>
      <w:bookmarkStart w:id="21" w:name="_Toc179715685"/>
      <w:bookmarkStart w:id="22" w:name="_Toc144974396"/>
      <w:r>
        <w:rPr>
          <w:rFonts w:hint="eastAsia" w:ascii="黑体" w:hAnsi="黑体" w:eastAsia="黑体"/>
          <w:b/>
          <w:sz w:val="28"/>
          <w:szCs w:val="28"/>
        </w:rPr>
        <w:t>3．投标人资格要求</w:t>
      </w:r>
      <w:bookmarkEnd w:id="18"/>
      <w:bookmarkEnd w:id="19"/>
      <w:bookmarkEnd w:id="20"/>
      <w:bookmarkEnd w:id="21"/>
      <w:bookmarkEnd w:id="22"/>
    </w:p>
    <w:p>
      <w:pPr>
        <w:snapToGrid w:val="0"/>
        <w:spacing w:line="400" w:lineRule="exact"/>
        <w:ind w:firstLine="482" w:firstLineChars="200"/>
        <w:rPr>
          <w:rFonts w:ascii="黑体" w:hAnsi="黑体" w:eastAsia="黑体" w:cstheme="minorEastAsia"/>
          <w:b/>
          <w:sz w:val="24"/>
          <w:lang w:bidi="he-IL"/>
        </w:rPr>
      </w:pPr>
      <w:r>
        <w:rPr>
          <w:rFonts w:hint="eastAsia" w:ascii="黑体" w:hAnsi="黑体" w:eastAsia="黑体" w:cstheme="minorEastAsia"/>
          <w:b/>
          <w:sz w:val="24"/>
        </w:rPr>
        <w:t>3.1</w:t>
      </w:r>
      <w:bookmarkStart w:id="23" w:name="_Toc444706345"/>
      <w:bookmarkStart w:id="24" w:name="_Toc444711379"/>
      <w:r>
        <w:rPr>
          <w:rFonts w:hint="eastAsia" w:ascii="黑体" w:hAnsi="黑体" w:eastAsia="黑体" w:cstheme="minorEastAsia"/>
          <w:b/>
          <w:sz w:val="24"/>
          <w:lang w:bidi="he-IL"/>
        </w:rPr>
        <w:t>投标人应在中华人民共和国境内合法注册具有独立企业法人资格，须提供公司营业执照,营业执照最新检审合格且营业执照经营范围,满足本项目内容具有独立承担民事责任的能力，具备产品厂家授权的代理人资质，具备参加投标活动的合法条件。</w:t>
      </w:r>
    </w:p>
    <w:p>
      <w:pPr>
        <w:pStyle w:val="2"/>
        <w:spacing w:line="400" w:lineRule="exact"/>
        <w:ind w:firstLine="482" w:firstLineChars="200"/>
        <w:rPr>
          <w:rFonts w:ascii="黑体" w:hAnsi="黑体" w:cstheme="minorEastAsia"/>
          <w:b/>
          <w:sz w:val="24"/>
          <w:szCs w:val="24"/>
        </w:rPr>
      </w:pPr>
      <w:r>
        <w:rPr>
          <w:rFonts w:hint="eastAsia" w:ascii="黑体" w:hAnsi="黑体" w:cstheme="minorEastAsia"/>
          <w:b/>
          <w:sz w:val="24"/>
          <w:szCs w:val="24"/>
        </w:rPr>
        <w:t xml:space="preserve">3.2 </w:t>
      </w:r>
      <w:r>
        <w:rPr>
          <w:rFonts w:hint="eastAsia" w:ascii="黑体" w:hAnsi="黑体" w:cstheme="minorEastAsia"/>
          <w:b/>
          <w:sz w:val="24"/>
          <w:szCs w:val="24"/>
          <w:lang w:bidi="ar-SA"/>
        </w:rPr>
        <w:t>财务要求：</w:t>
      </w:r>
      <w:r>
        <w:rPr>
          <w:rFonts w:hint="eastAsia" w:ascii="黑体" w:hAnsi="黑体" w:cstheme="minorEastAsia"/>
          <w:b/>
          <w:sz w:val="24"/>
          <w:szCs w:val="24"/>
        </w:rPr>
        <w:t>投标人需具有良好的商业信誉和健全的财务制度，需提供一般纳税人证明。</w:t>
      </w:r>
    </w:p>
    <w:p>
      <w:pPr>
        <w:snapToGrid w:val="0"/>
        <w:spacing w:line="400" w:lineRule="exact"/>
        <w:ind w:firstLine="482" w:firstLineChars="200"/>
        <w:jc w:val="left"/>
        <w:rPr>
          <w:rFonts w:ascii="黑体" w:hAnsi="黑体" w:eastAsia="黑体" w:cstheme="minorEastAsia"/>
          <w:b/>
          <w:sz w:val="24"/>
          <w:lang w:bidi="he-IL"/>
        </w:rPr>
      </w:pPr>
      <w:r>
        <w:rPr>
          <w:rFonts w:hint="eastAsia" w:ascii="黑体" w:hAnsi="黑体" w:eastAsia="黑体" w:cstheme="minorEastAsia"/>
          <w:b/>
          <w:sz w:val="24"/>
          <w:lang w:bidi="he-IL"/>
        </w:rPr>
        <w:t>3.3 业绩要求：产品必须有成功应用案例。</w:t>
      </w:r>
    </w:p>
    <w:p>
      <w:pPr>
        <w:pStyle w:val="2"/>
        <w:spacing w:line="400" w:lineRule="exact"/>
        <w:ind w:firstLine="482" w:firstLineChars="200"/>
        <w:rPr>
          <w:rFonts w:ascii="黑体" w:hAnsi="黑体" w:cstheme="minorEastAsia"/>
          <w:b/>
          <w:sz w:val="24"/>
          <w:szCs w:val="24"/>
          <w:lang w:bidi="ar-SA"/>
        </w:rPr>
      </w:pPr>
      <w:r>
        <w:rPr>
          <w:rFonts w:hint="eastAsia" w:ascii="黑体" w:hAnsi="黑体" w:cstheme="minorEastAsia"/>
          <w:b/>
          <w:sz w:val="24"/>
          <w:szCs w:val="24"/>
          <w:lang w:bidi="ar-SA"/>
        </w:rPr>
        <w:t xml:space="preserve">3.4 </w:t>
      </w:r>
      <w:r>
        <w:rPr>
          <w:rFonts w:hint="eastAsia" w:ascii="黑体" w:hAnsi="黑体" w:cstheme="minorEastAsia"/>
          <w:b/>
          <w:sz w:val="24"/>
          <w:szCs w:val="24"/>
        </w:rPr>
        <w:t>信誉要求：投标人近三年没有骗取中标和严重违约及重大项目质量、安全问题。在经营活动中没有重大违法记录，没有处于被责令停业、投标资格被取消、财产被接管、冻结、破产状态。在“信用中国”网站（www.creditchina.gov.cn）查询未被列为失信被执行人</w:t>
      </w:r>
    </w:p>
    <w:bookmarkEnd w:id="23"/>
    <w:bookmarkEnd w:id="24"/>
    <w:p>
      <w:pPr>
        <w:spacing w:line="400" w:lineRule="exact"/>
        <w:rPr>
          <w:rFonts w:ascii="黑体" w:hAnsi="黑体" w:eastAsia="黑体"/>
          <w:b/>
          <w:sz w:val="28"/>
          <w:szCs w:val="28"/>
        </w:rPr>
      </w:pPr>
      <w:bookmarkStart w:id="25" w:name="_Toc179715686"/>
      <w:bookmarkStart w:id="26" w:name="_Toc31834"/>
      <w:bookmarkStart w:id="27" w:name="_Toc333499401"/>
      <w:bookmarkStart w:id="28" w:name="_Toc152047194"/>
      <w:r>
        <w:rPr>
          <w:rFonts w:hint="eastAsia" w:ascii="黑体" w:hAnsi="黑体" w:eastAsia="黑体"/>
          <w:b/>
          <w:sz w:val="28"/>
          <w:szCs w:val="28"/>
        </w:rPr>
        <w:t>4．资格审查</w:t>
      </w:r>
      <w:bookmarkEnd w:id="25"/>
      <w:bookmarkEnd w:id="26"/>
      <w:bookmarkEnd w:id="27"/>
      <w:bookmarkEnd w:id="28"/>
      <w:r>
        <w:rPr>
          <w:rFonts w:hint="eastAsia" w:ascii="黑体" w:hAnsi="黑体" w:eastAsia="黑体"/>
          <w:b/>
          <w:sz w:val="28"/>
          <w:szCs w:val="28"/>
        </w:rPr>
        <w:t>方式</w:t>
      </w:r>
    </w:p>
    <w:p>
      <w:pPr>
        <w:snapToGrid w:val="0"/>
        <w:spacing w:line="400" w:lineRule="exact"/>
        <w:ind w:firstLine="482" w:firstLineChars="200"/>
        <w:rPr>
          <w:rFonts w:ascii="黑体" w:hAnsi="黑体" w:eastAsia="黑体"/>
          <w:b/>
          <w:sz w:val="24"/>
        </w:rPr>
      </w:pPr>
      <w:r>
        <w:rPr>
          <w:rFonts w:hint="eastAsia" w:ascii="黑体" w:hAnsi="黑体" w:eastAsia="黑体" w:cstheme="minorEastAsia"/>
          <w:b/>
          <w:kern w:val="0"/>
          <w:sz w:val="24"/>
          <w:lang w:bidi="he-IL"/>
        </w:rPr>
        <w:t>本次招标采用</w:t>
      </w:r>
      <w:r>
        <w:rPr>
          <w:rFonts w:hint="eastAsia" w:ascii="黑体" w:hAnsi="黑体" w:eastAsia="黑体" w:cstheme="minorEastAsia"/>
          <w:b/>
          <w:kern w:val="0"/>
          <w:sz w:val="24"/>
          <w:highlight w:val="yellow"/>
          <w:lang w:bidi="he-IL"/>
        </w:rPr>
        <w:t>资格后审方式</w:t>
      </w:r>
      <w:r>
        <w:rPr>
          <w:rFonts w:hint="eastAsia" w:ascii="黑体" w:hAnsi="黑体" w:eastAsia="黑体" w:cstheme="minorEastAsia"/>
          <w:b/>
          <w:kern w:val="0"/>
          <w:sz w:val="24"/>
          <w:lang w:bidi="he-IL"/>
        </w:rPr>
        <w:t>，由评标委员会在开标会上对投标人冀东阳光平台报价资料进行资格审查，所有通过资格审查的有效投标人均可以参加评标。</w:t>
      </w:r>
    </w:p>
    <w:p>
      <w:pPr>
        <w:spacing w:line="400" w:lineRule="exact"/>
        <w:rPr>
          <w:rFonts w:ascii="黑体" w:hAnsi="黑体" w:eastAsia="黑体"/>
          <w:b/>
          <w:sz w:val="28"/>
          <w:szCs w:val="28"/>
        </w:rPr>
      </w:pPr>
      <w:bookmarkStart w:id="29" w:name="_Toc333499402"/>
      <w:bookmarkStart w:id="30" w:name="_Toc1825"/>
      <w:r>
        <w:rPr>
          <w:rFonts w:hint="eastAsia" w:ascii="黑体" w:hAnsi="黑体" w:eastAsia="黑体"/>
          <w:b/>
          <w:sz w:val="28"/>
          <w:szCs w:val="28"/>
        </w:rPr>
        <w:t>5．投标申请报名</w:t>
      </w:r>
      <w:bookmarkEnd w:id="29"/>
      <w:bookmarkEnd w:id="30"/>
      <w:r>
        <w:rPr>
          <w:rFonts w:hint="eastAsia" w:ascii="黑体" w:hAnsi="黑体" w:eastAsia="黑体"/>
          <w:b/>
          <w:sz w:val="28"/>
          <w:szCs w:val="28"/>
        </w:rPr>
        <w:t>及</w:t>
      </w:r>
      <w:r>
        <w:rPr>
          <w:rFonts w:ascii="黑体" w:hAnsi="黑体" w:eastAsia="黑体"/>
          <w:b/>
          <w:sz w:val="28"/>
          <w:szCs w:val="28"/>
        </w:rPr>
        <w:t>招标文件获取</w:t>
      </w:r>
    </w:p>
    <w:p>
      <w:pPr>
        <w:spacing w:line="400" w:lineRule="exact"/>
        <w:ind w:firstLine="420"/>
        <w:rPr>
          <w:rFonts w:ascii="黑体" w:hAnsi="黑体" w:eastAsia="黑体" w:cs="宋体"/>
          <w:b/>
          <w:sz w:val="24"/>
        </w:rPr>
      </w:pPr>
      <w:r>
        <w:rPr>
          <w:rFonts w:hint="eastAsia" w:ascii="黑体" w:hAnsi="黑体" w:eastAsia="黑体"/>
          <w:b/>
          <w:sz w:val="24"/>
        </w:rPr>
        <w:t>5.</w:t>
      </w:r>
      <w:r>
        <w:rPr>
          <w:rFonts w:ascii="黑体" w:hAnsi="黑体" w:eastAsia="黑体"/>
          <w:b/>
          <w:sz w:val="24"/>
        </w:rPr>
        <w:t>1</w:t>
      </w:r>
      <w:r>
        <w:rPr>
          <w:rFonts w:hint="eastAsia" w:ascii="黑体" w:hAnsi="黑体" w:eastAsia="黑体"/>
          <w:b/>
          <w:sz w:val="24"/>
        </w:rPr>
        <w:t>凡有意申请投标者，登陆金隅冀东阳光采购平台；</w:t>
      </w:r>
      <w:r>
        <w:rPr>
          <w:rFonts w:ascii="黑体" w:hAnsi="黑体" w:eastAsia="黑体" w:cs="宋体"/>
          <w:b/>
          <w:sz w:val="24"/>
        </w:rPr>
        <w:t xml:space="preserve"> </w:t>
      </w:r>
    </w:p>
    <w:p>
      <w:pPr>
        <w:spacing w:line="400" w:lineRule="exact"/>
        <w:rPr>
          <w:rFonts w:ascii="黑体" w:hAnsi="黑体" w:eastAsia="黑体"/>
          <w:b/>
          <w:sz w:val="28"/>
          <w:szCs w:val="28"/>
        </w:rPr>
      </w:pPr>
      <w:bookmarkStart w:id="31" w:name="_Toc144974400"/>
      <w:bookmarkStart w:id="32" w:name="_Toc152047196"/>
      <w:bookmarkStart w:id="33" w:name="_Toc2214"/>
      <w:bookmarkStart w:id="34" w:name="_Toc179715688"/>
      <w:bookmarkStart w:id="35" w:name="_Toc333499404"/>
      <w:r>
        <w:rPr>
          <w:rFonts w:ascii="黑体" w:hAnsi="黑体" w:eastAsia="黑体"/>
          <w:b/>
          <w:sz w:val="28"/>
          <w:szCs w:val="28"/>
        </w:rPr>
        <w:t>6</w:t>
      </w:r>
      <w:r>
        <w:rPr>
          <w:rFonts w:hint="eastAsia" w:ascii="黑体" w:hAnsi="黑体" w:eastAsia="黑体"/>
          <w:b/>
          <w:sz w:val="28"/>
          <w:szCs w:val="28"/>
        </w:rPr>
        <w:t>．投标</w:t>
      </w:r>
      <w:bookmarkEnd w:id="31"/>
      <w:bookmarkEnd w:id="32"/>
      <w:bookmarkEnd w:id="33"/>
      <w:bookmarkEnd w:id="34"/>
      <w:bookmarkEnd w:id="35"/>
      <w:r>
        <w:rPr>
          <w:rFonts w:hint="eastAsia" w:ascii="黑体" w:hAnsi="黑体" w:eastAsia="黑体"/>
          <w:b/>
          <w:sz w:val="28"/>
          <w:szCs w:val="28"/>
        </w:rPr>
        <w:t>时间</w:t>
      </w:r>
    </w:p>
    <w:p>
      <w:pPr>
        <w:spacing w:line="400" w:lineRule="exact"/>
        <w:ind w:firstLine="482" w:firstLineChars="200"/>
        <w:rPr>
          <w:rFonts w:ascii="黑体" w:hAnsi="黑体" w:eastAsia="黑体"/>
          <w:b/>
          <w:sz w:val="24"/>
        </w:rPr>
      </w:pPr>
      <w:r>
        <w:rPr>
          <w:rFonts w:ascii="黑体" w:hAnsi="黑体" w:eastAsia="黑体"/>
          <w:b/>
          <w:sz w:val="24"/>
        </w:rPr>
        <w:t>6.1</w:t>
      </w:r>
      <w:r>
        <w:rPr>
          <w:rFonts w:hint="eastAsia" w:ascii="黑体" w:hAnsi="黑体" w:eastAsia="黑体"/>
          <w:b/>
          <w:sz w:val="24"/>
        </w:rPr>
        <w:t>平台投标的报名截止时间（申请截止时间，下同）以金隅冀东阳光采购平台为准。</w:t>
      </w:r>
    </w:p>
    <w:p>
      <w:pPr>
        <w:spacing w:line="400" w:lineRule="exact"/>
        <w:rPr>
          <w:rFonts w:ascii="黑体" w:hAnsi="黑体" w:eastAsia="黑体"/>
          <w:b/>
          <w:sz w:val="28"/>
          <w:szCs w:val="28"/>
        </w:rPr>
      </w:pPr>
      <w:bookmarkStart w:id="36" w:name="_Toc179715689"/>
      <w:bookmarkStart w:id="37" w:name="_Toc333499405"/>
      <w:bookmarkStart w:id="38" w:name="_Toc6371"/>
      <w:bookmarkStart w:id="39" w:name="_Toc144974401"/>
      <w:bookmarkStart w:id="40" w:name="_Toc152047197"/>
      <w:r>
        <w:rPr>
          <w:rFonts w:ascii="黑体" w:hAnsi="黑体" w:eastAsia="黑体"/>
          <w:b/>
          <w:sz w:val="28"/>
          <w:szCs w:val="28"/>
        </w:rPr>
        <w:t>7</w:t>
      </w:r>
      <w:r>
        <w:rPr>
          <w:rFonts w:hint="eastAsia" w:ascii="黑体" w:hAnsi="黑体" w:eastAsia="黑体"/>
          <w:b/>
          <w:sz w:val="28"/>
          <w:szCs w:val="28"/>
        </w:rPr>
        <w:t>．发布公告的媒介</w:t>
      </w:r>
      <w:bookmarkEnd w:id="36"/>
      <w:bookmarkEnd w:id="37"/>
      <w:bookmarkEnd w:id="38"/>
    </w:p>
    <w:p>
      <w:pPr>
        <w:spacing w:line="400" w:lineRule="exact"/>
        <w:ind w:firstLine="482" w:firstLineChars="200"/>
        <w:rPr>
          <w:rFonts w:ascii="黑体" w:hAnsi="黑体" w:eastAsia="黑体"/>
          <w:b/>
          <w:szCs w:val="21"/>
        </w:rPr>
      </w:pPr>
      <w:r>
        <w:rPr>
          <w:rFonts w:hint="eastAsia" w:ascii="黑体" w:hAnsi="黑体" w:eastAsia="黑体"/>
          <w:b/>
          <w:sz w:val="24"/>
        </w:rPr>
        <w:t>金隅冀东阳光采购平台。</w:t>
      </w:r>
    </w:p>
    <w:p>
      <w:pPr>
        <w:spacing w:line="400" w:lineRule="exact"/>
        <w:rPr>
          <w:rFonts w:ascii="黑体" w:hAnsi="黑体" w:eastAsia="黑体"/>
          <w:b/>
          <w:sz w:val="28"/>
          <w:szCs w:val="28"/>
        </w:rPr>
      </w:pPr>
      <w:bookmarkStart w:id="41" w:name="_Toc7621"/>
      <w:bookmarkStart w:id="42" w:name="_Toc333499406"/>
      <w:bookmarkStart w:id="43" w:name="_Toc179715690"/>
      <w:r>
        <w:rPr>
          <w:rFonts w:ascii="黑体" w:hAnsi="黑体" w:eastAsia="黑体"/>
          <w:b/>
          <w:sz w:val="28"/>
          <w:szCs w:val="28"/>
        </w:rPr>
        <w:t>8</w:t>
      </w:r>
      <w:r>
        <w:rPr>
          <w:rFonts w:hint="eastAsia" w:ascii="黑体" w:hAnsi="黑体" w:eastAsia="黑体"/>
          <w:b/>
          <w:sz w:val="28"/>
          <w:szCs w:val="28"/>
        </w:rPr>
        <w:t>．联系方式</w:t>
      </w:r>
      <w:bookmarkEnd w:id="39"/>
      <w:bookmarkEnd w:id="40"/>
      <w:bookmarkEnd w:id="41"/>
      <w:bookmarkEnd w:id="42"/>
      <w:bookmarkEnd w:id="43"/>
    </w:p>
    <w:p>
      <w:pPr>
        <w:spacing w:line="400" w:lineRule="exact"/>
        <w:ind w:firstLine="241" w:firstLineChars="100"/>
        <w:jc w:val="left"/>
        <w:rPr>
          <w:rFonts w:ascii="黑体" w:hAnsi="黑体" w:eastAsia="黑体" w:cs="宋体"/>
          <w:b/>
          <w:sz w:val="24"/>
        </w:rPr>
      </w:pPr>
      <w:r>
        <w:rPr>
          <w:rFonts w:hint="eastAsia" w:ascii="黑体" w:hAnsi="黑体" w:eastAsia="黑体" w:cs="宋体"/>
          <w:b/>
          <w:sz w:val="24"/>
        </w:rPr>
        <w:t>招标方：</w:t>
      </w:r>
      <w:r>
        <w:rPr>
          <w:rFonts w:hint="eastAsia" w:ascii="黑体" w:hAnsi="黑体" w:eastAsia="黑体" w:cs="宋体"/>
          <w:b/>
          <w:sz w:val="24"/>
          <w:u w:val="single"/>
        </w:rPr>
        <w:t xml:space="preserve">台泥(辽宁)水泥有限公司    </w:t>
      </w:r>
      <w:r>
        <w:rPr>
          <w:rFonts w:hint="eastAsia" w:ascii="黑体" w:hAnsi="黑体" w:eastAsia="黑体" w:cs="宋体"/>
          <w:b/>
          <w:sz w:val="24"/>
        </w:rPr>
        <w:t xml:space="preserve">    </w:t>
      </w:r>
    </w:p>
    <w:p>
      <w:pPr>
        <w:spacing w:line="400" w:lineRule="exact"/>
        <w:ind w:firstLine="241" w:firstLineChars="100"/>
        <w:rPr>
          <w:rFonts w:ascii="黑体" w:hAnsi="黑体" w:eastAsia="黑体" w:cs="宋体"/>
          <w:b/>
          <w:sz w:val="24"/>
          <w:u w:val="single"/>
        </w:rPr>
      </w:pPr>
      <w:r>
        <w:rPr>
          <w:rFonts w:hint="eastAsia" w:ascii="黑体" w:hAnsi="黑体" w:eastAsia="黑体" w:cs="宋体"/>
          <w:b/>
          <w:sz w:val="24"/>
        </w:rPr>
        <w:t>地  址：</w:t>
      </w:r>
      <w:r>
        <w:rPr>
          <w:rFonts w:hint="eastAsia" w:ascii="黑体" w:hAnsi="黑体" w:eastAsia="黑体" w:cs="宋体"/>
          <w:b/>
          <w:sz w:val="24"/>
          <w:u w:val="single"/>
        </w:rPr>
        <w:t xml:space="preserve"> </w:t>
      </w:r>
      <w:r>
        <w:rPr>
          <w:rFonts w:hint="eastAsia" w:ascii="黑体" w:hAnsi="黑体" w:eastAsia="黑体" w:cs="宋体"/>
          <w:b/>
          <w:color w:val="000000" w:themeColor="text1"/>
          <w:sz w:val="24"/>
          <w:u w:val="single"/>
          <w14:textFill>
            <w14:solidFill>
              <w14:schemeClr w14:val="tx1"/>
            </w14:solidFill>
          </w14:textFill>
        </w:rPr>
        <w:t xml:space="preserve">辽宁省辽阳灯塔市西大窑镇 </w:t>
      </w:r>
      <w:r>
        <w:rPr>
          <w:rFonts w:hint="eastAsia" w:ascii="黑体" w:hAnsi="黑体" w:eastAsia="黑体" w:cs="宋体"/>
          <w:b/>
          <w:sz w:val="24"/>
        </w:rPr>
        <w:t xml:space="preserve">    </w:t>
      </w:r>
    </w:p>
    <w:p>
      <w:pPr>
        <w:spacing w:line="400" w:lineRule="exact"/>
        <w:rPr>
          <w:rFonts w:ascii="黑体" w:hAnsi="黑体" w:eastAsia="黑体" w:cs="宋体"/>
          <w:b/>
          <w:sz w:val="24"/>
        </w:rPr>
      </w:pPr>
      <w:r>
        <w:rPr>
          <w:rFonts w:hint="eastAsia" w:ascii="黑体" w:hAnsi="黑体" w:eastAsia="黑体" w:cs="宋体"/>
          <w:b/>
          <w:sz w:val="24"/>
        </w:rPr>
        <w:t xml:space="preserve">          </w:t>
      </w:r>
      <w:r>
        <w:rPr>
          <w:rFonts w:hint="eastAsia" w:ascii="黑体" w:hAnsi="黑体" w:eastAsia="黑体" w:cs="宋体"/>
          <w:b/>
          <w:sz w:val="24"/>
          <w:u w:val="single"/>
        </w:rPr>
        <w:t xml:space="preserve"> </w:t>
      </w:r>
      <w:r>
        <w:rPr>
          <w:rFonts w:hint="eastAsia" w:ascii="黑体" w:hAnsi="黑体" w:eastAsia="黑体" w:cs="宋体"/>
          <w:b/>
          <w:color w:val="000000" w:themeColor="text1"/>
          <w:sz w:val="24"/>
          <w:u w:val="single"/>
          <w14:textFill>
            <w14:solidFill>
              <w14:schemeClr w14:val="tx1"/>
            </w14:solidFill>
          </w14:textFill>
        </w:rPr>
        <w:t xml:space="preserve">                         </w:t>
      </w:r>
      <w:r>
        <w:rPr>
          <w:rFonts w:hint="eastAsia" w:ascii="黑体" w:hAnsi="黑体" w:eastAsia="黑体" w:cs="宋体"/>
          <w:b/>
          <w:color w:val="000000" w:themeColor="text1"/>
          <w:sz w:val="24"/>
          <w14:textFill>
            <w14:solidFill>
              <w14:schemeClr w14:val="tx1"/>
            </w14:solidFill>
          </w14:textFill>
        </w:rPr>
        <w:t xml:space="preserve">          </w:t>
      </w:r>
    </w:p>
    <w:p>
      <w:pPr>
        <w:spacing w:line="400" w:lineRule="exact"/>
        <w:ind w:firstLine="241" w:firstLineChars="100"/>
        <w:rPr>
          <w:rFonts w:ascii="黑体" w:hAnsi="黑体" w:eastAsia="黑体" w:cs="宋体"/>
          <w:b/>
          <w:sz w:val="24"/>
        </w:rPr>
      </w:pPr>
      <w:r>
        <w:rPr>
          <w:rFonts w:hint="eastAsia" w:ascii="黑体" w:hAnsi="黑体" w:eastAsia="黑体" w:cs="宋体"/>
          <w:b/>
          <w:sz w:val="24"/>
        </w:rPr>
        <w:t>邮  编：</w:t>
      </w:r>
      <w:r>
        <w:rPr>
          <w:rFonts w:hint="eastAsia" w:ascii="黑体" w:hAnsi="黑体" w:eastAsia="黑体" w:cs="宋体"/>
          <w:b/>
          <w:sz w:val="24"/>
          <w:u w:val="single"/>
        </w:rPr>
        <w:t xml:space="preserve">                          </w:t>
      </w:r>
      <w:r>
        <w:rPr>
          <w:rFonts w:hint="eastAsia" w:ascii="黑体" w:hAnsi="黑体" w:eastAsia="黑体" w:cs="宋体"/>
          <w:b/>
          <w:sz w:val="24"/>
        </w:rPr>
        <w:t xml:space="preserve">    </w:t>
      </w:r>
    </w:p>
    <w:p>
      <w:pPr>
        <w:spacing w:line="400" w:lineRule="exact"/>
        <w:ind w:firstLine="241" w:firstLineChars="100"/>
        <w:rPr>
          <w:rFonts w:ascii="黑体" w:hAnsi="黑体" w:eastAsia="黑体" w:cs="宋体"/>
          <w:b/>
          <w:sz w:val="24"/>
        </w:rPr>
      </w:pPr>
      <w:r>
        <w:rPr>
          <w:rFonts w:hint="eastAsia" w:ascii="黑体" w:hAnsi="黑体" w:eastAsia="黑体" w:cs="宋体"/>
          <w:b/>
          <w:sz w:val="24"/>
        </w:rPr>
        <w:t>联系人：</w:t>
      </w:r>
      <w:r>
        <w:rPr>
          <w:rFonts w:hint="eastAsia" w:ascii="黑体" w:hAnsi="黑体" w:eastAsia="黑体" w:cs="宋体"/>
          <w:b/>
          <w:sz w:val="24"/>
          <w:u w:val="single"/>
        </w:rPr>
        <w:t xml:space="preserve">   张丽萍                 </w:t>
      </w:r>
      <w:r>
        <w:rPr>
          <w:rFonts w:hint="eastAsia" w:ascii="黑体" w:hAnsi="黑体" w:eastAsia="黑体" w:cs="宋体"/>
          <w:b/>
          <w:sz w:val="24"/>
        </w:rPr>
        <w:t xml:space="preserve">    </w:t>
      </w:r>
    </w:p>
    <w:p>
      <w:pPr>
        <w:spacing w:line="400" w:lineRule="exact"/>
        <w:ind w:firstLine="241" w:firstLineChars="100"/>
        <w:rPr>
          <w:rFonts w:ascii="黑体" w:hAnsi="黑体" w:eastAsia="黑体" w:cs="宋体"/>
          <w:b/>
          <w:sz w:val="24"/>
        </w:rPr>
      </w:pPr>
      <w:r>
        <w:rPr>
          <w:rFonts w:hint="eastAsia" w:ascii="黑体" w:hAnsi="黑体" w:eastAsia="黑体" w:cs="宋体"/>
          <w:b/>
          <w:sz w:val="24"/>
        </w:rPr>
        <w:t>电  话：</w:t>
      </w:r>
      <w:r>
        <w:rPr>
          <w:rFonts w:hint="eastAsia" w:ascii="黑体" w:hAnsi="黑体" w:eastAsia="黑体" w:cs="宋体"/>
          <w:b/>
          <w:sz w:val="24"/>
          <w:u w:val="single"/>
        </w:rPr>
        <w:t xml:space="preserve">  </w:t>
      </w:r>
      <w:r>
        <w:rPr>
          <w:rFonts w:ascii="黑体" w:hAnsi="黑体" w:eastAsia="黑体" w:cs="宋体"/>
          <w:b/>
          <w:sz w:val="24"/>
          <w:u w:val="single"/>
        </w:rPr>
        <w:t>18041921877</w:t>
      </w:r>
      <w:r>
        <w:rPr>
          <w:rFonts w:hint="eastAsia" w:ascii="黑体" w:hAnsi="黑体" w:eastAsia="黑体" w:cs="宋体"/>
          <w:b/>
          <w:sz w:val="24"/>
          <w:u w:val="single"/>
        </w:rPr>
        <w:t xml:space="preserve">             </w:t>
      </w:r>
      <w:r>
        <w:rPr>
          <w:rFonts w:hint="eastAsia" w:ascii="黑体" w:hAnsi="黑体" w:eastAsia="黑体" w:cs="宋体"/>
          <w:b/>
          <w:sz w:val="24"/>
        </w:rPr>
        <w:t xml:space="preserve">   </w:t>
      </w:r>
    </w:p>
    <w:p>
      <w:pPr>
        <w:spacing w:line="400" w:lineRule="exact"/>
        <w:ind w:firstLine="241" w:firstLineChars="100"/>
        <w:rPr>
          <w:rFonts w:ascii="黑体" w:hAnsi="黑体" w:eastAsia="黑体" w:cs="宋体"/>
          <w:b/>
          <w:sz w:val="24"/>
        </w:rPr>
      </w:pPr>
      <w:r>
        <w:rPr>
          <w:rFonts w:hint="eastAsia" w:ascii="黑体" w:hAnsi="黑体" w:eastAsia="黑体" w:cs="宋体"/>
          <w:b/>
          <w:sz w:val="24"/>
        </w:rPr>
        <w:t>电子邮件：</w:t>
      </w:r>
      <w:r>
        <w:rPr>
          <w:rFonts w:hint="eastAsia" w:ascii="黑体" w:hAnsi="黑体" w:eastAsia="黑体" w:cs="宋体"/>
          <w:b/>
          <w:sz w:val="24"/>
          <w:u w:val="single"/>
        </w:rPr>
        <w:t xml:space="preserve">                        </w:t>
      </w:r>
      <w:r>
        <w:rPr>
          <w:rFonts w:hint="eastAsia" w:ascii="黑体" w:hAnsi="黑体" w:eastAsia="黑体" w:cs="宋体"/>
          <w:b/>
          <w:sz w:val="24"/>
        </w:rPr>
        <w:t xml:space="preserve">   </w:t>
      </w:r>
    </w:p>
    <w:p>
      <w:pPr>
        <w:spacing w:line="400" w:lineRule="exact"/>
        <w:ind w:firstLine="241" w:firstLineChars="100"/>
        <w:rPr>
          <w:rFonts w:ascii="黑体" w:hAnsi="黑体" w:eastAsia="黑体" w:cs="宋体"/>
          <w:b/>
          <w:sz w:val="24"/>
        </w:rPr>
      </w:pPr>
      <w:r>
        <w:rPr>
          <w:rFonts w:hint="eastAsia" w:ascii="黑体" w:hAnsi="黑体" w:eastAsia="黑体" w:cs="宋体"/>
          <w:b/>
          <w:sz w:val="24"/>
        </w:rPr>
        <w:t>开户银行：</w:t>
      </w:r>
      <w:r>
        <w:rPr>
          <w:rFonts w:hint="eastAsia" w:ascii="黑体" w:hAnsi="黑体" w:eastAsia="黑体" w:cs="宋体"/>
          <w:b/>
          <w:sz w:val="24"/>
          <w:u w:val="single"/>
        </w:rPr>
        <w:t xml:space="preserve">                         </w:t>
      </w:r>
      <w:r>
        <w:rPr>
          <w:rFonts w:hint="eastAsia" w:ascii="黑体" w:hAnsi="黑体" w:eastAsia="黑体" w:cs="宋体"/>
          <w:b/>
          <w:sz w:val="24"/>
        </w:rPr>
        <w:t xml:space="preserve">   </w:t>
      </w:r>
    </w:p>
    <w:p>
      <w:pPr>
        <w:spacing w:line="400" w:lineRule="exact"/>
        <w:ind w:firstLine="241" w:firstLineChars="100"/>
        <w:rPr>
          <w:rFonts w:ascii="黑体" w:hAnsi="黑体" w:eastAsia="黑体"/>
          <w:b/>
          <w:szCs w:val="21"/>
        </w:rPr>
      </w:pPr>
      <w:r>
        <w:rPr>
          <w:rFonts w:hint="eastAsia" w:ascii="黑体" w:hAnsi="黑体" w:eastAsia="黑体" w:cs="宋体"/>
          <w:b/>
          <w:sz w:val="24"/>
        </w:rPr>
        <w:t>账    号：</w:t>
      </w:r>
      <w:r>
        <w:rPr>
          <w:rFonts w:hint="eastAsia" w:ascii="黑体" w:hAnsi="黑体" w:eastAsia="黑体" w:cs="宋体"/>
          <w:b/>
          <w:sz w:val="24"/>
          <w:u w:val="single"/>
        </w:rPr>
        <w:t xml:space="preserve">                         </w:t>
      </w:r>
      <w:r>
        <w:rPr>
          <w:rFonts w:hint="eastAsia" w:ascii="黑体" w:hAnsi="黑体" w:eastAsia="黑体" w:cs="宋体"/>
          <w:b/>
          <w:sz w:val="24"/>
        </w:rPr>
        <w:t xml:space="preserve">   </w:t>
      </w:r>
    </w:p>
    <w:p>
      <w:pPr>
        <w:spacing w:line="400" w:lineRule="exact"/>
        <w:ind w:firstLine="422" w:firstLineChars="200"/>
        <w:rPr>
          <w:rFonts w:ascii="黑体" w:hAnsi="黑体" w:eastAsia="黑体"/>
          <w:b/>
        </w:rPr>
      </w:pPr>
      <w:r>
        <w:rPr>
          <w:rFonts w:hint="eastAsia" w:ascii="黑体" w:hAnsi="黑体" w:eastAsia="黑体"/>
          <w:b/>
        </w:rPr>
        <w:t xml:space="preserve">    </w:t>
      </w:r>
    </w:p>
    <w:p>
      <w:pPr>
        <w:spacing w:line="400" w:lineRule="exact"/>
        <w:rPr>
          <w:rFonts w:ascii="黑体" w:hAnsi="黑体" w:eastAsia="黑体"/>
          <w:b/>
        </w:rPr>
      </w:pPr>
    </w:p>
    <w:p>
      <w:pPr>
        <w:spacing w:line="400" w:lineRule="exact"/>
        <w:rPr>
          <w:rFonts w:ascii="黑体" w:hAnsi="黑体" w:eastAsia="黑体"/>
          <w:b/>
        </w:rPr>
      </w:pPr>
    </w:p>
    <w:p>
      <w:pPr>
        <w:pStyle w:val="2"/>
        <w:rPr>
          <w:rFonts w:ascii="黑体" w:hAnsi="黑体"/>
          <w:b/>
          <w:lang w:bidi="ar-SA"/>
        </w:rPr>
      </w:pPr>
    </w:p>
    <w:p>
      <w:pPr>
        <w:pStyle w:val="2"/>
        <w:rPr>
          <w:rFonts w:ascii="黑体" w:hAnsi="黑体"/>
          <w:b/>
          <w:lang w:bidi="ar-SA"/>
        </w:rPr>
      </w:pPr>
    </w:p>
    <w:p>
      <w:pPr>
        <w:spacing w:line="450" w:lineRule="exact"/>
        <w:jc w:val="center"/>
        <w:rPr>
          <w:rFonts w:ascii="黑体" w:hAnsi="黑体" w:eastAsia="黑体"/>
          <w:b/>
          <w:bCs/>
          <w:sz w:val="36"/>
          <w:szCs w:val="36"/>
        </w:rPr>
      </w:pPr>
      <w:bookmarkStart w:id="44" w:name="_Toc26680_WPSOffice_Level1"/>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p>
    <w:p>
      <w:pPr>
        <w:spacing w:line="450" w:lineRule="exact"/>
        <w:jc w:val="center"/>
        <w:rPr>
          <w:rFonts w:ascii="黑体" w:hAnsi="黑体" w:eastAsia="黑体"/>
          <w:b/>
          <w:bCs/>
          <w:sz w:val="36"/>
          <w:szCs w:val="36"/>
        </w:rPr>
      </w:pPr>
      <w:r>
        <w:rPr>
          <w:rFonts w:hint="eastAsia" w:ascii="黑体" w:hAnsi="黑体" w:eastAsia="黑体"/>
          <w:b/>
          <w:bCs/>
          <w:sz w:val="36"/>
          <w:szCs w:val="36"/>
        </w:rPr>
        <w:t>第二章 投标须知</w:t>
      </w:r>
      <w:bookmarkEnd w:id="44"/>
    </w:p>
    <w:p>
      <w:pPr>
        <w:spacing w:line="450" w:lineRule="exact"/>
        <w:rPr>
          <w:rFonts w:ascii="黑体" w:hAnsi="黑体" w:eastAsia="黑体"/>
          <w:b/>
          <w:sz w:val="24"/>
        </w:rPr>
      </w:pPr>
      <w:r>
        <w:rPr>
          <w:rFonts w:hint="eastAsia" w:ascii="黑体" w:hAnsi="黑体" w:eastAsia="黑体"/>
          <w:b/>
          <w:sz w:val="24"/>
        </w:rPr>
        <w:t>一、投标人须知前附表</w:t>
      </w:r>
    </w:p>
    <w:tbl>
      <w:tblPr>
        <w:tblStyle w:val="1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709" w:type="dxa"/>
            <w:vAlign w:val="center"/>
          </w:tcPr>
          <w:p>
            <w:pPr>
              <w:spacing w:line="500" w:lineRule="exact"/>
              <w:jc w:val="center"/>
              <w:rPr>
                <w:rFonts w:ascii="黑体" w:hAnsi="黑体" w:eastAsia="黑体" w:cs="宋体"/>
                <w:b/>
                <w:bCs/>
                <w:sz w:val="24"/>
              </w:rPr>
            </w:pPr>
            <w:r>
              <w:rPr>
                <w:rFonts w:hint="eastAsia" w:ascii="黑体" w:hAnsi="黑体" w:eastAsia="黑体" w:cs="宋体"/>
                <w:b/>
                <w:bCs/>
                <w:sz w:val="24"/>
              </w:rPr>
              <w:t>序号</w:t>
            </w:r>
          </w:p>
        </w:tc>
        <w:tc>
          <w:tcPr>
            <w:tcW w:w="2268" w:type="dxa"/>
            <w:vAlign w:val="center"/>
          </w:tcPr>
          <w:p>
            <w:pPr>
              <w:spacing w:line="500" w:lineRule="exact"/>
              <w:jc w:val="center"/>
              <w:rPr>
                <w:rFonts w:ascii="黑体" w:hAnsi="黑体" w:eastAsia="黑体" w:cs="宋体"/>
                <w:b/>
                <w:bCs/>
                <w:sz w:val="24"/>
              </w:rPr>
            </w:pPr>
            <w:r>
              <w:rPr>
                <w:rFonts w:hint="eastAsia" w:ascii="黑体" w:hAnsi="黑体" w:eastAsia="黑体" w:cs="宋体"/>
                <w:b/>
                <w:bCs/>
                <w:sz w:val="24"/>
              </w:rPr>
              <w:t>项 目</w:t>
            </w:r>
          </w:p>
        </w:tc>
        <w:tc>
          <w:tcPr>
            <w:tcW w:w="6946" w:type="dxa"/>
            <w:vAlign w:val="center"/>
          </w:tcPr>
          <w:p>
            <w:pPr>
              <w:spacing w:line="500" w:lineRule="exact"/>
              <w:ind w:firstLine="1928" w:firstLineChars="800"/>
              <w:rPr>
                <w:rFonts w:ascii="黑体" w:hAnsi="黑体" w:eastAsia="黑体" w:cs="宋体"/>
                <w:b/>
                <w:bCs/>
                <w:sz w:val="24"/>
              </w:rPr>
            </w:pPr>
            <w:r>
              <w:rPr>
                <w:rFonts w:hint="eastAsia" w:ascii="黑体" w:hAnsi="黑体" w:eastAsia="黑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500" w:lineRule="exact"/>
              <w:jc w:val="center"/>
              <w:rPr>
                <w:rFonts w:ascii="黑体" w:hAnsi="黑体" w:eastAsia="黑体" w:cs="宋体"/>
                <w:b/>
                <w:sz w:val="24"/>
              </w:rPr>
            </w:pPr>
            <w:r>
              <w:rPr>
                <w:rFonts w:hint="eastAsia" w:ascii="黑体" w:hAnsi="黑体" w:eastAsia="黑体" w:cs="宋体"/>
                <w:b/>
                <w:sz w:val="24"/>
              </w:rPr>
              <w:t>招标人</w:t>
            </w:r>
          </w:p>
        </w:tc>
        <w:tc>
          <w:tcPr>
            <w:tcW w:w="6946" w:type="dxa"/>
            <w:vAlign w:val="center"/>
          </w:tcPr>
          <w:p>
            <w:pPr>
              <w:spacing w:line="480" w:lineRule="exact"/>
              <w:ind w:left="241" w:hanging="241" w:hangingChars="100"/>
              <w:jc w:val="left"/>
              <w:rPr>
                <w:rFonts w:ascii="黑体" w:hAnsi="黑体" w:eastAsia="黑体" w:cs="宋体"/>
                <w:b/>
                <w:sz w:val="24"/>
              </w:rPr>
            </w:pPr>
            <w:r>
              <w:rPr>
                <w:rFonts w:hint="eastAsia" w:ascii="黑体" w:hAnsi="黑体" w:eastAsia="黑体" w:cs="宋体"/>
                <w:b/>
                <w:sz w:val="24"/>
              </w:rPr>
              <w:t>台泥(辽宁)水泥有限公司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500" w:lineRule="exact"/>
              <w:jc w:val="center"/>
              <w:rPr>
                <w:rFonts w:ascii="黑体" w:hAnsi="黑体" w:eastAsia="黑体" w:cs="宋体"/>
                <w:b/>
                <w:sz w:val="24"/>
              </w:rPr>
            </w:pPr>
            <w:r>
              <w:rPr>
                <w:rFonts w:hint="eastAsia" w:ascii="黑体" w:hAnsi="黑体" w:eastAsia="黑体" w:cs="宋体"/>
                <w:b/>
                <w:sz w:val="24"/>
              </w:rPr>
              <w:t>工程名称</w:t>
            </w:r>
          </w:p>
        </w:tc>
        <w:tc>
          <w:tcPr>
            <w:tcW w:w="6946" w:type="dxa"/>
            <w:vAlign w:val="center"/>
          </w:tcPr>
          <w:p>
            <w:pPr>
              <w:spacing w:line="480" w:lineRule="exact"/>
              <w:ind w:left="241" w:hanging="241" w:hangingChars="100"/>
              <w:jc w:val="left"/>
              <w:rPr>
                <w:rFonts w:ascii="黑体" w:hAnsi="黑体" w:eastAsia="黑体" w:cs="宋体"/>
                <w:b/>
                <w:sz w:val="24"/>
              </w:rPr>
            </w:pPr>
            <w:r>
              <w:rPr>
                <w:rFonts w:hint="eastAsia" w:ascii="黑体" w:hAnsi="黑体" w:eastAsia="黑体" w:cs="宋体"/>
                <w:b/>
                <w:sz w:val="24"/>
              </w:rPr>
              <w:t>台泥(辽宁)水泥有限公司自动插包机专用PO42.5编织袋 50KG招标</w:t>
            </w:r>
            <w:r>
              <w:rPr>
                <w:rFonts w:ascii="黑体" w:hAnsi="黑体" w:eastAsia="黑体" w:cs="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500" w:lineRule="exact"/>
              <w:jc w:val="center"/>
              <w:rPr>
                <w:rFonts w:ascii="黑体" w:hAnsi="黑体" w:eastAsia="黑体" w:cs="宋体"/>
                <w:b/>
                <w:sz w:val="24"/>
              </w:rPr>
            </w:pPr>
            <w:r>
              <w:rPr>
                <w:rFonts w:hint="eastAsia" w:ascii="黑体" w:hAnsi="黑体" w:eastAsia="黑体" w:cs="宋体"/>
                <w:b/>
                <w:sz w:val="24"/>
              </w:rPr>
              <w:t>建设地点</w:t>
            </w:r>
          </w:p>
        </w:tc>
        <w:tc>
          <w:tcPr>
            <w:tcW w:w="6946" w:type="dxa"/>
            <w:vAlign w:val="center"/>
          </w:tcPr>
          <w:p>
            <w:pPr>
              <w:adjustRightInd w:val="0"/>
              <w:snapToGrid w:val="0"/>
              <w:spacing w:line="480" w:lineRule="exact"/>
              <w:rPr>
                <w:rFonts w:ascii="黑体" w:hAnsi="黑体" w:eastAsia="黑体" w:cs="宋体"/>
                <w:b/>
                <w:sz w:val="24"/>
              </w:rPr>
            </w:pPr>
            <w:r>
              <w:rPr>
                <w:rFonts w:hint="eastAsia" w:ascii="黑体" w:hAnsi="黑体" w:eastAsia="黑体" w:cs="宋体"/>
                <w:b/>
                <w:sz w:val="24"/>
              </w:rPr>
              <w:t>台泥(辽宁)水泥有限公司厂区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500" w:lineRule="exact"/>
              <w:jc w:val="center"/>
              <w:rPr>
                <w:rFonts w:ascii="黑体" w:hAnsi="黑体" w:eastAsia="黑体" w:cs="宋体"/>
                <w:b/>
                <w:sz w:val="24"/>
              </w:rPr>
            </w:pPr>
            <w:r>
              <w:rPr>
                <w:rFonts w:hint="eastAsia" w:ascii="黑体" w:hAnsi="黑体" w:eastAsia="黑体" w:cs="宋体"/>
                <w:b/>
                <w:sz w:val="24"/>
              </w:rPr>
              <w:t>招标范围</w:t>
            </w:r>
          </w:p>
        </w:tc>
        <w:tc>
          <w:tcPr>
            <w:tcW w:w="6946" w:type="dxa"/>
            <w:vAlign w:val="center"/>
          </w:tcPr>
          <w:p>
            <w:pPr>
              <w:adjustRightInd w:val="0"/>
              <w:spacing w:line="360" w:lineRule="exact"/>
              <w:rPr>
                <w:rFonts w:ascii="黑体" w:hAnsi="黑体" w:eastAsia="黑体" w:cs="宋体"/>
                <w:b/>
                <w:sz w:val="24"/>
              </w:rPr>
            </w:pPr>
            <w:r>
              <w:rPr>
                <w:rFonts w:hint="eastAsia" w:ascii="黑体" w:hAnsi="黑体" w:eastAsia="黑体" w:cs="宋体"/>
                <w:b/>
                <w:color w:val="000000"/>
                <w:sz w:val="24"/>
              </w:rPr>
              <w:t>自动插包机专用PO42.5编织袋 50KG（详见招标标书技术参数）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500" w:lineRule="exact"/>
              <w:jc w:val="center"/>
              <w:rPr>
                <w:rFonts w:ascii="黑体" w:hAnsi="黑体" w:eastAsia="黑体" w:cs="宋体"/>
                <w:b/>
                <w:sz w:val="24"/>
                <w:highlight w:val="yellow"/>
              </w:rPr>
            </w:pPr>
            <w:r>
              <w:rPr>
                <w:rFonts w:hint="eastAsia" w:ascii="黑体" w:hAnsi="黑体" w:eastAsia="黑体" w:cs="宋体"/>
                <w:b/>
                <w:sz w:val="24"/>
                <w:highlight w:val="yellow"/>
              </w:rPr>
              <w:t>合约期限</w:t>
            </w:r>
          </w:p>
        </w:tc>
        <w:tc>
          <w:tcPr>
            <w:tcW w:w="6946" w:type="dxa"/>
            <w:vAlign w:val="center"/>
          </w:tcPr>
          <w:p>
            <w:pPr>
              <w:spacing w:line="500" w:lineRule="exact"/>
              <w:rPr>
                <w:rFonts w:ascii="黑体" w:hAnsi="黑体" w:eastAsia="黑体" w:cs="宋体"/>
                <w:b/>
                <w:sz w:val="24"/>
                <w:highlight w:val="yellow"/>
              </w:rPr>
            </w:pPr>
            <w:r>
              <w:rPr>
                <w:rFonts w:hint="eastAsia" w:ascii="黑体" w:hAnsi="黑体" w:eastAsia="黑体" w:cs="宋体"/>
                <w:b/>
                <w:sz w:val="24"/>
                <w:highlight w:val="yellow"/>
              </w:rPr>
              <w:t>合同签订日起至无待解决事项止。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500" w:lineRule="exact"/>
              <w:jc w:val="center"/>
              <w:rPr>
                <w:rFonts w:ascii="黑体" w:hAnsi="黑体" w:eastAsia="黑体" w:cs="宋体"/>
                <w:b/>
                <w:sz w:val="24"/>
              </w:rPr>
            </w:pPr>
            <w:r>
              <w:rPr>
                <w:rFonts w:hint="eastAsia" w:ascii="黑体" w:hAnsi="黑体" w:eastAsia="黑体" w:cs="宋体"/>
                <w:b/>
                <w:sz w:val="24"/>
              </w:rPr>
              <w:t>质量标准</w:t>
            </w:r>
          </w:p>
        </w:tc>
        <w:tc>
          <w:tcPr>
            <w:tcW w:w="6946" w:type="dxa"/>
            <w:vAlign w:val="center"/>
          </w:tcPr>
          <w:p>
            <w:pPr>
              <w:spacing w:line="500" w:lineRule="exact"/>
              <w:rPr>
                <w:rFonts w:ascii="黑体" w:hAnsi="黑体" w:eastAsia="黑体" w:cs="宋体"/>
                <w:b/>
                <w:sz w:val="24"/>
              </w:rPr>
            </w:pPr>
            <w:r>
              <w:rPr>
                <w:rFonts w:hint="eastAsia" w:ascii="黑体" w:hAnsi="黑体" w:eastAsia="黑体" w:cs="宋体"/>
                <w:b/>
                <w:sz w:val="24"/>
              </w:rPr>
              <w:t>符合质量验收标准（详见第三章）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500" w:lineRule="exact"/>
              <w:jc w:val="center"/>
              <w:rPr>
                <w:rFonts w:ascii="黑体" w:hAnsi="黑体" w:eastAsia="黑体" w:cs="宋体"/>
                <w:b/>
                <w:sz w:val="24"/>
              </w:rPr>
            </w:pPr>
            <w:r>
              <w:rPr>
                <w:rFonts w:hint="eastAsia" w:ascii="黑体" w:hAnsi="黑体" w:eastAsia="黑体" w:cs="宋体"/>
                <w:b/>
                <w:sz w:val="24"/>
              </w:rPr>
              <w:t>资金来源及落实情况</w:t>
            </w:r>
          </w:p>
        </w:tc>
        <w:tc>
          <w:tcPr>
            <w:tcW w:w="6946" w:type="dxa"/>
            <w:vAlign w:val="center"/>
          </w:tcPr>
          <w:p>
            <w:pPr>
              <w:spacing w:line="500" w:lineRule="exact"/>
              <w:rPr>
                <w:rFonts w:ascii="黑体" w:hAnsi="黑体" w:eastAsia="黑体" w:cs="宋体"/>
                <w:b/>
                <w:sz w:val="24"/>
              </w:rPr>
            </w:pPr>
            <w:r>
              <w:rPr>
                <w:rFonts w:hint="eastAsia" w:ascii="黑体" w:hAnsi="黑体" w:eastAsia="黑体" w:cs="宋体"/>
                <w:b/>
                <w:sz w:val="24"/>
              </w:rPr>
              <w:t>企业自筹；已落实100%。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500" w:lineRule="exact"/>
              <w:jc w:val="center"/>
              <w:rPr>
                <w:rFonts w:ascii="黑体" w:hAnsi="黑体" w:eastAsia="黑体" w:cs="宋体"/>
                <w:b/>
                <w:sz w:val="24"/>
              </w:rPr>
            </w:pPr>
            <w:r>
              <w:rPr>
                <w:rFonts w:hint="eastAsia" w:ascii="黑体" w:hAnsi="黑体" w:eastAsia="黑体" w:cs="宋体"/>
                <w:b/>
                <w:sz w:val="24"/>
              </w:rPr>
              <w:t>投标人资格要求</w:t>
            </w:r>
          </w:p>
        </w:tc>
        <w:tc>
          <w:tcPr>
            <w:tcW w:w="6946" w:type="dxa"/>
            <w:vAlign w:val="center"/>
          </w:tcPr>
          <w:p>
            <w:pPr>
              <w:pStyle w:val="23"/>
              <w:spacing w:line="360" w:lineRule="exact"/>
              <w:ind w:right="-1"/>
              <w:jc w:val="both"/>
              <w:rPr>
                <w:rFonts w:ascii="黑体" w:hAnsi="黑体" w:eastAsia="黑体" w:cs="宋体"/>
                <w:b/>
                <w:sz w:val="24"/>
                <w:szCs w:val="24"/>
                <w:lang w:eastAsia="zh-CN"/>
              </w:rPr>
            </w:pPr>
            <w:r>
              <w:rPr>
                <w:rFonts w:hint="eastAsia" w:ascii="黑体" w:hAnsi="黑体" w:eastAsia="黑体" w:cs="宋体"/>
                <w:b/>
                <w:sz w:val="24"/>
                <w:szCs w:val="24"/>
                <w:lang w:eastAsia="zh-CN"/>
              </w:rPr>
              <w:t>1、资质要求：</w:t>
            </w:r>
            <w:r>
              <w:rPr>
                <w:rFonts w:hint="eastAsia" w:ascii="黑体" w:hAnsi="黑体" w:eastAsia="黑体" w:cs="宋体"/>
                <w:b/>
                <w:color w:val="000000"/>
                <w:sz w:val="24"/>
                <w:szCs w:val="24"/>
                <w:lang w:eastAsia="zh-CN"/>
              </w:rPr>
              <w:t>投标人应在中华人民共和国境内合法注册具有独立企业法人资格，须提供公司营业执照,营业执照最新检审合格且营业执照经营范围,满足本项目内容具有独立承担民事责任的能力，具备产品厂家授权的代理人资质，具备参加投标活动的合法条件。</w:t>
            </w:r>
          </w:p>
          <w:p>
            <w:pPr>
              <w:pStyle w:val="23"/>
              <w:spacing w:line="360" w:lineRule="exact"/>
              <w:ind w:right="-1"/>
              <w:jc w:val="both"/>
              <w:rPr>
                <w:rFonts w:ascii="黑体" w:hAnsi="黑体" w:eastAsia="黑体" w:cs="宋体"/>
                <w:b/>
                <w:sz w:val="24"/>
                <w:szCs w:val="24"/>
                <w:lang w:eastAsia="zh-CN"/>
              </w:rPr>
            </w:pPr>
            <w:r>
              <w:rPr>
                <w:rFonts w:hint="eastAsia" w:ascii="黑体" w:hAnsi="黑体" w:eastAsia="黑体" w:cs="宋体"/>
                <w:b/>
                <w:sz w:val="24"/>
                <w:szCs w:val="24"/>
                <w:lang w:eastAsia="zh-CN"/>
              </w:rPr>
              <w:t>2、财务要求：投标方需具有良好的商业信誉和健全的财务制度，需提供一般纳税人证明。</w:t>
            </w:r>
          </w:p>
          <w:p>
            <w:pPr>
              <w:pStyle w:val="23"/>
              <w:spacing w:line="360" w:lineRule="exact"/>
              <w:ind w:right="-1"/>
              <w:jc w:val="both"/>
              <w:rPr>
                <w:rFonts w:ascii="黑体" w:hAnsi="黑体" w:eastAsia="黑体" w:cs="宋体"/>
                <w:b/>
                <w:sz w:val="24"/>
                <w:szCs w:val="24"/>
                <w:lang w:eastAsia="zh-CN"/>
              </w:rPr>
            </w:pPr>
            <w:r>
              <w:rPr>
                <w:rFonts w:hint="eastAsia" w:ascii="黑体" w:hAnsi="黑体" w:eastAsia="黑体" w:cs="宋体"/>
                <w:b/>
                <w:sz w:val="24"/>
                <w:szCs w:val="24"/>
                <w:lang w:eastAsia="zh-CN"/>
              </w:rPr>
              <w:t>3、信誉要求：</w:t>
            </w:r>
          </w:p>
          <w:p>
            <w:pPr>
              <w:pStyle w:val="23"/>
              <w:spacing w:line="360" w:lineRule="exact"/>
              <w:ind w:right="-1"/>
              <w:jc w:val="both"/>
              <w:rPr>
                <w:rFonts w:ascii="黑体" w:hAnsi="黑体" w:eastAsia="黑体" w:cs="宋体"/>
                <w:b/>
                <w:sz w:val="24"/>
                <w:szCs w:val="24"/>
                <w:lang w:eastAsia="zh-CN"/>
              </w:rPr>
            </w:pPr>
            <w:r>
              <w:rPr>
                <w:rFonts w:hint="eastAsia" w:ascii="黑体" w:hAnsi="黑体" w:eastAsia="黑体" w:cs="宋体"/>
                <w:b/>
                <w:sz w:val="24"/>
                <w:szCs w:val="24"/>
                <w:lang w:eastAsia="zh-CN"/>
              </w:rPr>
              <w:t>3.1 在“信用中国”网站（www.creditchina.gov.cn）查询投标人未被列入失信被执行人，（开标当日由招标人委托的代理机构统一查询）。</w:t>
            </w:r>
          </w:p>
          <w:p>
            <w:pPr>
              <w:pStyle w:val="23"/>
              <w:spacing w:line="360" w:lineRule="exact"/>
              <w:ind w:right="-157"/>
              <w:jc w:val="both"/>
              <w:rPr>
                <w:rFonts w:ascii="黑体" w:hAnsi="黑体" w:eastAsia="黑体" w:cs="宋体"/>
                <w:b/>
                <w:sz w:val="24"/>
                <w:szCs w:val="24"/>
                <w:lang w:eastAsia="zh-CN"/>
              </w:rPr>
            </w:pPr>
            <w:r>
              <w:rPr>
                <w:rFonts w:hint="eastAsia" w:ascii="黑体" w:hAnsi="黑体" w:eastAsia="黑体" w:cs="宋体"/>
                <w:b/>
                <w:sz w:val="24"/>
                <w:szCs w:val="24"/>
                <w:lang w:eastAsia="zh-CN"/>
              </w:rPr>
              <w:t>3.2 投标人经营状态：投标人近三年没有骗取中标和严重违约及重大项目质量、安全问题。在经营活动中没有重大违法记录，没有处于被责令停业、投标资格被取消、财产被接管、冻结、破产状态。</w:t>
            </w:r>
            <w:r>
              <w:rPr>
                <w:rFonts w:hint="eastAsia" w:ascii="黑体" w:hAnsi="黑体" w:eastAsia="黑体" w:cs="宋体"/>
                <w:b/>
                <w:sz w:val="24"/>
                <w:szCs w:val="24"/>
                <w:highlight w:val="yellow"/>
                <w:lang w:eastAsia="zh-CN"/>
              </w:rPr>
              <w:t>投标人自制承诺书。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vAlign w:val="center"/>
          </w:tcPr>
          <w:p>
            <w:pPr>
              <w:numPr>
                <w:ilvl w:val="0"/>
                <w:numId w:val="1"/>
              </w:numPr>
              <w:spacing w:line="500" w:lineRule="exact"/>
              <w:rPr>
                <w:rFonts w:ascii="黑体" w:hAnsi="黑体" w:eastAsia="黑体" w:cs="宋体"/>
                <w:b/>
                <w:sz w:val="24"/>
              </w:rPr>
            </w:pPr>
          </w:p>
        </w:tc>
        <w:tc>
          <w:tcPr>
            <w:tcW w:w="2268" w:type="dxa"/>
            <w:vAlign w:val="center"/>
          </w:tcPr>
          <w:p>
            <w:pPr>
              <w:spacing w:line="480" w:lineRule="exact"/>
              <w:jc w:val="center"/>
              <w:rPr>
                <w:rFonts w:ascii="黑体" w:hAnsi="黑体" w:eastAsia="黑体" w:cs="宋体"/>
                <w:b/>
                <w:sz w:val="24"/>
              </w:rPr>
            </w:pPr>
            <w:r>
              <w:rPr>
                <w:rFonts w:hint="eastAsia" w:ascii="黑体" w:hAnsi="黑体" w:eastAsia="黑体" w:cs="宋体"/>
                <w:b/>
                <w:sz w:val="24"/>
              </w:rPr>
              <w:t>资格审查方式</w:t>
            </w:r>
          </w:p>
        </w:tc>
        <w:tc>
          <w:tcPr>
            <w:tcW w:w="6946" w:type="dxa"/>
            <w:vAlign w:val="center"/>
          </w:tcPr>
          <w:p>
            <w:pPr>
              <w:spacing w:line="480" w:lineRule="exact"/>
              <w:rPr>
                <w:rFonts w:ascii="黑体" w:hAnsi="黑体" w:eastAsia="黑体" w:cs="宋体"/>
                <w:b/>
                <w:sz w:val="24"/>
              </w:rPr>
            </w:pPr>
            <w:r>
              <w:rPr>
                <w:rFonts w:hint="eastAsia" w:ascii="黑体" w:hAnsi="黑体" w:eastAsia="黑体" w:cs="宋体"/>
                <w:b/>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480" w:lineRule="exact"/>
              <w:jc w:val="center"/>
              <w:rPr>
                <w:rFonts w:ascii="黑体" w:hAnsi="黑体" w:eastAsia="黑体" w:cs="宋体"/>
                <w:b/>
                <w:sz w:val="24"/>
              </w:rPr>
            </w:pPr>
            <w:r>
              <w:rPr>
                <w:rFonts w:hint="eastAsia" w:ascii="黑体" w:hAnsi="黑体" w:eastAsia="黑体" w:cs="宋体"/>
                <w:b/>
                <w:sz w:val="24"/>
              </w:rPr>
              <w:t>投标有效期</w:t>
            </w:r>
          </w:p>
        </w:tc>
        <w:tc>
          <w:tcPr>
            <w:tcW w:w="6946" w:type="dxa"/>
            <w:vAlign w:val="center"/>
          </w:tcPr>
          <w:p>
            <w:pPr>
              <w:spacing w:line="480" w:lineRule="exact"/>
              <w:rPr>
                <w:rFonts w:ascii="黑体" w:hAnsi="黑体" w:eastAsia="黑体" w:cs="宋体"/>
                <w:b/>
                <w:sz w:val="24"/>
              </w:rPr>
            </w:pPr>
            <w:r>
              <w:rPr>
                <w:rFonts w:hint="eastAsia" w:ascii="黑体" w:hAnsi="黑体" w:eastAsia="黑体" w:cs="宋体"/>
                <w:b/>
                <w:sz w:val="24"/>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360" w:lineRule="exact"/>
              <w:jc w:val="center"/>
              <w:rPr>
                <w:rFonts w:ascii="黑体" w:hAnsi="黑体" w:eastAsia="黑体" w:cs="宋体"/>
                <w:b/>
                <w:sz w:val="24"/>
              </w:rPr>
            </w:pPr>
            <w:r>
              <w:rPr>
                <w:rFonts w:hint="eastAsia" w:ascii="黑体" w:hAnsi="黑体" w:eastAsia="黑体" w:cs="宋体"/>
                <w:b/>
                <w:sz w:val="24"/>
              </w:rPr>
              <w:t>报名截止时间</w:t>
            </w:r>
          </w:p>
        </w:tc>
        <w:tc>
          <w:tcPr>
            <w:tcW w:w="6946" w:type="dxa"/>
            <w:vAlign w:val="center"/>
          </w:tcPr>
          <w:p>
            <w:pPr>
              <w:spacing w:line="360" w:lineRule="exact"/>
              <w:rPr>
                <w:rFonts w:ascii="黑体" w:hAnsi="黑体" w:eastAsia="黑体" w:cs="宋体"/>
                <w:b/>
                <w:color w:val="FF0000"/>
                <w:sz w:val="24"/>
              </w:rPr>
            </w:pPr>
            <w:bookmarkStart w:id="45" w:name="OLE_LINK8"/>
            <w:r>
              <w:rPr>
                <w:rFonts w:hint="eastAsia" w:ascii="黑体" w:hAnsi="黑体" w:eastAsia="黑体" w:cs="宋体"/>
                <w:b/>
                <w:sz w:val="24"/>
              </w:rPr>
              <w:t>报名截至时间：</w:t>
            </w:r>
            <w:bookmarkEnd w:id="45"/>
            <w:r>
              <w:rPr>
                <w:rFonts w:hint="eastAsia" w:ascii="黑体" w:hAnsi="黑体" w:eastAsia="黑体" w:cs="宋体"/>
                <w:b/>
                <w:sz w:val="24"/>
              </w:rPr>
              <w:t>金隅冀东阳光平台时间为准。</w:t>
            </w:r>
          </w:p>
          <w:p>
            <w:pPr>
              <w:pStyle w:val="2"/>
              <w:rPr>
                <w:rFonts w:ascii="黑体" w:hAnsi="黑体"/>
                <w:b/>
                <w:lang w:bidi="ar-SA"/>
              </w:rPr>
            </w:pPr>
            <w:r>
              <w:rPr>
                <w:rFonts w:hint="eastAsia" w:ascii="黑体" w:hAnsi="黑体"/>
                <w:b/>
                <w:sz w:val="24"/>
                <w:lang w:bidi="ar-SA"/>
              </w:rPr>
              <w:t xml:space="preserve">报价截止时间: </w:t>
            </w:r>
            <w:r>
              <w:rPr>
                <w:rFonts w:hint="eastAsia" w:ascii="黑体" w:hAnsi="黑体" w:cs="宋体"/>
                <w:b/>
                <w:sz w:val="24"/>
                <w:szCs w:val="24"/>
                <w:lang w:bidi="ar-SA"/>
              </w:rPr>
              <w:t>金隅冀东阳光平台时间为准。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360" w:lineRule="exact"/>
              <w:rPr>
                <w:rFonts w:ascii="黑体" w:hAnsi="黑体" w:eastAsia="黑体" w:cs="宋体"/>
                <w:b/>
                <w:sz w:val="24"/>
              </w:rPr>
            </w:pPr>
            <w:r>
              <w:rPr>
                <w:rFonts w:hint="eastAsia" w:ascii="黑体" w:hAnsi="黑体" w:eastAsia="黑体" w:cs="宋体"/>
                <w:b/>
                <w:sz w:val="24"/>
              </w:rPr>
              <w:t>投标文件递交地点</w:t>
            </w:r>
          </w:p>
        </w:tc>
        <w:tc>
          <w:tcPr>
            <w:tcW w:w="6946" w:type="dxa"/>
            <w:vAlign w:val="center"/>
          </w:tcPr>
          <w:p>
            <w:pPr>
              <w:autoSpaceDE w:val="0"/>
              <w:autoSpaceDN w:val="0"/>
              <w:adjustRightInd w:val="0"/>
              <w:spacing w:line="360" w:lineRule="exact"/>
              <w:jc w:val="left"/>
              <w:rPr>
                <w:rFonts w:ascii="黑体" w:hAnsi="黑体" w:eastAsia="黑体" w:cs="宋体"/>
                <w:b/>
                <w:sz w:val="24"/>
              </w:rPr>
            </w:pPr>
            <w:r>
              <w:rPr>
                <w:rFonts w:hint="eastAsia" w:ascii="黑体" w:hAnsi="黑体" w:eastAsia="黑体" w:cs="宋体"/>
                <w:b/>
                <w:sz w:val="24"/>
              </w:rPr>
              <w:t>金隅冀东阳光采购平台投标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pStyle w:val="10"/>
              <w:spacing w:line="360" w:lineRule="exact"/>
              <w:jc w:val="center"/>
              <w:rPr>
                <w:rFonts w:ascii="黑体" w:hAnsi="黑体" w:eastAsia="黑体" w:cs="宋体"/>
                <w:b/>
                <w:sz w:val="24"/>
                <w:szCs w:val="24"/>
              </w:rPr>
            </w:pPr>
            <w:r>
              <w:rPr>
                <w:rFonts w:ascii="黑体" w:hAnsi="黑体" w:eastAsia="黑体" w:cs="宋体"/>
                <w:b/>
                <w:sz w:val="24"/>
                <w:szCs w:val="24"/>
              </w:rPr>
              <w:t>投标报价其他要求</w:t>
            </w:r>
          </w:p>
        </w:tc>
        <w:tc>
          <w:tcPr>
            <w:tcW w:w="6946" w:type="dxa"/>
            <w:vAlign w:val="center"/>
          </w:tcPr>
          <w:p>
            <w:pPr>
              <w:pStyle w:val="2"/>
              <w:spacing w:line="480" w:lineRule="exact"/>
              <w:rPr>
                <w:rFonts w:ascii="黑体" w:hAnsi="黑体" w:cs="宋体"/>
                <w:b/>
                <w:sz w:val="24"/>
                <w:szCs w:val="24"/>
                <w:lang w:bidi="ar-SA"/>
              </w:rPr>
            </w:pPr>
            <w:r>
              <w:rPr>
                <w:rFonts w:hint="eastAsia" w:ascii="黑体" w:hAnsi="黑体"/>
                <w:b/>
                <w:sz w:val="24"/>
                <w:szCs w:val="24"/>
                <w:highlight w:val="yellow"/>
                <w:lang w:bidi="ar-SA"/>
              </w:rPr>
              <w:t>各厂商投标前需提供20条样袋，我厂依《第三章采购规范及验收标准》（除版面印刷外）进行检测，检测合格厂商可通过报名审核，不合格厂商报名不予通过。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360" w:lineRule="exact"/>
              <w:jc w:val="center"/>
              <w:rPr>
                <w:rFonts w:ascii="黑体" w:hAnsi="黑体" w:eastAsia="黑体" w:cs="宋体"/>
                <w:b/>
                <w:sz w:val="24"/>
              </w:rPr>
            </w:pPr>
            <w:r>
              <w:rPr>
                <w:rFonts w:hint="eastAsia" w:ascii="黑体" w:hAnsi="黑体" w:eastAsia="黑体" w:cs="宋体"/>
                <w:b/>
                <w:sz w:val="24"/>
              </w:rPr>
              <w:t>开标时间</w:t>
            </w:r>
          </w:p>
        </w:tc>
        <w:tc>
          <w:tcPr>
            <w:tcW w:w="6946" w:type="dxa"/>
            <w:vAlign w:val="center"/>
          </w:tcPr>
          <w:p>
            <w:pPr>
              <w:spacing w:line="360" w:lineRule="exact"/>
              <w:rPr>
                <w:rFonts w:ascii="黑体" w:hAnsi="黑体" w:eastAsia="黑体" w:cs="宋体"/>
                <w:b/>
                <w:color w:val="FF0000"/>
                <w:spacing w:val="-10"/>
                <w:sz w:val="24"/>
                <w:u w:val="single"/>
              </w:rPr>
            </w:pPr>
            <w:r>
              <w:rPr>
                <w:rFonts w:hint="eastAsia" w:ascii="黑体" w:hAnsi="黑体" w:eastAsia="黑体" w:cs="宋体"/>
                <w:b/>
                <w:sz w:val="24"/>
              </w:rPr>
              <w:t>开标时间：同金隅冀东阳光平台报价截止时间。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360" w:lineRule="exact"/>
              <w:jc w:val="center"/>
              <w:rPr>
                <w:rFonts w:ascii="黑体" w:hAnsi="黑体" w:eastAsia="黑体" w:cs="宋体"/>
                <w:b/>
                <w:sz w:val="24"/>
              </w:rPr>
            </w:pPr>
            <w:r>
              <w:rPr>
                <w:rFonts w:hint="eastAsia" w:ascii="黑体" w:hAnsi="黑体" w:eastAsia="黑体" w:cs="宋体"/>
                <w:b/>
                <w:sz w:val="24"/>
              </w:rPr>
              <w:t>投标保证金</w:t>
            </w:r>
          </w:p>
        </w:tc>
        <w:tc>
          <w:tcPr>
            <w:tcW w:w="6946" w:type="dxa"/>
            <w:vAlign w:val="center"/>
          </w:tcPr>
          <w:p>
            <w:pPr>
              <w:spacing w:line="360" w:lineRule="exact"/>
              <w:jc w:val="center"/>
              <w:rPr>
                <w:rFonts w:ascii="黑体" w:hAnsi="黑体" w:eastAsia="黑体" w:cs="宋体"/>
                <w:b/>
                <w:sz w:val="24"/>
              </w:rPr>
            </w:pPr>
            <w:r>
              <w:rPr>
                <w:rFonts w:hint="eastAsia" w:ascii="黑体" w:hAnsi="黑体" w:eastAsia="黑体" w:cs="宋体"/>
                <w:b/>
                <w:sz w:val="24"/>
                <w:highlight w:val="yellow"/>
              </w:rPr>
              <w:t>投标前需缴交1万元投标保证金。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360" w:lineRule="exact"/>
              <w:jc w:val="center"/>
              <w:rPr>
                <w:rFonts w:ascii="黑体" w:hAnsi="黑体" w:eastAsia="黑体"/>
                <w:b/>
                <w:sz w:val="24"/>
              </w:rPr>
            </w:pPr>
            <w:r>
              <w:rPr>
                <w:rFonts w:hint="eastAsia" w:ascii="黑体" w:hAnsi="黑体" w:eastAsia="黑体"/>
                <w:b/>
                <w:color w:val="FFFFFF" w:themeColor="background1"/>
                <w:sz w:val="24"/>
                <w:highlight w:val="red"/>
                <w14:textFill>
                  <w14:solidFill>
                    <w14:schemeClr w14:val="bg1"/>
                  </w14:solidFill>
                </w14:textFill>
              </w:rPr>
              <w:t>最高限价</w:t>
            </w:r>
          </w:p>
        </w:tc>
        <w:tc>
          <w:tcPr>
            <w:tcW w:w="6946" w:type="dxa"/>
            <w:vAlign w:val="center"/>
          </w:tcPr>
          <w:p>
            <w:pPr>
              <w:spacing w:line="360" w:lineRule="exact"/>
              <w:jc w:val="center"/>
              <w:rPr>
                <w:rFonts w:ascii="黑体" w:hAnsi="黑体" w:eastAsia="黑体"/>
                <w:b/>
                <w:color w:val="FFFFFF" w:themeColor="background1"/>
                <w:sz w:val="24"/>
                <w14:textFill>
                  <w14:solidFill>
                    <w14:schemeClr w14:val="bg1"/>
                  </w14:solidFill>
                </w14:textFill>
              </w:rPr>
            </w:pPr>
            <w:r>
              <w:rPr>
                <w:rFonts w:hint="eastAsia" w:ascii="黑体" w:hAnsi="黑体" w:eastAsia="黑体"/>
                <w:b/>
                <w:color w:val="FFFFFF" w:themeColor="background1"/>
                <w:sz w:val="28"/>
                <w:highlight w:val="red"/>
                <w14:textFill>
                  <w14:solidFill>
                    <w14:schemeClr w14:val="bg1"/>
                  </w14:solidFill>
                </w14:textFill>
              </w:rPr>
              <w:t>含税1元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exac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360" w:lineRule="exact"/>
              <w:jc w:val="center"/>
              <w:rPr>
                <w:rFonts w:ascii="黑体" w:hAnsi="黑体" w:eastAsia="黑体" w:cs="宋体"/>
                <w:b/>
                <w:sz w:val="24"/>
              </w:rPr>
            </w:pPr>
            <w:r>
              <w:rPr>
                <w:rFonts w:hint="eastAsia" w:ascii="黑体" w:hAnsi="黑体" w:eastAsia="黑体"/>
                <w:b/>
                <w:sz w:val="24"/>
              </w:rPr>
              <w:t>注意事项：</w:t>
            </w:r>
          </w:p>
        </w:tc>
        <w:tc>
          <w:tcPr>
            <w:tcW w:w="6946" w:type="dxa"/>
          </w:tcPr>
          <w:p>
            <w:pPr>
              <w:spacing w:line="360" w:lineRule="exact"/>
              <w:rPr>
                <w:rFonts w:ascii="黑体" w:hAnsi="黑体" w:eastAsia="黑体" w:cs="宋体"/>
                <w:b/>
                <w:sz w:val="24"/>
              </w:rPr>
            </w:pPr>
            <w:r>
              <w:rPr>
                <w:rFonts w:hint="eastAsia" w:ascii="黑体" w:hAnsi="黑体" w:eastAsia="黑体"/>
                <w:b/>
                <w:sz w:val="24"/>
              </w:rPr>
              <w:t>报价采用网上平台</w:t>
            </w:r>
            <w:r>
              <w:rPr>
                <w:rFonts w:hint="eastAsia" w:ascii="黑体" w:hAnsi="黑体" w:eastAsia="黑体"/>
                <w:b/>
                <w:sz w:val="24"/>
                <w:highlight w:val="yellow"/>
              </w:rPr>
              <w:t>一次报价为准</w:t>
            </w:r>
            <w:r>
              <w:rPr>
                <w:rFonts w:hint="eastAsia" w:ascii="黑体" w:hAnsi="黑体" w:eastAsia="黑体"/>
                <w:b/>
                <w:sz w:val="24"/>
              </w:rPr>
              <w:t>，</w:t>
            </w:r>
            <w:r>
              <w:rPr>
                <w:rFonts w:hint="eastAsia" w:ascii="黑体" w:hAnsi="黑体" w:eastAsia="黑体"/>
                <w:b/>
                <w:sz w:val="24"/>
                <w:highlight w:val="yellow"/>
              </w:rPr>
              <w:t>不再进行二次澄清报价</w:t>
            </w:r>
            <w:r>
              <w:rPr>
                <w:rFonts w:hint="eastAsia" w:ascii="黑体" w:hAnsi="黑体" w:eastAsia="黑体"/>
                <w:b/>
                <w:sz w:val="24"/>
              </w:rPr>
              <w:t>。投标文件中开标报价表内容与阳光采购平台报价表不一致时，</w:t>
            </w:r>
            <w:r>
              <w:rPr>
                <w:rFonts w:hint="eastAsia" w:ascii="黑体" w:hAnsi="黑体" w:eastAsia="黑体"/>
                <w:b/>
                <w:sz w:val="24"/>
                <w:highlight w:val="yellow"/>
              </w:rPr>
              <w:t>以价格最低的为准；</w:t>
            </w:r>
            <w:r>
              <w:rPr>
                <w:rFonts w:hint="eastAsia" w:ascii="黑体" w:hAnsi="黑体" w:eastAsia="黑体"/>
                <w:b/>
                <w:sz w:val="24"/>
              </w:rPr>
              <w:t>所有报价均以人民币为准，若大写金额与小写金额不符时，则以大写金额为准。</w:t>
            </w:r>
            <w:r>
              <w:rPr>
                <w:rFonts w:hint="eastAsia" w:ascii="黑体" w:hAnsi="黑体" w:eastAsia="黑体"/>
                <w:b/>
                <w:sz w:val="24"/>
                <w:highlight w:val="yellow"/>
              </w:rPr>
              <w:t>投标文件均需盖章，以资慎重。</w:t>
            </w:r>
            <w:r>
              <w:rPr>
                <w:rFonts w:hint="eastAsia" w:ascii="黑体" w:hAnsi="黑体" w:eastAsia="黑体"/>
                <w:b/>
                <w:sz w:val="24"/>
              </w:rPr>
              <w:t>投标单位确认报价后提供开标密码，评委现场评标。（提醒：投标方应在报价前详细阅读招标公告内容，若有不详之处与联系人及时沟通，谨慎填写价格）。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709" w:type="dxa"/>
            <w:vAlign w:val="center"/>
          </w:tcPr>
          <w:p>
            <w:pPr>
              <w:numPr>
                <w:ilvl w:val="0"/>
                <w:numId w:val="1"/>
              </w:numPr>
              <w:spacing w:line="500" w:lineRule="exact"/>
              <w:jc w:val="center"/>
              <w:rPr>
                <w:rFonts w:ascii="黑体" w:hAnsi="黑体" w:eastAsia="黑体" w:cs="宋体"/>
                <w:b/>
                <w:sz w:val="24"/>
              </w:rPr>
            </w:pPr>
          </w:p>
        </w:tc>
        <w:tc>
          <w:tcPr>
            <w:tcW w:w="2268" w:type="dxa"/>
            <w:vAlign w:val="center"/>
          </w:tcPr>
          <w:p>
            <w:pPr>
              <w:spacing w:line="360" w:lineRule="exact"/>
              <w:rPr>
                <w:rFonts w:ascii="黑体" w:hAnsi="黑体" w:eastAsia="黑体"/>
                <w:b/>
                <w:sz w:val="24"/>
              </w:rPr>
            </w:pPr>
            <w:r>
              <w:rPr>
                <w:rFonts w:hint="eastAsia" w:ascii="黑体" w:hAnsi="黑体" w:eastAsia="黑体"/>
                <w:b/>
                <w:sz w:val="24"/>
              </w:rPr>
              <w:t>付款方式</w:t>
            </w:r>
          </w:p>
        </w:tc>
        <w:tc>
          <w:tcPr>
            <w:tcW w:w="6946" w:type="dxa"/>
            <w:vAlign w:val="center"/>
          </w:tcPr>
          <w:p>
            <w:pPr>
              <w:spacing w:line="360" w:lineRule="exact"/>
              <w:jc w:val="center"/>
              <w:rPr>
                <w:rFonts w:ascii="黑体" w:hAnsi="黑体" w:eastAsia="黑体"/>
                <w:b/>
                <w:sz w:val="24"/>
              </w:rPr>
            </w:pPr>
            <w:r>
              <w:rPr>
                <w:rFonts w:hint="eastAsia" w:ascii="黑体" w:hAnsi="黑体" w:eastAsia="黑体"/>
                <w:b/>
                <w:sz w:val="24"/>
                <w:highlight w:val="yellow"/>
              </w:rPr>
              <w:t>全部货品供货完成，待检验指标全部检测完成后，依合同办理结算，双方确认无误后卖方开具发票，买方收到卖方开具含税全额发票，月结30天，以</w:t>
            </w:r>
            <w:r>
              <w:rPr>
                <w:rFonts w:hint="eastAsia" w:ascii="黑体" w:hAnsi="黑体" w:eastAsia="黑体"/>
                <w:b/>
                <w:sz w:val="24"/>
                <w:highlight w:val="red"/>
              </w:rPr>
              <w:t>承兑</w:t>
            </w:r>
            <w:r>
              <w:rPr>
                <w:rFonts w:hint="eastAsia" w:ascii="黑体" w:hAnsi="黑体" w:eastAsia="黑体"/>
                <w:b/>
                <w:sz w:val="24"/>
                <w:highlight w:val="yellow"/>
              </w:rPr>
              <w:t>方式支付全款。</w:t>
            </w:r>
          </w:p>
        </w:tc>
      </w:tr>
    </w:tbl>
    <w:p>
      <w:pPr>
        <w:spacing w:line="450" w:lineRule="exact"/>
        <w:rPr>
          <w:rFonts w:ascii="黑体" w:hAnsi="黑体" w:eastAsia="黑体"/>
          <w:b/>
          <w:sz w:val="24"/>
        </w:rPr>
      </w:pPr>
      <w:r>
        <w:rPr>
          <w:rFonts w:hint="eastAsia" w:ascii="黑体" w:hAnsi="黑体" w:eastAsia="黑体"/>
          <w:b/>
          <w:sz w:val="24"/>
        </w:rPr>
        <w:t>二、投标人须知正文部分</w:t>
      </w:r>
    </w:p>
    <w:p>
      <w:pPr>
        <w:pStyle w:val="4"/>
        <w:spacing w:before="0" w:after="0" w:line="480" w:lineRule="exact"/>
        <w:rPr>
          <w:rFonts w:ascii="黑体" w:hAnsi="黑体" w:cs="宋体"/>
          <w:sz w:val="24"/>
          <w:szCs w:val="24"/>
        </w:rPr>
      </w:pPr>
      <w:bookmarkStart w:id="46" w:name="_Toc8752"/>
      <w:r>
        <w:rPr>
          <w:rFonts w:hint="eastAsia" w:ascii="黑体" w:hAnsi="黑体" w:cs="宋体"/>
          <w:sz w:val="24"/>
          <w:szCs w:val="24"/>
        </w:rPr>
        <w:t>1.总则</w:t>
      </w:r>
      <w:bookmarkEnd w:id="46"/>
    </w:p>
    <w:p>
      <w:pPr>
        <w:pStyle w:val="5"/>
        <w:spacing w:before="0" w:after="0" w:line="480" w:lineRule="exact"/>
        <w:rPr>
          <w:rFonts w:ascii="黑体" w:hAnsi="黑体" w:cs="宋体"/>
          <w:b/>
          <w:bCs w:val="0"/>
          <w:sz w:val="24"/>
          <w:szCs w:val="24"/>
        </w:rPr>
      </w:pPr>
      <w:bookmarkStart w:id="47" w:name="_Toc347996703"/>
      <w:bookmarkStart w:id="48" w:name="_Toc448700492"/>
      <w:bookmarkStart w:id="49" w:name="_Toc152045530"/>
      <w:bookmarkStart w:id="50" w:name="_Toc18986"/>
      <w:bookmarkStart w:id="51" w:name="_Toc144974498"/>
      <w:bookmarkStart w:id="52" w:name="_Toc152042306"/>
      <w:bookmarkStart w:id="53" w:name="_Toc179632547"/>
      <w:bookmarkStart w:id="54" w:name="_Toc1514"/>
      <w:r>
        <w:rPr>
          <w:rFonts w:hint="eastAsia" w:ascii="黑体" w:hAnsi="黑体" w:cs="宋体"/>
          <w:b/>
          <w:bCs w:val="0"/>
          <w:sz w:val="24"/>
          <w:szCs w:val="24"/>
        </w:rPr>
        <w:t>1.1项目概况</w:t>
      </w:r>
      <w:bookmarkEnd w:id="47"/>
      <w:bookmarkEnd w:id="48"/>
      <w:bookmarkEnd w:id="49"/>
      <w:bookmarkEnd w:id="50"/>
      <w:bookmarkEnd w:id="51"/>
      <w:bookmarkEnd w:id="52"/>
      <w:bookmarkEnd w:id="53"/>
      <w:bookmarkEnd w:id="54"/>
    </w:p>
    <w:p>
      <w:pPr>
        <w:spacing w:line="480" w:lineRule="exact"/>
        <w:ind w:firstLine="482" w:firstLineChars="200"/>
        <w:rPr>
          <w:rFonts w:ascii="黑体" w:hAnsi="黑体" w:eastAsia="黑体" w:cs="宋体"/>
          <w:b/>
          <w:sz w:val="24"/>
        </w:rPr>
      </w:pPr>
      <w:r>
        <w:rPr>
          <w:rFonts w:hint="eastAsia" w:ascii="黑体" w:hAnsi="黑体" w:eastAsia="黑体" w:cs="宋体"/>
          <w:b/>
          <w:sz w:val="24"/>
        </w:rPr>
        <w:t>1.1.1根据国家有关法律、法规和规章的规定，本招标项目已具备招标条件，现进行招标。</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1.1.2本招标项目招标人：见投标人须知前附表。</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1.1.3本招标项目名称（或工程代号）：见投标人须知前附表。</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1.1.4本招标项目建设地点：见投标人须知前附表。</w:t>
      </w:r>
    </w:p>
    <w:p>
      <w:pPr>
        <w:pStyle w:val="5"/>
        <w:spacing w:before="0" w:after="0" w:line="480" w:lineRule="exact"/>
        <w:rPr>
          <w:rFonts w:ascii="黑体" w:hAnsi="黑体" w:cs="宋体"/>
          <w:b/>
          <w:bCs w:val="0"/>
          <w:sz w:val="24"/>
          <w:szCs w:val="24"/>
        </w:rPr>
      </w:pPr>
      <w:bookmarkStart w:id="55" w:name="_Toc152045531"/>
      <w:bookmarkStart w:id="56" w:name="_Toc30445"/>
      <w:bookmarkStart w:id="57" w:name="_Toc448700493"/>
      <w:bookmarkStart w:id="58" w:name="_Toc144974499"/>
      <w:bookmarkStart w:id="59" w:name="_Toc152042307"/>
      <w:bookmarkStart w:id="60" w:name="_Toc179632548"/>
      <w:bookmarkStart w:id="61" w:name="_Toc347996704"/>
      <w:bookmarkStart w:id="62" w:name="_Toc16143"/>
      <w:r>
        <w:rPr>
          <w:rFonts w:hint="eastAsia" w:ascii="黑体" w:hAnsi="黑体" w:cs="宋体"/>
          <w:b/>
          <w:bCs w:val="0"/>
          <w:sz w:val="24"/>
          <w:szCs w:val="24"/>
        </w:rPr>
        <w:t>1.2资金来源和落实情况</w:t>
      </w:r>
      <w:bookmarkEnd w:id="55"/>
      <w:bookmarkEnd w:id="56"/>
      <w:bookmarkEnd w:id="57"/>
      <w:bookmarkEnd w:id="58"/>
      <w:bookmarkEnd w:id="59"/>
      <w:bookmarkEnd w:id="60"/>
      <w:bookmarkEnd w:id="61"/>
      <w:bookmarkEnd w:id="62"/>
    </w:p>
    <w:p>
      <w:pPr>
        <w:spacing w:line="480" w:lineRule="exact"/>
        <w:ind w:firstLine="482" w:firstLineChars="200"/>
        <w:rPr>
          <w:rFonts w:ascii="黑体" w:hAnsi="黑体" w:eastAsia="黑体" w:cs="宋体"/>
          <w:b/>
          <w:sz w:val="24"/>
        </w:rPr>
      </w:pPr>
      <w:r>
        <w:rPr>
          <w:rFonts w:hint="eastAsia" w:ascii="黑体" w:hAnsi="黑体" w:eastAsia="黑体" w:cs="宋体"/>
          <w:b/>
          <w:sz w:val="24"/>
        </w:rPr>
        <w:t>1.2.1本招标项目的资金来源：见投标人须知前附表。</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1.2.2本招标项目的资金落实情况：见投标人须知前附表。</w:t>
      </w:r>
    </w:p>
    <w:p>
      <w:pPr>
        <w:pStyle w:val="5"/>
        <w:spacing w:before="0" w:after="0" w:line="480" w:lineRule="exact"/>
        <w:rPr>
          <w:rFonts w:ascii="黑体" w:hAnsi="黑体" w:cs="宋体"/>
          <w:b/>
          <w:bCs w:val="0"/>
          <w:sz w:val="24"/>
          <w:szCs w:val="24"/>
        </w:rPr>
      </w:pPr>
      <w:bookmarkStart w:id="63" w:name="_Toc31037"/>
      <w:bookmarkStart w:id="64" w:name="_Toc448700494"/>
      <w:bookmarkStart w:id="65" w:name="_Toc347996705"/>
      <w:bookmarkStart w:id="66" w:name="_Toc152042308"/>
      <w:bookmarkStart w:id="67" w:name="_Toc144974500"/>
      <w:bookmarkStart w:id="68" w:name="_Toc13330"/>
      <w:bookmarkStart w:id="69" w:name="_Toc179632549"/>
      <w:bookmarkStart w:id="70" w:name="_Toc152045532"/>
      <w:r>
        <w:rPr>
          <w:rFonts w:hint="eastAsia" w:ascii="黑体" w:hAnsi="黑体" w:cs="宋体"/>
          <w:b/>
          <w:bCs w:val="0"/>
          <w:sz w:val="24"/>
          <w:szCs w:val="24"/>
        </w:rPr>
        <w:t>1.3招标范围、计划工期和质量要求</w:t>
      </w:r>
      <w:bookmarkEnd w:id="63"/>
      <w:bookmarkEnd w:id="64"/>
      <w:bookmarkEnd w:id="65"/>
      <w:bookmarkEnd w:id="66"/>
      <w:bookmarkEnd w:id="67"/>
      <w:bookmarkEnd w:id="68"/>
      <w:bookmarkEnd w:id="69"/>
      <w:bookmarkEnd w:id="70"/>
    </w:p>
    <w:p>
      <w:pPr>
        <w:spacing w:line="480" w:lineRule="exact"/>
        <w:ind w:firstLine="482" w:firstLineChars="200"/>
        <w:rPr>
          <w:rFonts w:ascii="黑体" w:hAnsi="黑体" w:eastAsia="黑体" w:cs="宋体"/>
          <w:b/>
          <w:sz w:val="24"/>
        </w:rPr>
      </w:pPr>
      <w:r>
        <w:rPr>
          <w:rFonts w:hint="eastAsia" w:ascii="黑体" w:hAnsi="黑体" w:eastAsia="黑体" w:cs="宋体"/>
          <w:b/>
          <w:sz w:val="24"/>
        </w:rPr>
        <w:t>1.3.1本次招标范围：见投标人须知前附表。</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1.3.2本招标项目的交货日期：见投标人须知前附表。</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1.3.3本招标项目的质量要求：见投标人须知前附表、采购规范及验收标准。</w:t>
      </w:r>
    </w:p>
    <w:p>
      <w:pPr>
        <w:pStyle w:val="25"/>
        <w:spacing w:line="480" w:lineRule="exact"/>
        <w:outlineLvl w:val="0"/>
        <w:rPr>
          <w:rFonts w:ascii="黑体" w:hAnsi="黑体" w:cs="宋体"/>
          <w:b/>
        </w:rPr>
      </w:pPr>
      <w:bookmarkStart w:id="71" w:name="_Toc342294717"/>
      <w:bookmarkStart w:id="72" w:name="_Toc349730844"/>
      <w:bookmarkStart w:id="73" w:name="_Toc338943703"/>
      <w:bookmarkStart w:id="74" w:name="_Toc333599662"/>
      <w:bookmarkStart w:id="75" w:name="_Toc333587856"/>
      <w:bookmarkStart w:id="76" w:name="_Toc342296165"/>
      <w:bookmarkStart w:id="77" w:name="_Toc333600686"/>
      <w:bookmarkStart w:id="78" w:name="_Toc338944608"/>
      <w:bookmarkStart w:id="79" w:name="_Toc429569103"/>
      <w:bookmarkStart w:id="80" w:name="_Toc19300"/>
      <w:r>
        <w:rPr>
          <w:rFonts w:hint="eastAsia" w:ascii="黑体" w:hAnsi="黑体" w:cs="宋体"/>
          <w:b/>
        </w:rPr>
        <w:t>1.4投标人资格要求</w:t>
      </w:r>
      <w:bookmarkEnd w:id="71"/>
      <w:bookmarkEnd w:id="72"/>
      <w:bookmarkEnd w:id="73"/>
      <w:bookmarkEnd w:id="74"/>
      <w:bookmarkEnd w:id="75"/>
      <w:bookmarkEnd w:id="76"/>
      <w:bookmarkEnd w:id="77"/>
      <w:bookmarkEnd w:id="78"/>
      <w:bookmarkEnd w:id="79"/>
      <w:bookmarkEnd w:id="80"/>
    </w:p>
    <w:p>
      <w:pPr>
        <w:spacing w:line="480" w:lineRule="exact"/>
        <w:ind w:firstLine="482" w:firstLineChars="200"/>
        <w:rPr>
          <w:rFonts w:ascii="黑体" w:hAnsi="黑体" w:eastAsia="黑体" w:cs="宋体"/>
          <w:b/>
          <w:sz w:val="24"/>
        </w:rPr>
      </w:pPr>
      <w:r>
        <w:rPr>
          <w:rFonts w:hint="eastAsia" w:ascii="黑体" w:hAnsi="黑体" w:eastAsia="黑体" w:cs="宋体"/>
          <w:b/>
          <w:sz w:val="24"/>
        </w:rPr>
        <w:t>投标人应符合招标公告中明确的投标人资格要求。</w:t>
      </w:r>
    </w:p>
    <w:p>
      <w:pPr>
        <w:pStyle w:val="5"/>
        <w:spacing w:before="0" w:after="0" w:line="480" w:lineRule="exact"/>
        <w:rPr>
          <w:rFonts w:ascii="黑体" w:hAnsi="黑体" w:cs="宋体"/>
          <w:b/>
          <w:bCs w:val="0"/>
          <w:sz w:val="24"/>
          <w:szCs w:val="24"/>
        </w:rPr>
      </w:pPr>
      <w:bookmarkStart w:id="81" w:name="_Toc24216"/>
      <w:bookmarkStart w:id="82" w:name="_Toc144974503"/>
      <w:bookmarkStart w:id="83" w:name="_Toc23377"/>
      <w:bookmarkStart w:id="84" w:name="_Toc448700496"/>
      <w:bookmarkStart w:id="85" w:name="_Toc152042311"/>
      <w:bookmarkStart w:id="86" w:name="_Toc179632552"/>
      <w:bookmarkStart w:id="87" w:name="_Toc347996707"/>
      <w:bookmarkStart w:id="88" w:name="_Toc152045535"/>
      <w:r>
        <w:rPr>
          <w:rFonts w:hint="eastAsia" w:ascii="黑体" w:hAnsi="黑体" w:cs="宋体"/>
          <w:b/>
          <w:bCs w:val="0"/>
          <w:sz w:val="24"/>
          <w:szCs w:val="24"/>
        </w:rPr>
        <w:t>1.5费用承担</w:t>
      </w:r>
      <w:bookmarkEnd w:id="81"/>
      <w:bookmarkEnd w:id="82"/>
      <w:bookmarkEnd w:id="83"/>
      <w:bookmarkEnd w:id="84"/>
      <w:bookmarkEnd w:id="85"/>
      <w:bookmarkEnd w:id="86"/>
      <w:bookmarkEnd w:id="87"/>
      <w:bookmarkEnd w:id="88"/>
    </w:p>
    <w:p>
      <w:pPr>
        <w:spacing w:line="480" w:lineRule="exact"/>
        <w:ind w:firstLine="482" w:firstLineChars="200"/>
        <w:rPr>
          <w:rFonts w:ascii="黑体" w:hAnsi="黑体" w:eastAsia="黑体" w:cs="宋体"/>
          <w:b/>
          <w:sz w:val="24"/>
        </w:rPr>
      </w:pPr>
      <w:r>
        <w:rPr>
          <w:rFonts w:hint="eastAsia" w:ascii="黑体" w:hAnsi="黑体" w:eastAsia="黑体" w:cs="宋体"/>
          <w:b/>
          <w:sz w:val="24"/>
        </w:rPr>
        <w:t>无</w:t>
      </w:r>
    </w:p>
    <w:p>
      <w:pPr>
        <w:pStyle w:val="5"/>
        <w:spacing w:before="0" w:after="0" w:line="480" w:lineRule="exact"/>
        <w:rPr>
          <w:rFonts w:ascii="黑体" w:hAnsi="黑体" w:cs="宋体"/>
          <w:b/>
          <w:bCs w:val="0"/>
          <w:sz w:val="24"/>
          <w:szCs w:val="24"/>
        </w:rPr>
      </w:pPr>
      <w:bookmarkStart w:id="89" w:name="_Toc144974504"/>
      <w:bookmarkStart w:id="90" w:name="_Toc22964"/>
      <w:bookmarkStart w:id="91" w:name="_Toc152045536"/>
      <w:bookmarkStart w:id="92" w:name="_Toc152042312"/>
      <w:bookmarkStart w:id="93" w:name="_Toc448700497"/>
      <w:bookmarkStart w:id="94" w:name="_Toc28611"/>
      <w:bookmarkStart w:id="95" w:name="_Toc179632553"/>
      <w:bookmarkStart w:id="96" w:name="_Toc347996708"/>
      <w:r>
        <w:rPr>
          <w:rFonts w:hint="eastAsia" w:ascii="黑体" w:hAnsi="黑体" w:cs="宋体"/>
          <w:b/>
          <w:bCs w:val="0"/>
          <w:sz w:val="24"/>
          <w:szCs w:val="24"/>
        </w:rPr>
        <w:t>1.6保密</w:t>
      </w:r>
      <w:bookmarkEnd w:id="89"/>
      <w:bookmarkEnd w:id="90"/>
      <w:bookmarkEnd w:id="91"/>
      <w:bookmarkEnd w:id="92"/>
      <w:bookmarkEnd w:id="93"/>
      <w:bookmarkEnd w:id="94"/>
      <w:bookmarkEnd w:id="95"/>
      <w:bookmarkEnd w:id="96"/>
    </w:p>
    <w:p>
      <w:pPr>
        <w:spacing w:line="480" w:lineRule="exact"/>
        <w:ind w:firstLine="482" w:firstLineChars="200"/>
        <w:rPr>
          <w:rFonts w:ascii="黑体" w:hAnsi="黑体" w:eastAsia="黑体" w:cs="宋体"/>
          <w:b/>
          <w:sz w:val="24"/>
        </w:rPr>
      </w:pPr>
      <w:r>
        <w:rPr>
          <w:rFonts w:hint="eastAsia" w:ascii="黑体" w:hAnsi="黑体" w:eastAsia="黑体" w:cs="宋体"/>
          <w:b/>
          <w:sz w:val="24"/>
        </w:rPr>
        <w:t>参与招标投标活动的各方应对招标文件和投标文件中的商业和技术等秘密保密，违者应对由此造成的后果承担法律责任。</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对涉及工程文件、图纸、资料的人员要严格进行保密教育，严守国家保密规定，各种文件、图纸、资料的传递转交要严格履行手续。对违反保密规定造成失泄密者，除追究当事人的责任外，还要追究法定代表人的责任，严重的移交司法机关处理。</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招标人对有关保密的其他要求：无。</w:t>
      </w:r>
    </w:p>
    <w:p>
      <w:pPr>
        <w:pStyle w:val="5"/>
        <w:spacing w:before="0" w:after="0" w:line="480" w:lineRule="exact"/>
        <w:rPr>
          <w:rFonts w:ascii="黑体" w:hAnsi="黑体" w:cs="宋体"/>
          <w:b/>
          <w:bCs w:val="0"/>
          <w:sz w:val="24"/>
          <w:szCs w:val="24"/>
        </w:rPr>
      </w:pPr>
      <w:bookmarkStart w:id="97" w:name="_Toc144974505"/>
      <w:bookmarkStart w:id="98" w:name="_Toc25753"/>
      <w:bookmarkStart w:id="99" w:name="_Toc152045537"/>
      <w:bookmarkStart w:id="100" w:name="_Toc347996709"/>
      <w:bookmarkStart w:id="101" w:name="_Toc152042313"/>
      <w:bookmarkStart w:id="102" w:name="_Toc448700498"/>
      <w:bookmarkStart w:id="103" w:name="_Toc30421"/>
      <w:bookmarkStart w:id="104" w:name="_Toc179632554"/>
      <w:r>
        <w:rPr>
          <w:rFonts w:hint="eastAsia" w:ascii="黑体" w:hAnsi="黑体" w:cs="宋体"/>
          <w:b/>
          <w:bCs w:val="0"/>
          <w:sz w:val="24"/>
          <w:szCs w:val="24"/>
        </w:rPr>
        <w:t>1.7语言</w:t>
      </w:r>
      <w:bookmarkEnd w:id="97"/>
      <w:r>
        <w:rPr>
          <w:rFonts w:hint="eastAsia" w:ascii="黑体" w:hAnsi="黑体" w:cs="宋体"/>
          <w:b/>
          <w:bCs w:val="0"/>
          <w:sz w:val="24"/>
          <w:szCs w:val="24"/>
        </w:rPr>
        <w:t>文字</w:t>
      </w:r>
      <w:bookmarkEnd w:id="98"/>
      <w:bookmarkEnd w:id="99"/>
      <w:bookmarkEnd w:id="100"/>
      <w:bookmarkEnd w:id="101"/>
      <w:bookmarkEnd w:id="102"/>
      <w:bookmarkEnd w:id="103"/>
      <w:bookmarkEnd w:id="104"/>
    </w:p>
    <w:p>
      <w:pPr>
        <w:spacing w:line="480" w:lineRule="exact"/>
        <w:ind w:firstLine="482" w:firstLineChars="200"/>
        <w:rPr>
          <w:rFonts w:ascii="黑体" w:hAnsi="黑体" w:eastAsia="黑体" w:cs="宋体"/>
          <w:b/>
          <w:sz w:val="24"/>
        </w:rPr>
      </w:pPr>
      <w:r>
        <w:rPr>
          <w:rFonts w:hint="eastAsia" w:ascii="黑体" w:hAnsi="黑体" w:eastAsia="黑体" w:cs="宋体"/>
          <w:b/>
          <w:sz w:val="24"/>
        </w:rPr>
        <w:t>除专用术语外，与招标投标有关的语言均使用中文。必要时专用术语应附有中文注释。</w:t>
      </w:r>
    </w:p>
    <w:p>
      <w:pPr>
        <w:pStyle w:val="5"/>
        <w:spacing w:before="0" w:after="0" w:line="480" w:lineRule="exact"/>
        <w:rPr>
          <w:rFonts w:ascii="黑体" w:hAnsi="黑体" w:cs="宋体"/>
          <w:b/>
          <w:bCs w:val="0"/>
          <w:sz w:val="24"/>
          <w:szCs w:val="24"/>
        </w:rPr>
      </w:pPr>
      <w:bookmarkStart w:id="105" w:name="_Toc152045538"/>
      <w:bookmarkStart w:id="106" w:name="_Toc6472"/>
      <w:bookmarkStart w:id="107" w:name="_Toc23602"/>
      <w:bookmarkStart w:id="108" w:name="_Toc347996710"/>
      <w:bookmarkStart w:id="109" w:name="_Toc152042314"/>
      <w:bookmarkStart w:id="110" w:name="_Toc448700499"/>
      <w:bookmarkStart w:id="111" w:name="_Toc144974506"/>
      <w:bookmarkStart w:id="112" w:name="_Toc179632555"/>
      <w:r>
        <w:rPr>
          <w:rFonts w:hint="eastAsia" w:ascii="黑体" w:hAnsi="黑体" w:cs="宋体"/>
          <w:b/>
          <w:bCs w:val="0"/>
          <w:sz w:val="24"/>
          <w:szCs w:val="24"/>
        </w:rPr>
        <w:t>1.8计量单位</w:t>
      </w:r>
      <w:bookmarkEnd w:id="105"/>
      <w:bookmarkEnd w:id="106"/>
      <w:bookmarkEnd w:id="107"/>
      <w:bookmarkEnd w:id="108"/>
      <w:bookmarkEnd w:id="109"/>
      <w:bookmarkEnd w:id="110"/>
      <w:bookmarkEnd w:id="111"/>
      <w:bookmarkEnd w:id="112"/>
    </w:p>
    <w:p>
      <w:pPr>
        <w:spacing w:line="480" w:lineRule="exact"/>
        <w:ind w:firstLine="482" w:firstLineChars="200"/>
        <w:rPr>
          <w:rFonts w:ascii="黑体" w:hAnsi="黑体" w:eastAsia="黑体" w:cs="宋体"/>
          <w:b/>
          <w:sz w:val="24"/>
        </w:rPr>
      </w:pPr>
      <w:r>
        <w:rPr>
          <w:rFonts w:hint="eastAsia" w:ascii="黑体" w:hAnsi="黑体" w:eastAsia="黑体" w:cs="宋体"/>
          <w:b/>
          <w:sz w:val="24"/>
        </w:rPr>
        <w:t>所有计量均采用中华人民共和国法定计量单位。</w:t>
      </w:r>
    </w:p>
    <w:p>
      <w:pPr>
        <w:pStyle w:val="2"/>
        <w:spacing w:line="480" w:lineRule="exact"/>
        <w:rPr>
          <w:rFonts w:ascii="黑体" w:hAnsi="黑体" w:cs="宋体"/>
          <w:b/>
          <w:bCs/>
          <w:sz w:val="24"/>
          <w:szCs w:val="24"/>
        </w:rPr>
      </w:pPr>
      <w:r>
        <w:rPr>
          <w:rFonts w:hint="eastAsia" w:ascii="黑体" w:hAnsi="黑体" w:cs="宋体"/>
          <w:b/>
          <w:bCs/>
          <w:sz w:val="24"/>
          <w:szCs w:val="24"/>
        </w:rPr>
        <w:t>2、招标文件</w:t>
      </w:r>
    </w:p>
    <w:p>
      <w:pPr>
        <w:spacing w:line="480" w:lineRule="exact"/>
        <w:rPr>
          <w:rFonts w:ascii="黑体" w:hAnsi="黑体" w:eastAsia="黑体" w:cs="宋体"/>
          <w:b/>
          <w:sz w:val="24"/>
        </w:rPr>
      </w:pPr>
      <w:r>
        <w:rPr>
          <w:rFonts w:hint="eastAsia" w:ascii="黑体" w:hAnsi="黑体" w:eastAsia="黑体" w:cs="宋体"/>
          <w:b/>
          <w:sz w:val="24"/>
        </w:rPr>
        <w:t>2.1招标文件的组成</w:t>
      </w:r>
    </w:p>
    <w:p>
      <w:pPr>
        <w:spacing w:line="480" w:lineRule="exact"/>
        <w:ind w:firstLine="482" w:firstLineChars="200"/>
        <w:rPr>
          <w:rFonts w:ascii="黑体" w:hAnsi="黑体" w:eastAsia="黑体" w:cs="宋体"/>
          <w:b/>
          <w:sz w:val="24"/>
          <w:lang w:val="zh-CN"/>
        </w:rPr>
      </w:pPr>
      <w:r>
        <w:rPr>
          <w:rFonts w:hint="eastAsia" w:ascii="黑体" w:hAnsi="黑体" w:eastAsia="黑体" w:cs="宋体"/>
          <w:b/>
          <w:sz w:val="24"/>
        </w:rPr>
        <w:t>招标文件</w:t>
      </w:r>
      <w:r>
        <w:rPr>
          <w:rFonts w:hint="eastAsia" w:ascii="黑体" w:hAnsi="黑体" w:eastAsia="黑体" w:cs="宋体"/>
          <w:b/>
          <w:sz w:val="24"/>
          <w:lang w:val="zh-CN"/>
        </w:rPr>
        <w:t>由招标公告、</w:t>
      </w:r>
      <w:r>
        <w:rPr>
          <w:rFonts w:hint="eastAsia" w:ascii="黑体" w:hAnsi="黑体" w:eastAsia="黑体" w:cs="宋体"/>
          <w:b/>
          <w:sz w:val="24"/>
        </w:rPr>
        <w:t>投标人须知、项目概况及</w:t>
      </w:r>
      <w:r>
        <w:rPr>
          <w:rFonts w:hint="eastAsia" w:ascii="黑体" w:hAnsi="黑体" w:eastAsia="黑体" w:cs="宋体"/>
          <w:b/>
          <w:bCs/>
          <w:sz w:val="24"/>
          <w:lang w:val="zh-CN"/>
        </w:rPr>
        <w:t>技术和商务要求</w:t>
      </w:r>
      <w:r>
        <w:rPr>
          <w:rFonts w:hint="eastAsia" w:ascii="黑体" w:hAnsi="黑体" w:eastAsia="黑体" w:cs="宋体"/>
          <w:b/>
          <w:sz w:val="24"/>
          <w:lang w:val="zh-CN"/>
        </w:rPr>
        <w:t>、投标文件格式、评标办法和标准等内容构成。</w:t>
      </w:r>
    </w:p>
    <w:p>
      <w:pPr>
        <w:spacing w:line="480" w:lineRule="exact"/>
        <w:ind w:firstLine="482" w:firstLineChars="200"/>
        <w:rPr>
          <w:rFonts w:ascii="黑体" w:hAnsi="黑体" w:eastAsia="黑体" w:cs="宋体"/>
          <w:b/>
          <w:sz w:val="24"/>
          <w:lang w:val="zh-CN"/>
        </w:rPr>
      </w:pPr>
      <w:r>
        <w:rPr>
          <w:rFonts w:hint="eastAsia" w:ascii="黑体" w:hAnsi="黑体" w:eastAsia="黑体" w:cs="宋体"/>
          <w:b/>
          <w:sz w:val="24"/>
          <w:lang w:val="zh-CN"/>
        </w:rPr>
        <w:t>招标文件以中文编写。</w:t>
      </w:r>
    </w:p>
    <w:p>
      <w:pPr>
        <w:spacing w:line="480" w:lineRule="exact"/>
        <w:rPr>
          <w:rFonts w:ascii="黑体" w:hAnsi="黑体" w:eastAsia="黑体" w:cs="宋体"/>
          <w:b/>
          <w:sz w:val="24"/>
        </w:rPr>
      </w:pPr>
      <w:r>
        <w:rPr>
          <w:rFonts w:hint="eastAsia" w:ascii="黑体" w:hAnsi="黑体" w:eastAsia="黑体" w:cs="宋体"/>
          <w:b/>
          <w:sz w:val="24"/>
        </w:rPr>
        <w:t>2.2招标文件的澄清</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投标人对招标文件如有疑问要求澄清，应当在投标截止时间1日前以书面形式通知招标人，招标人应当视情以适当方式予以澄清，或以书面形式答复。如有必要，在不标明问题查询来源情况下，招标人可将答复内容以书面形式通知所有投标人。</w:t>
      </w:r>
    </w:p>
    <w:p>
      <w:pPr>
        <w:spacing w:line="480" w:lineRule="exact"/>
        <w:rPr>
          <w:rFonts w:ascii="黑体" w:hAnsi="黑体" w:eastAsia="黑体" w:cs="宋体"/>
          <w:b/>
          <w:sz w:val="24"/>
        </w:rPr>
      </w:pPr>
      <w:r>
        <w:rPr>
          <w:rFonts w:hint="eastAsia" w:ascii="黑体" w:hAnsi="黑体" w:eastAsia="黑体" w:cs="宋体"/>
          <w:b/>
          <w:sz w:val="24"/>
        </w:rPr>
        <w:t>2.3招标文件的修改</w:t>
      </w:r>
    </w:p>
    <w:p>
      <w:pPr>
        <w:spacing w:line="480" w:lineRule="exact"/>
        <w:ind w:firstLine="482" w:firstLineChars="200"/>
        <w:rPr>
          <w:rFonts w:ascii="黑体" w:hAnsi="黑体" w:eastAsia="黑体" w:cs="宋体"/>
          <w:b/>
          <w:sz w:val="24"/>
        </w:rPr>
      </w:pPr>
      <w:r>
        <w:rPr>
          <w:rFonts w:hint="eastAsia" w:ascii="黑体" w:hAnsi="黑体" w:eastAsia="黑体" w:cs="宋体"/>
          <w:b/>
          <w:sz w:val="24"/>
        </w:rPr>
        <w:t>2.3.1.投标截止时间前，招标人可对已发出的招标文件进行修改。招标文件修改内容是招标文件的组成部分。</w:t>
      </w:r>
    </w:p>
    <w:p>
      <w:pPr>
        <w:adjustRightInd w:val="0"/>
        <w:snapToGrid w:val="0"/>
        <w:spacing w:line="480" w:lineRule="exact"/>
        <w:ind w:firstLine="482" w:firstLineChars="200"/>
        <w:jc w:val="left"/>
        <w:rPr>
          <w:rFonts w:ascii="黑体" w:hAnsi="黑体" w:eastAsia="黑体" w:cs="宋体"/>
          <w:b/>
          <w:sz w:val="24"/>
        </w:rPr>
      </w:pPr>
      <w:r>
        <w:rPr>
          <w:rFonts w:hint="eastAsia" w:ascii="黑体" w:hAnsi="黑体" w:eastAsia="黑体" w:cs="宋体"/>
          <w:b/>
          <w:sz w:val="24"/>
        </w:rPr>
        <w:t>2.3.2.招标文件修改内容可能影响投标文件编制的，招标人将在投标截止时间至少1日前，以书面形式通知所有投标人，并对投标人具有约束力。投标人在收到上述通知后，应立即以书面形式向招标人确认。</w:t>
      </w:r>
    </w:p>
    <w:p>
      <w:pPr>
        <w:spacing w:line="440" w:lineRule="exact"/>
        <w:ind w:firstLine="500"/>
        <w:rPr>
          <w:rFonts w:ascii="黑体" w:hAnsi="黑体" w:eastAsia="黑体"/>
          <w:b/>
          <w:sz w:val="24"/>
        </w:rPr>
      </w:pPr>
      <w:r>
        <w:rPr>
          <w:rFonts w:hint="eastAsia" w:ascii="黑体" w:hAnsi="黑体" w:eastAsia="黑体"/>
          <w:b/>
          <w:sz w:val="24"/>
        </w:rPr>
        <w:t>2.3.3投标文件的正本需打印或使用不褪色的蓝、黑墨水笔书写，字迹应清晰易于辨认，并应在投标文件封面的右上角清楚地注明“正本”。</w:t>
      </w:r>
    </w:p>
    <w:p>
      <w:pPr>
        <w:spacing w:line="440" w:lineRule="exact"/>
        <w:ind w:firstLine="482" w:firstLineChars="200"/>
        <w:rPr>
          <w:rFonts w:ascii="黑体" w:hAnsi="黑体" w:eastAsia="黑体"/>
          <w:b/>
          <w:sz w:val="24"/>
        </w:rPr>
      </w:pPr>
      <w:r>
        <w:rPr>
          <w:rFonts w:hint="eastAsia" w:ascii="黑体" w:hAnsi="黑体" w:eastAsia="黑体"/>
          <w:b/>
          <w:sz w:val="24"/>
        </w:rPr>
        <w:t>2.3.4</w:t>
      </w:r>
      <w:r>
        <w:rPr>
          <w:rFonts w:hint="eastAsia" w:ascii="黑体" w:hAnsi="黑体" w:eastAsia="黑体"/>
          <w:b/>
          <w:sz w:val="24"/>
          <w:highlight w:val="yellow"/>
        </w:rPr>
        <w:t>投标文件封面或扉页、投标总价、投标函及法人授权委托书均应加盖投标人法人单位公章和法定代表人印鉴</w:t>
      </w:r>
      <w:r>
        <w:rPr>
          <w:rFonts w:hint="eastAsia" w:ascii="黑体" w:hAnsi="黑体" w:eastAsia="黑体"/>
          <w:b/>
          <w:sz w:val="24"/>
        </w:rPr>
        <w:t>。法人授权委托书格式、盖章及内容均应符合要求，否则法人授权委托书无效，该投标人投标文件按无效处理。</w:t>
      </w:r>
    </w:p>
    <w:p>
      <w:pPr>
        <w:spacing w:line="360" w:lineRule="auto"/>
        <w:ind w:firstLine="500"/>
        <w:rPr>
          <w:rFonts w:ascii="黑体" w:hAnsi="黑体" w:eastAsia="黑体"/>
          <w:b/>
          <w:sz w:val="24"/>
        </w:rPr>
      </w:pPr>
      <w:r>
        <w:rPr>
          <w:rFonts w:hint="eastAsia" w:ascii="黑体" w:hAnsi="黑体" w:eastAsia="黑体"/>
          <w:b/>
          <w:sz w:val="24"/>
        </w:rPr>
        <w:t>2.3.5除投标人对错误处须修改外，全套投标文件应无涂改或行间插字和增删。如有修改，修改处应由投标人加盖投标人法人单位公章。</w:t>
      </w:r>
    </w:p>
    <w:p>
      <w:pPr>
        <w:pStyle w:val="2"/>
        <w:spacing w:line="480" w:lineRule="exact"/>
        <w:rPr>
          <w:rFonts w:ascii="黑体" w:hAnsi="黑体" w:cs="宋体"/>
          <w:b/>
          <w:sz w:val="24"/>
          <w:szCs w:val="24"/>
          <w:lang w:bidi="ar-SA"/>
        </w:rPr>
      </w:pPr>
      <w:r>
        <w:rPr>
          <w:rFonts w:hint="eastAsia" w:ascii="黑体" w:hAnsi="黑体" w:cs="宋体"/>
          <w:b/>
          <w:sz w:val="24"/>
          <w:szCs w:val="24"/>
          <w:lang w:bidi="ar-SA"/>
        </w:rPr>
        <w:t>三、投标文件</w:t>
      </w:r>
    </w:p>
    <w:p>
      <w:pPr>
        <w:pStyle w:val="2"/>
        <w:spacing w:line="480" w:lineRule="exact"/>
        <w:rPr>
          <w:rFonts w:ascii="黑体" w:hAnsi="黑体" w:cs="宋体"/>
          <w:b/>
          <w:sz w:val="24"/>
          <w:szCs w:val="24"/>
          <w:lang w:bidi="ar-SA"/>
        </w:rPr>
      </w:pPr>
      <w:r>
        <w:rPr>
          <w:rFonts w:hint="eastAsia" w:ascii="黑体" w:hAnsi="黑体" w:cs="宋体"/>
          <w:b/>
          <w:sz w:val="24"/>
          <w:szCs w:val="24"/>
          <w:lang w:bidi="ar-SA"/>
        </w:rPr>
        <w:t>3.1投标文件的组成</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3.1.1投标文件应包括下列内容：</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第一册：商务标</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①投标函；</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②投标报价明细表；</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③法人代表身份证明书；</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④法定代表人授权委托书</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⑤投标人基本情况表</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⑥近3年产品应用业绩情况表</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⑦承诺书</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⑧投标人认为需要提供的其它资质资料</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⑨投标保证金付款截图</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第二册：技术标</w:t>
      </w:r>
    </w:p>
    <w:p>
      <w:pPr>
        <w:pStyle w:val="2"/>
        <w:numPr>
          <w:ilvl w:val="0"/>
          <w:numId w:val="2"/>
        </w:numPr>
        <w:spacing w:line="480" w:lineRule="exact"/>
        <w:rPr>
          <w:rFonts w:ascii="黑体" w:hAnsi="黑体" w:cs="宋体"/>
          <w:b/>
          <w:sz w:val="24"/>
          <w:szCs w:val="24"/>
          <w:lang w:bidi="ar-SA"/>
        </w:rPr>
      </w:pPr>
      <w:r>
        <w:rPr>
          <w:rFonts w:hint="eastAsia" w:ascii="黑体" w:hAnsi="黑体" w:cs="宋体"/>
          <w:b/>
          <w:sz w:val="24"/>
          <w:szCs w:val="24"/>
          <w:lang w:bidi="ar-SA"/>
        </w:rPr>
        <w:t>采购规范及验收标准</w:t>
      </w:r>
    </w:p>
    <w:p>
      <w:pPr>
        <w:pStyle w:val="2"/>
        <w:spacing w:line="480" w:lineRule="exact"/>
        <w:rPr>
          <w:rFonts w:ascii="黑体" w:hAnsi="黑体" w:cs="宋体"/>
          <w:b/>
          <w:sz w:val="24"/>
          <w:szCs w:val="24"/>
          <w:lang w:bidi="ar-SA"/>
        </w:rPr>
      </w:pPr>
      <w:r>
        <w:rPr>
          <w:rFonts w:hint="eastAsia" w:ascii="黑体" w:hAnsi="黑体" w:cs="宋体"/>
          <w:b/>
          <w:sz w:val="24"/>
          <w:szCs w:val="24"/>
          <w:lang w:bidi="ar-SA"/>
        </w:rPr>
        <w:t>3.2投标报价</w:t>
      </w:r>
    </w:p>
    <w:p>
      <w:pPr>
        <w:pStyle w:val="2"/>
        <w:spacing w:line="480" w:lineRule="exact"/>
        <w:ind w:firstLine="482" w:firstLineChars="200"/>
        <w:rPr>
          <w:rFonts w:ascii="黑体" w:hAnsi="黑体" w:cs="宋体"/>
          <w:b/>
          <w:sz w:val="24"/>
          <w:szCs w:val="24"/>
          <w:lang w:bidi="ar-SA"/>
        </w:rPr>
      </w:pPr>
      <w:r>
        <w:rPr>
          <w:rFonts w:hint="eastAsia" w:ascii="黑体" w:hAnsi="黑体" w:cs="宋体"/>
          <w:b/>
          <w:sz w:val="24"/>
          <w:szCs w:val="24"/>
          <w:lang w:bidi="ar-SA"/>
        </w:rPr>
        <w:t>3.2.1投标人应按招标文件要求填写相应表格 ；</w:t>
      </w:r>
    </w:p>
    <w:p>
      <w:pPr>
        <w:pStyle w:val="2"/>
        <w:spacing w:line="480" w:lineRule="exact"/>
        <w:ind w:firstLine="482" w:firstLineChars="200"/>
        <w:rPr>
          <w:rFonts w:ascii="黑体" w:hAnsi="黑体" w:cs="宋体"/>
          <w:b/>
          <w:sz w:val="24"/>
          <w:szCs w:val="24"/>
          <w:lang w:bidi="ar-SA"/>
        </w:rPr>
      </w:pPr>
      <w:r>
        <w:rPr>
          <w:rFonts w:hint="eastAsia" w:ascii="黑体" w:hAnsi="黑体" w:cs="宋体"/>
          <w:b/>
          <w:sz w:val="24"/>
          <w:szCs w:val="24"/>
          <w:lang w:bidi="ar-SA"/>
        </w:rPr>
        <w:t>3.2.2投标人在投标截止时间前修改投标函中的投标总报价的，应符合招标文件要求；</w:t>
      </w:r>
    </w:p>
    <w:p>
      <w:pPr>
        <w:pStyle w:val="2"/>
        <w:spacing w:line="480" w:lineRule="exact"/>
        <w:rPr>
          <w:rFonts w:ascii="黑体" w:hAnsi="黑体" w:cs="宋体"/>
          <w:b/>
          <w:sz w:val="24"/>
          <w:szCs w:val="24"/>
          <w:lang w:bidi="ar-SA"/>
        </w:rPr>
      </w:pPr>
      <w:r>
        <w:rPr>
          <w:rFonts w:hint="eastAsia" w:ascii="黑体" w:hAnsi="黑体" w:cs="宋体"/>
          <w:b/>
          <w:sz w:val="24"/>
          <w:szCs w:val="24"/>
          <w:lang w:bidi="ar-SA"/>
        </w:rPr>
        <w:t>3.3投标有效期</w:t>
      </w:r>
    </w:p>
    <w:p>
      <w:pPr>
        <w:pStyle w:val="2"/>
        <w:spacing w:line="360" w:lineRule="auto"/>
        <w:rPr>
          <w:rFonts w:ascii="黑体" w:hAnsi="黑体" w:cs="宋体"/>
          <w:b/>
          <w:sz w:val="24"/>
          <w:szCs w:val="24"/>
          <w:lang w:bidi="ar-SA"/>
        </w:rPr>
      </w:pPr>
      <w:r>
        <w:rPr>
          <w:rFonts w:hint="eastAsia" w:ascii="黑体" w:hAnsi="黑体" w:cs="宋体"/>
          <w:b/>
          <w:sz w:val="24"/>
          <w:szCs w:val="24"/>
          <w:lang w:bidi="ar-SA"/>
        </w:rPr>
        <w:t xml:space="preserve">    3.3.1在投标人须知前附表规定的投标有效期内，投标人不得要求撤销或修改其投标文件。投标有效期除投标人须知前附表另有规定外，一般为60天。</w:t>
      </w:r>
    </w:p>
    <w:p>
      <w:pPr>
        <w:pStyle w:val="2"/>
        <w:spacing w:line="360" w:lineRule="auto"/>
        <w:rPr>
          <w:rFonts w:ascii="黑体" w:hAnsi="黑体" w:cs="宋体"/>
          <w:b/>
          <w:sz w:val="24"/>
          <w:szCs w:val="24"/>
          <w:lang w:bidi="ar-SA"/>
        </w:rPr>
      </w:pPr>
      <w:r>
        <w:rPr>
          <w:rFonts w:hint="eastAsia" w:ascii="黑体" w:hAnsi="黑体" w:cs="宋体"/>
          <w:b/>
          <w:sz w:val="24"/>
          <w:szCs w:val="24"/>
          <w:lang w:bidi="ar-SA"/>
        </w:rPr>
        <w:t xml:space="preserve">    3.4投标保证金</w:t>
      </w:r>
    </w:p>
    <w:p>
      <w:pPr>
        <w:pStyle w:val="2"/>
        <w:spacing w:line="360" w:lineRule="auto"/>
        <w:ind w:firstLine="482" w:firstLineChars="200"/>
        <w:rPr>
          <w:rFonts w:ascii="黑体" w:hAnsi="黑体" w:cs="宋体"/>
          <w:b/>
          <w:sz w:val="24"/>
          <w:szCs w:val="24"/>
          <w:lang w:bidi="ar-SA"/>
        </w:rPr>
      </w:pPr>
      <w:r>
        <w:rPr>
          <w:rFonts w:hint="eastAsia" w:ascii="黑体" w:hAnsi="黑体" w:cs="宋体"/>
          <w:b/>
          <w:sz w:val="24"/>
          <w:szCs w:val="24"/>
          <w:lang w:bidi="ar-SA"/>
        </w:rPr>
        <w:t>3.4.1</w:t>
      </w:r>
      <w:r>
        <w:rPr>
          <w:rFonts w:hint="eastAsia" w:ascii="黑体" w:hAnsi="黑体" w:cs="仿宋_GB2312"/>
          <w:b/>
          <w:sz w:val="24"/>
          <w:szCs w:val="28"/>
        </w:rPr>
        <w:t>参加投标人需交纳</w:t>
      </w:r>
      <w:r>
        <w:rPr>
          <w:rFonts w:hint="eastAsia" w:ascii="黑体" w:hAnsi="黑体" w:cs="仿宋_GB2312"/>
          <w:b/>
          <w:color w:val="FF0000"/>
          <w:sz w:val="24"/>
          <w:szCs w:val="28"/>
        </w:rPr>
        <w:t>壹万元</w:t>
      </w:r>
      <w:r>
        <w:rPr>
          <w:rFonts w:hint="eastAsia" w:ascii="黑体" w:hAnsi="黑体" w:cs="仿宋_GB2312"/>
          <w:b/>
          <w:sz w:val="24"/>
          <w:szCs w:val="28"/>
        </w:rPr>
        <w:t>的投标保证金，必须以</w:t>
      </w:r>
      <w:r>
        <w:rPr>
          <w:rFonts w:hint="eastAsia" w:ascii="黑体" w:hAnsi="黑体" w:cs="仿宋_GB2312"/>
          <w:b/>
          <w:color w:val="FF0000"/>
          <w:sz w:val="24"/>
          <w:szCs w:val="28"/>
        </w:rPr>
        <w:t>公司名义</w:t>
      </w:r>
      <w:r>
        <w:rPr>
          <w:rFonts w:hint="eastAsia" w:ascii="黑体" w:hAnsi="黑体" w:cs="仿宋_GB2312"/>
          <w:b/>
          <w:sz w:val="24"/>
          <w:szCs w:val="28"/>
        </w:rPr>
        <w:t>交纳保证金，不得以个人帐户交纳，投标报价之前将款项通过电汇方式交纳至</w:t>
      </w:r>
      <w:r>
        <w:rPr>
          <w:rFonts w:hint="eastAsia" w:ascii="黑体" w:hAnsi="黑体" w:cs="仿宋_GB2312"/>
          <w:b/>
          <w:color w:val="FF0000"/>
          <w:sz w:val="24"/>
          <w:szCs w:val="28"/>
        </w:rPr>
        <w:t>台泥（辽宁）水泥有限公司</w:t>
      </w:r>
      <w:r>
        <w:rPr>
          <w:rFonts w:hint="eastAsia" w:ascii="黑体" w:hAnsi="黑体" w:cs="仿宋_GB2312"/>
          <w:b/>
          <w:sz w:val="24"/>
          <w:szCs w:val="28"/>
        </w:rPr>
        <w:t>指定账户并注明</w:t>
      </w:r>
      <w:r>
        <w:rPr>
          <w:rFonts w:hint="eastAsia" w:ascii="黑体" w:hAnsi="黑体" w:cs="仿宋_GB2312"/>
          <w:b/>
          <w:bCs/>
          <w:color w:val="C00000"/>
          <w:sz w:val="24"/>
          <w:szCs w:val="28"/>
        </w:rPr>
        <w:t>“</w:t>
      </w:r>
      <w:r>
        <w:rPr>
          <w:rFonts w:hint="eastAsia" w:ascii="黑体" w:hAnsi="黑体" w:cs="仿宋_GB2312"/>
          <w:b/>
          <w:bCs/>
          <w:sz w:val="24"/>
          <w:szCs w:val="28"/>
          <w:highlight w:val="yellow"/>
        </w:rPr>
        <w:t>包装袋投标保证金</w:t>
      </w:r>
      <w:r>
        <w:rPr>
          <w:rFonts w:hint="eastAsia" w:ascii="黑体" w:hAnsi="黑体" w:cs="仿宋_GB2312"/>
          <w:b/>
          <w:bCs/>
          <w:color w:val="C00000"/>
          <w:sz w:val="24"/>
          <w:szCs w:val="28"/>
        </w:rPr>
        <w:t>”</w:t>
      </w:r>
      <w:r>
        <w:rPr>
          <w:rFonts w:hint="eastAsia" w:ascii="黑体" w:hAnsi="黑体" w:cs="仿宋_GB2312"/>
          <w:b/>
          <w:color w:val="C00000"/>
          <w:sz w:val="24"/>
          <w:szCs w:val="28"/>
        </w:rPr>
        <w:t>（</w:t>
      </w:r>
      <w:r>
        <w:rPr>
          <w:rFonts w:hint="eastAsia" w:ascii="黑体" w:hAnsi="黑体" w:cs="仿宋_GB2312"/>
          <w:b/>
          <w:bCs/>
          <w:color w:val="C00000"/>
          <w:sz w:val="24"/>
          <w:szCs w:val="28"/>
        </w:rPr>
        <w:t>开户行：中国建设银行股份有限公司灯塔支行；账号：21001707908052504434</w:t>
      </w:r>
      <w:r>
        <w:rPr>
          <w:rFonts w:hint="eastAsia" w:ascii="黑体" w:hAnsi="黑体" w:cs="仿宋_GB2312"/>
          <w:b/>
          <w:color w:val="C00000"/>
          <w:sz w:val="24"/>
          <w:szCs w:val="28"/>
        </w:rPr>
        <w:t>）</w:t>
      </w:r>
      <w:r>
        <w:rPr>
          <w:rFonts w:hint="eastAsia" w:ascii="黑体" w:hAnsi="黑体" w:cs="仿宋_GB2312"/>
          <w:b/>
          <w:sz w:val="24"/>
          <w:szCs w:val="28"/>
        </w:rPr>
        <w:t>，电汇以银行回单为据，并在报价时将银行回单复印件（或截图）提交平台审核。投标结束后，将在招标结束后60天内全额无息退还给投标方。（投标保证金回退时要求必须回退到投标人企业账户，凡要求退到其他帐户的概不受理）</w:t>
      </w:r>
    </w:p>
    <w:p>
      <w:pPr>
        <w:pStyle w:val="2"/>
        <w:spacing w:line="360" w:lineRule="auto"/>
        <w:ind w:firstLine="482" w:firstLineChars="200"/>
        <w:rPr>
          <w:rFonts w:ascii="黑体" w:hAnsi="黑体" w:cs="宋体"/>
          <w:b/>
          <w:sz w:val="24"/>
          <w:szCs w:val="24"/>
          <w:highlight w:val="yellow"/>
          <w:lang w:bidi="ar-SA"/>
        </w:rPr>
      </w:pPr>
      <w:r>
        <w:rPr>
          <w:rFonts w:hint="eastAsia" w:ascii="黑体" w:hAnsi="黑体" w:cs="宋体"/>
          <w:b/>
          <w:sz w:val="24"/>
          <w:szCs w:val="24"/>
          <w:lang w:bidi="ar-SA"/>
        </w:rPr>
        <w:t>3.4.2</w:t>
      </w:r>
      <w:r>
        <w:rPr>
          <w:rFonts w:hint="eastAsia" w:ascii="黑体" w:hAnsi="黑体" w:cs="宋体"/>
          <w:b/>
          <w:sz w:val="24"/>
          <w:szCs w:val="24"/>
          <w:highlight w:val="yellow"/>
          <w:lang w:bidi="ar-SA"/>
        </w:rPr>
        <w:t xml:space="preserve">有下列情形之一的，投标保证金将不予退还： </w:t>
      </w:r>
    </w:p>
    <w:p>
      <w:pPr>
        <w:pStyle w:val="2"/>
        <w:spacing w:line="360" w:lineRule="auto"/>
        <w:rPr>
          <w:rFonts w:ascii="黑体" w:hAnsi="黑体" w:cs="宋体"/>
          <w:b/>
          <w:sz w:val="24"/>
          <w:szCs w:val="24"/>
          <w:highlight w:val="yellow"/>
          <w:lang w:bidi="ar-SA"/>
        </w:rPr>
      </w:pPr>
      <w:r>
        <w:rPr>
          <w:rFonts w:hint="eastAsia" w:ascii="黑体" w:hAnsi="黑体" w:cs="宋体"/>
          <w:b/>
          <w:sz w:val="24"/>
          <w:szCs w:val="24"/>
          <w:highlight w:val="yellow"/>
          <w:lang w:bidi="ar-SA"/>
        </w:rPr>
        <w:t xml:space="preserve">    （1）投标人在规定的投标有效期内撤销或修改其投标文件的；</w:t>
      </w:r>
    </w:p>
    <w:p>
      <w:pPr>
        <w:pStyle w:val="2"/>
        <w:spacing w:line="360" w:lineRule="auto"/>
        <w:rPr>
          <w:rFonts w:ascii="黑体" w:hAnsi="黑体" w:cs="宋体"/>
          <w:b/>
          <w:sz w:val="24"/>
          <w:szCs w:val="24"/>
          <w:highlight w:val="yellow"/>
          <w:lang w:bidi="ar-SA"/>
        </w:rPr>
      </w:pPr>
      <w:r>
        <w:rPr>
          <w:rFonts w:hint="eastAsia" w:ascii="黑体" w:hAnsi="黑体" w:cs="宋体"/>
          <w:b/>
          <w:sz w:val="24"/>
          <w:szCs w:val="24"/>
          <w:highlight w:val="yellow"/>
          <w:lang w:bidi="ar-SA"/>
        </w:rPr>
        <w:t xml:space="preserve">    （2）在招标过程中，干扰招标活动造成严重影响和后果，虚假投标、串通投标的；</w:t>
      </w:r>
    </w:p>
    <w:p>
      <w:pPr>
        <w:pStyle w:val="2"/>
        <w:spacing w:line="360" w:lineRule="auto"/>
        <w:rPr>
          <w:rFonts w:ascii="黑体" w:hAnsi="黑体" w:cs="宋体"/>
          <w:b/>
          <w:sz w:val="24"/>
          <w:szCs w:val="24"/>
          <w:highlight w:val="yellow"/>
          <w:lang w:bidi="ar-SA"/>
        </w:rPr>
      </w:pPr>
      <w:r>
        <w:rPr>
          <w:rFonts w:hint="eastAsia" w:ascii="黑体" w:hAnsi="黑体" w:cs="宋体"/>
          <w:b/>
          <w:sz w:val="24"/>
          <w:szCs w:val="24"/>
          <w:highlight w:val="yellow"/>
          <w:lang w:bidi="ar-SA"/>
        </w:rPr>
        <w:t xml:space="preserve">    （3）中标人在收到中标通知书后，无正当理由不与招标人订立合同，在签订合同时向招标人提出附加条件，或未按招标文件要求提交履约保证金的；</w:t>
      </w:r>
    </w:p>
    <w:p>
      <w:pPr>
        <w:pStyle w:val="2"/>
        <w:spacing w:line="360" w:lineRule="auto"/>
        <w:rPr>
          <w:rFonts w:ascii="黑体" w:hAnsi="黑体" w:cs="宋体"/>
          <w:b/>
          <w:sz w:val="24"/>
          <w:szCs w:val="24"/>
          <w:lang w:bidi="ar-SA"/>
        </w:rPr>
      </w:pPr>
      <w:r>
        <w:rPr>
          <w:rFonts w:hint="eastAsia" w:ascii="黑体" w:hAnsi="黑体" w:cs="宋体"/>
          <w:b/>
          <w:sz w:val="24"/>
          <w:szCs w:val="24"/>
          <w:highlight w:val="yellow"/>
          <w:lang w:bidi="ar-SA"/>
        </w:rPr>
        <w:t xml:space="preserve">   （4）其他违反国家和军队法律法规的。</w:t>
      </w:r>
    </w:p>
    <w:p>
      <w:pPr>
        <w:pStyle w:val="2"/>
        <w:spacing w:line="360" w:lineRule="auto"/>
        <w:rPr>
          <w:rFonts w:ascii="黑体" w:hAnsi="黑体" w:cs="宋体"/>
          <w:b/>
          <w:sz w:val="24"/>
          <w:szCs w:val="24"/>
          <w:lang w:bidi="ar-SA"/>
        </w:rPr>
      </w:pPr>
      <w:r>
        <w:rPr>
          <w:rFonts w:hint="eastAsia" w:ascii="黑体" w:hAnsi="黑体" w:cs="宋体"/>
          <w:b/>
          <w:sz w:val="24"/>
          <w:szCs w:val="24"/>
          <w:lang w:bidi="ar-SA"/>
        </w:rPr>
        <w:t>3.5资格审查资料</w:t>
      </w:r>
    </w:p>
    <w:p>
      <w:pPr>
        <w:spacing w:line="360" w:lineRule="auto"/>
        <w:ind w:firstLine="482" w:firstLineChars="200"/>
        <w:rPr>
          <w:rFonts w:ascii="黑体" w:hAnsi="黑体" w:eastAsia="黑体" w:cs="宋体"/>
          <w:b/>
          <w:sz w:val="24"/>
        </w:rPr>
      </w:pPr>
      <w:r>
        <w:rPr>
          <w:rFonts w:hint="eastAsia" w:ascii="黑体" w:hAnsi="黑体" w:eastAsia="黑体" w:cs="宋体"/>
          <w:b/>
          <w:sz w:val="24"/>
        </w:rPr>
        <w:t>3.5.1投标人应具备承担本标段施工的资质条件、能力和信誉。</w:t>
      </w:r>
    </w:p>
    <w:p>
      <w:pPr>
        <w:spacing w:line="360" w:lineRule="auto"/>
        <w:ind w:firstLine="482" w:firstLineChars="200"/>
        <w:rPr>
          <w:rFonts w:ascii="黑体" w:hAnsi="黑体" w:eastAsia="黑体" w:cs="宋体"/>
          <w:b/>
          <w:sz w:val="24"/>
        </w:rPr>
      </w:pPr>
      <w:r>
        <w:rPr>
          <w:rFonts w:hint="eastAsia" w:ascii="黑体" w:hAnsi="黑体" w:eastAsia="黑体" w:cs="宋体"/>
          <w:b/>
          <w:sz w:val="24"/>
        </w:rPr>
        <w:t>3.5.2 投标人不得存在下列情形之一：</w:t>
      </w:r>
    </w:p>
    <w:p>
      <w:pPr>
        <w:spacing w:line="360" w:lineRule="auto"/>
        <w:ind w:left="525" w:leftChars="250"/>
        <w:rPr>
          <w:rFonts w:ascii="黑体" w:hAnsi="黑体" w:eastAsia="黑体" w:cs="宋体"/>
          <w:b/>
          <w:sz w:val="24"/>
        </w:rPr>
      </w:pPr>
      <w:r>
        <w:rPr>
          <w:rFonts w:hint="eastAsia" w:ascii="黑体" w:hAnsi="黑体" w:eastAsia="黑体" w:cs="宋体"/>
          <w:b/>
          <w:sz w:val="24"/>
        </w:rPr>
        <w:t>（1）投标人的法定代表人或授权委托人与招标人主要（分管）领导及招标项目（标段）管理部门主要领导存在直系亲属关系的；</w:t>
      </w:r>
    </w:p>
    <w:p>
      <w:pPr>
        <w:spacing w:line="360" w:lineRule="auto"/>
        <w:ind w:left="525" w:leftChars="250"/>
        <w:rPr>
          <w:rFonts w:ascii="黑体" w:hAnsi="黑体" w:eastAsia="黑体" w:cs="宋体"/>
          <w:b/>
          <w:sz w:val="24"/>
        </w:rPr>
      </w:pPr>
      <w:r>
        <w:rPr>
          <w:rFonts w:hint="eastAsia" w:ascii="黑体" w:hAnsi="黑体" w:eastAsia="黑体" w:cs="宋体"/>
          <w:b/>
          <w:sz w:val="24"/>
        </w:rPr>
        <w:t>（2）被责令停业的；</w:t>
      </w:r>
    </w:p>
    <w:p>
      <w:pPr>
        <w:spacing w:line="360" w:lineRule="auto"/>
        <w:ind w:left="525" w:leftChars="250"/>
        <w:rPr>
          <w:rFonts w:ascii="黑体" w:hAnsi="黑体" w:eastAsia="黑体" w:cs="宋体"/>
          <w:b/>
          <w:sz w:val="24"/>
        </w:rPr>
      </w:pPr>
      <w:r>
        <w:rPr>
          <w:rFonts w:hint="eastAsia" w:ascii="黑体" w:hAnsi="黑体" w:eastAsia="黑体" w:cs="宋体"/>
          <w:b/>
          <w:sz w:val="24"/>
        </w:rPr>
        <w:t>（3）被暂停或取消投标资格的；</w:t>
      </w:r>
    </w:p>
    <w:p>
      <w:pPr>
        <w:spacing w:line="360" w:lineRule="auto"/>
        <w:ind w:left="525" w:leftChars="250"/>
        <w:rPr>
          <w:rFonts w:ascii="黑体" w:hAnsi="黑体" w:eastAsia="黑体" w:cs="宋体"/>
          <w:b/>
          <w:sz w:val="24"/>
        </w:rPr>
      </w:pPr>
      <w:r>
        <w:rPr>
          <w:rFonts w:hint="eastAsia" w:ascii="黑体" w:hAnsi="黑体" w:eastAsia="黑体" w:cs="宋体"/>
          <w:b/>
          <w:sz w:val="24"/>
        </w:rPr>
        <w:t>（4）财产被接管或冻结的；</w:t>
      </w:r>
    </w:p>
    <w:p>
      <w:pPr>
        <w:spacing w:line="360" w:lineRule="auto"/>
        <w:ind w:left="525" w:leftChars="250"/>
        <w:rPr>
          <w:rFonts w:ascii="黑体" w:hAnsi="黑体" w:eastAsia="黑体" w:cs="宋体"/>
          <w:b/>
          <w:sz w:val="24"/>
        </w:rPr>
      </w:pPr>
      <w:r>
        <w:rPr>
          <w:rFonts w:hint="eastAsia" w:ascii="黑体" w:hAnsi="黑体" w:eastAsia="黑体" w:cs="宋体"/>
          <w:b/>
          <w:sz w:val="24"/>
        </w:rPr>
        <w:t>（5）在最近三年内有骗取中标或严重违约或重大工程质量问题等不良记录的。</w:t>
      </w:r>
    </w:p>
    <w:p>
      <w:pPr>
        <w:pStyle w:val="5"/>
        <w:spacing w:before="120" w:after="60" w:line="360" w:lineRule="auto"/>
        <w:rPr>
          <w:rFonts w:ascii="黑体" w:hAnsi="黑体" w:cs="宋体"/>
          <w:b/>
          <w:bCs w:val="0"/>
          <w:kern w:val="2"/>
          <w:sz w:val="24"/>
          <w:szCs w:val="24"/>
        </w:rPr>
      </w:pPr>
      <w:bookmarkStart w:id="113" w:name="_Toc12892304"/>
      <w:bookmarkStart w:id="114" w:name="_Toc13582011"/>
      <w:r>
        <w:rPr>
          <w:rFonts w:hint="eastAsia" w:ascii="黑体" w:hAnsi="黑体" w:cs="宋体"/>
          <w:b/>
          <w:bCs w:val="0"/>
          <w:kern w:val="2"/>
          <w:sz w:val="24"/>
          <w:szCs w:val="24"/>
        </w:rPr>
        <w:t>3.</w:t>
      </w:r>
      <w:r>
        <w:rPr>
          <w:rFonts w:ascii="黑体" w:hAnsi="黑体" w:cs="宋体"/>
          <w:b/>
          <w:bCs w:val="0"/>
          <w:kern w:val="2"/>
          <w:sz w:val="24"/>
          <w:szCs w:val="24"/>
        </w:rPr>
        <w:t>6</w:t>
      </w:r>
      <w:r>
        <w:rPr>
          <w:rFonts w:hint="eastAsia" w:ascii="黑体" w:hAnsi="黑体" w:cs="宋体"/>
          <w:b/>
          <w:bCs w:val="0"/>
          <w:kern w:val="2"/>
          <w:sz w:val="24"/>
          <w:szCs w:val="24"/>
        </w:rPr>
        <w:t xml:space="preserve"> 投标文件的编制</w:t>
      </w:r>
      <w:bookmarkEnd w:id="113"/>
      <w:bookmarkEnd w:id="114"/>
    </w:p>
    <w:p>
      <w:pPr>
        <w:spacing w:line="360" w:lineRule="auto"/>
        <w:ind w:firstLine="482" w:firstLineChars="200"/>
        <w:rPr>
          <w:rFonts w:ascii="黑体" w:hAnsi="黑体" w:eastAsia="黑体" w:cs="宋体"/>
          <w:b/>
          <w:sz w:val="24"/>
        </w:rPr>
      </w:pPr>
      <w:r>
        <w:rPr>
          <w:rFonts w:hint="eastAsia" w:ascii="黑体" w:hAnsi="黑体" w:eastAsia="黑体" w:cs="宋体"/>
          <w:b/>
          <w:sz w:val="24"/>
        </w:rPr>
        <w:t>3.</w:t>
      </w:r>
      <w:r>
        <w:rPr>
          <w:rFonts w:ascii="黑体" w:hAnsi="黑体" w:eastAsia="黑体" w:cs="宋体"/>
          <w:b/>
          <w:sz w:val="24"/>
        </w:rPr>
        <w:t>6</w:t>
      </w:r>
      <w:r>
        <w:rPr>
          <w:rFonts w:hint="eastAsia" w:ascii="黑体" w:hAnsi="黑体" w:eastAsia="黑体" w:cs="宋体"/>
          <w:b/>
          <w:sz w:val="24"/>
        </w:rPr>
        <w:t>.1投标文件应按第四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2" w:firstLineChars="200"/>
        <w:rPr>
          <w:rFonts w:ascii="黑体" w:hAnsi="黑体" w:eastAsia="黑体" w:cs="宋体"/>
          <w:b/>
          <w:sz w:val="24"/>
        </w:rPr>
      </w:pPr>
      <w:r>
        <w:rPr>
          <w:rFonts w:hint="eastAsia" w:ascii="黑体" w:hAnsi="黑体" w:eastAsia="黑体" w:cs="宋体"/>
          <w:b/>
          <w:sz w:val="24"/>
        </w:rPr>
        <w:t>3.</w:t>
      </w:r>
      <w:r>
        <w:rPr>
          <w:rFonts w:ascii="黑体" w:hAnsi="黑体" w:eastAsia="黑体" w:cs="宋体"/>
          <w:b/>
          <w:sz w:val="24"/>
        </w:rPr>
        <w:t>6</w:t>
      </w:r>
      <w:r>
        <w:rPr>
          <w:rFonts w:hint="eastAsia" w:ascii="黑体" w:hAnsi="黑体" w:eastAsia="黑体" w:cs="宋体"/>
          <w:b/>
          <w:sz w:val="24"/>
        </w:rPr>
        <w:t>.2 投标文件应当对招标文件有关交货期、投标有效期、质量要求、技术标准和要求、招标范围等实质性内容作出响应。</w:t>
      </w:r>
    </w:p>
    <w:p>
      <w:pPr>
        <w:spacing w:line="360" w:lineRule="auto"/>
        <w:ind w:firstLine="482" w:firstLineChars="200"/>
        <w:rPr>
          <w:rFonts w:ascii="黑体" w:hAnsi="黑体" w:eastAsia="黑体" w:cs="宋体"/>
          <w:b/>
          <w:sz w:val="24"/>
        </w:rPr>
      </w:pPr>
      <w:r>
        <w:rPr>
          <w:rFonts w:hint="eastAsia" w:ascii="黑体" w:hAnsi="黑体" w:eastAsia="黑体" w:cs="宋体"/>
          <w:b/>
          <w:sz w:val="24"/>
        </w:rPr>
        <w:t>3.</w:t>
      </w:r>
      <w:r>
        <w:rPr>
          <w:rFonts w:ascii="黑体" w:hAnsi="黑体" w:eastAsia="黑体" w:cs="宋体"/>
          <w:b/>
          <w:sz w:val="24"/>
        </w:rPr>
        <w:t>6</w:t>
      </w:r>
      <w:r>
        <w:rPr>
          <w:rFonts w:hint="eastAsia" w:ascii="黑体" w:hAnsi="黑体" w:eastAsia="黑体" w:cs="宋体"/>
          <w:b/>
          <w:sz w:val="24"/>
        </w:rPr>
        <w:t>.3本次投标以冀东阳光平台网上投标为准,投标文件正本。</w:t>
      </w:r>
    </w:p>
    <w:p>
      <w:pPr>
        <w:spacing w:line="360" w:lineRule="auto"/>
        <w:rPr>
          <w:rFonts w:ascii="黑体" w:hAnsi="黑体" w:eastAsia="黑体" w:cs="宋体"/>
          <w:b/>
          <w:sz w:val="24"/>
        </w:rPr>
      </w:pPr>
      <w:bookmarkStart w:id="115" w:name="_Toc12892305"/>
      <w:bookmarkStart w:id="116" w:name="_Toc144974523"/>
      <w:bookmarkStart w:id="117" w:name="_Toc152045555"/>
      <w:bookmarkStart w:id="118" w:name="_Toc13582012"/>
      <w:bookmarkStart w:id="119" w:name="_Toc152042331"/>
      <w:bookmarkStart w:id="120" w:name="_Toc179632573"/>
      <w:r>
        <w:rPr>
          <w:rFonts w:hint="eastAsia" w:ascii="黑体" w:hAnsi="黑体" w:eastAsia="黑体" w:cs="宋体"/>
          <w:b/>
          <w:sz w:val="24"/>
        </w:rPr>
        <w:t>4. 投标</w:t>
      </w:r>
      <w:bookmarkEnd w:id="115"/>
      <w:bookmarkEnd w:id="116"/>
      <w:bookmarkEnd w:id="117"/>
      <w:bookmarkEnd w:id="118"/>
      <w:bookmarkEnd w:id="119"/>
      <w:bookmarkEnd w:id="120"/>
    </w:p>
    <w:p>
      <w:pPr>
        <w:spacing w:line="360" w:lineRule="auto"/>
        <w:rPr>
          <w:rFonts w:ascii="黑体" w:hAnsi="黑体" w:eastAsia="黑体" w:cs="宋体"/>
          <w:b/>
          <w:sz w:val="24"/>
        </w:rPr>
      </w:pPr>
      <w:bookmarkStart w:id="121" w:name="_Toc21559"/>
      <w:bookmarkStart w:id="122" w:name="_Toc13582013"/>
      <w:bookmarkStart w:id="123" w:name="_Toc152045556"/>
      <w:bookmarkStart w:id="124" w:name="_Toc179632574"/>
      <w:bookmarkStart w:id="125" w:name="_Toc144974524"/>
      <w:bookmarkStart w:id="126" w:name="_Toc347996728"/>
      <w:bookmarkStart w:id="127" w:name="_Toc448700515"/>
      <w:bookmarkStart w:id="128" w:name="_Toc12892306"/>
      <w:bookmarkStart w:id="129" w:name="_Toc152042332"/>
      <w:r>
        <w:rPr>
          <w:rFonts w:hint="eastAsia" w:ascii="黑体" w:hAnsi="黑体" w:eastAsia="黑体" w:cs="宋体"/>
          <w:b/>
          <w:sz w:val="24"/>
        </w:rPr>
        <w:t>4.1 投标文件的密封和标记</w:t>
      </w:r>
      <w:bookmarkEnd w:id="121"/>
      <w:bookmarkEnd w:id="122"/>
      <w:bookmarkEnd w:id="123"/>
      <w:bookmarkEnd w:id="124"/>
      <w:bookmarkEnd w:id="125"/>
      <w:bookmarkEnd w:id="126"/>
      <w:bookmarkEnd w:id="127"/>
      <w:bookmarkEnd w:id="128"/>
      <w:bookmarkEnd w:id="129"/>
      <w:r>
        <w:rPr>
          <w:rFonts w:hint="eastAsia" w:ascii="黑体" w:hAnsi="黑体" w:eastAsia="黑体" w:cs="宋体"/>
          <w:b/>
          <w:sz w:val="24"/>
        </w:rPr>
        <w:t>(本次投标以金隅冀东阳光平台网上投标为准)</w:t>
      </w:r>
    </w:p>
    <w:p>
      <w:pPr>
        <w:spacing w:line="360" w:lineRule="auto"/>
        <w:rPr>
          <w:rFonts w:ascii="黑体" w:hAnsi="黑体" w:eastAsia="黑体" w:cs="宋体"/>
          <w:b/>
          <w:sz w:val="24"/>
        </w:rPr>
      </w:pPr>
      <w:bookmarkStart w:id="130" w:name="_Toc12892307"/>
      <w:bookmarkStart w:id="131" w:name="_Toc347996729"/>
      <w:bookmarkStart w:id="132" w:name="_Toc448700516"/>
      <w:bookmarkStart w:id="133" w:name="_Toc179632575"/>
      <w:bookmarkStart w:id="134" w:name="_Toc152045557"/>
      <w:bookmarkStart w:id="135" w:name="_Toc152042333"/>
      <w:bookmarkStart w:id="136" w:name="_Toc28373"/>
      <w:bookmarkStart w:id="137" w:name="_Toc13582014"/>
      <w:bookmarkStart w:id="138" w:name="_Toc144974525"/>
      <w:r>
        <w:rPr>
          <w:rFonts w:hint="eastAsia" w:ascii="黑体" w:hAnsi="黑体" w:eastAsia="黑体" w:cs="宋体"/>
          <w:b/>
          <w:sz w:val="24"/>
        </w:rPr>
        <w:t>4.2 投标文件的递交</w:t>
      </w:r>
      <w:bookmarkEnd w:id="130"/>
      <w:bookmarkEnd w:id="131"/>
      <w:bookmarkEnd w:id="132"/>
      <w:bookmarkEnd w:id="133"/>
      <w:bookmarkEnd w:id="134"/>
      <w:bookmarkEnd w:id="135"/>
      <w:bookmarkEnd w:id="136"/>
      <w:bookmarkEnd w:id="137"/>
      <w:bookmarkEnd w:id="138"/>
      <w:r>
        <w:rPr>
          <w:rFonts w:hint="eastAsia" w:ascii="黑体" w:hAnsi="黑体" w:eastAsia="黑体" w:cs="宋体"/>
          <w:b/>
          <w:sz w:val="24"/>
        </w:rPr>
        <w:t>(本次投标以金隅冀东阳光平台网上投标为准)</w:t>
      </w:r>
    </w:p>
    <w:p>
      <w:pPr>
        <w:spacing w:line="360" w:lineRule="auto"/>
        <w:rPr>
          <w:rFonts w:ascii="黑体" w:hAnsi="黑体" w:eastAsia="黑体" w:cs="宋体"/>
          <w:b/>
          <w:sz w:val="24"/>
        </w:rPr>
      </w:pPr>
      <w:bookmarkStart w:id="139" w:name="_Toc179632577"/>
      <w:bookmarkStart w:id="140" w:name="_Toc144974527"/>
      <w:bookmarkStart w:id="141" w:name="_Toc13582016"/>
      <w:bookmarkStart w:id="142" w:name="_Toc12892309"/>
      <w:bookmarkStart w:id="143" w:name="_Toc152042335"/>
      <w:bookmarkStart w:id="144" w:name="_Toc152045559"/>
      <w:r>
        <w:rPr>
          <w:rFonts w:hint="eastAsia" w:ascii="黑体" w:hAnsi="黑体" w:eastAsia="黑体" w:cs="宋体"/>
          <w:b/>
          <w:sz w:val="24"/>
        </w:rPr>
        <w:t>5. 开标</w:t>
      </w:r>
      <w:bookmarkEnd w:id="139"/>
      <w:bookmarkEnd w:id="140"/>
      <w:bookmarkEnd w:id="141"/>
      <w:bookmarkEnd w:id="142"/>
      <w:bookmarkEnd w:id="143"/>
      <w:bookmarkEnd w:id="144"/>
    </w:p>
    <w:p>
      <w:pPr>
        <w:spacing w:line="360" w:lineRule="auto"/>
        <w:rPr>
          <w:rFonts w:ascii="黑体" w:hAnsi="黑体" w:eastAsia="黑体" w:cs="宋体"/>
          <w:b/>
          <w:sz w:val="24"/>
        </w:rPr>
      </w:pPr>
      <w:bookmarkStart w:id="145" w:name="_Toc144974528"/>
      <w:bookmarkStart w:id="146" w:name="_Toc448700519"/>
      <w:bookmarkStart w:id="147" w:name="_Toc152045560"/>
      <w:bookmarkStart w:id="148" w:name="_Toc13582017"/>
      <w:bookmarkStart w:id="149" w:name="_Toc12892310"/>
      <w:bookmarkStart w:id="150" w:name="_Toc179632578"/>
      <w:bookmarkStart w:id="151" w:name="_Toc152042336"/>
      <w:bookmarkStart w:id="152" w:name="_Toc6490"/>
      <w:r>
        <w:rPr>
          <w:rFonts w:hint="eastAsia" w:ascii="黑体" w:hAnsi="黑体" w:eastAsia="黑体" w:cs="宋体"/>
          <w:b/>
          <w:sz w:val="24"/>
        </w:rPr>
        <w:t>5.1 开标时间和地点</w:t>
      </w:r>
      <w:bookmarkEnd w:id="145"/>
      <w:bookmarkEnd w:id="146"/>
      <w:bookmarkEnd w:id="147"/>
      <w:bookmarkEnd w:id="148"/>
      <w:bookmarkEnd w:id="149"/>
      <w:bookmarkEnd w:id="150"/>
      <w:bookmarkEnd w:id="151"/>
      <w:bookmarkEnd w:id="152"/>
    </w:p>
    <w:p>
      <w:pPr>
        <w:spacing w:line="360" w:lineRule="auto"/>
        <w:ind w:firstLine="482" w:firstLineChars="200"/>
        <w:rPr>
          <w:rFonts w:ascii="黑体" w:hAnsi="黑体" w:eastAsia="黑体" w:cs="宋体"/>
          <w:b/>
          <w:sz w:val="24"/>
        </w:rPr>
      </w:pPr>
      <w:bookmarkStart w:id="153" w:name="_Toc179632579"/>
      <w:bookmarkStart w:id="154" w:name="_Toc144974529"/>
      <w:bookmarkStart w:id="155" w:name="_Toc152042337"/>
      <w:bookmarkStart w:id="156" w:name="_Toc1276"/>
      <w:bookmarkStart w:id="157" w:name="_Toc448700520"/>
      <w:bookmarkStart w:id="158" w:name="_Toc152045561"/>
      <w:r>
        <w:rPr>
          <w:rFonts w:hint="eastAsia" w:ascii="黑体" w:hAnsi="黑体" w:eastAsia="黑体" w:cs="宋体"/>
          <w:b/>
          <w:sz w:val="24"/>
        </w:rPr>
        <w:t>招标人应按投标人须知前附表规定的开标时间（投标截止时间）公开开标。</w:t>
      </w:r>
    </w:p>
    <w:p>
      <w:pPr>
        <w:spacing w:line="360" w:lineRule="auto"/>
        <w:rPr>
          <w:rFonts w:ascii="黑体" w:hAnsi="黑体" w:eastAsia="黑体" w:cs="宋体"/>
          <w:b/>
          <w:sz w:val="24"/>
        </w:rPr>
      </w:pPr>
      <w:bookmarkStart w:id="159" w:name="_Toc13582018"/>
      <w:bookmarkStart w:id="160" w:name="_Toc12892311"/>
      <w:r>
        <w:rPr>
          <w:rFonts w:hint="eastAsia" w:ascii="黑体" w:hAnsi="黑体" w:eastAsia="黑体" w:cs="宋体"/>
          <w:b/>
          <w:sz w:val="24"/>
        </w:rPr>
        <w:t>5.2 开标程序</w:t>
      </w:r>
      <w:bookmarkEnd w:id="153"/>
      <w:bookmarkEnd w:id="154"/>
      <w:bookmarkEnd w:id="155"/>
      <w:bookmarkEnd w:id="156"/>
      <w:bookmarkEnd w:id="157"/>
      <w:bookmarkEnd w:id="158"/>
      <w:bookmarkEnd w:id="159"/>
      <w:bookmarkEnd w:id="160"/>
    </w:p>
    <w:p>
      <w:pPr>
        <w:spacing w:line="360" w:lineRule="auto"/>
        <w:ind w:firstLine="482" w:firstLineChars="200"/>
        <w:rPr>
          <w:rFonts w:ascii="黑体" w:hAnsi="黑体" w:eastAsia="黑体" w:cs="宋体"/>
          <w:b/>
          <w:sz w:val="24"/>
        </w:rPr>
      </w:pPr>
      <w:r>
        <w:rPr>
          <w:rFonts w:hint="eastAsia" w:ascii="黑体" w:hAnsi="黑体" w:eastAsia="黑体" w:cs="宋体"/>
          <w:b/>
          <w:sz w:val="24"/>
        </w:rPr>
        <w:t>开标工作由物资供应部负责，评标小组评标，并签写签到表备查。</w:t>
      </w:r>
    </w:p>
    <w:p>
      <w:pPr>
        <w:spacing w:line="360" w:lineRule="auto"/>
        <w:ind w:firstLine="482" w:firstLineChars="200"/>
        <w:rPr>
          <w:rFonts w:ascii="黑体" w:hAnsi="黑体" w:eastAsia="黑体" w:cs="宋体"/>
          <w:b/>
          <w:sz w:val="24"/>
        </w:rPr>
      </w:pPr>
      <w:r>
        <w:rPr>
          <w:rFonts w:hint="eastAsia" w:ascii="黑体" w:hAnsi="黑体" w:eastAsia="黑体" w:cs="宋体"/>
          <w:b/>
          <w:sz w:val="24"/>
        </w:rPr>
        <w:t>（一）宣布会场纪律；</w:t>
      </w:r>
    </w:p>
    <w:p>
      <w:pPr>
        <w:spacing w:line="360" w:lineRule="auto"/>
        <w:ind w:firstLine="482" w:firstLineChars="200"/>
        <w:rPr>
          <w:rFonts w:ascii="黑体" w:hAnsi="黑体" w:eastAsia="黑体" w:cs="宋体"/>
          <w:b/>
          <w:sz w:val="24"/>
        </w:rPr>
      </w:pPr>
      <w:r>
        <w:rPr>
          <w:rFonts w:hint="eastAsia" w:ascii="黑体" w:hAnsi="黑体" w:eastAsia="黑体" w:cs="宋体"/>
          <w:b/>
          <w:sz w:val="24"/>
        </w:rPr>
        <w:t>（二）公布在投标截止时间前冀东阳光平台投标的资料,本案为网上投标；</w:t>
      </w:r>
    </w:p>
    <w:p>
      <w:pPr>
        <w:spacing w:line="360" w:lineRule="auto"/>
        <w:rPr>
          <w:rFonts w:ascii="黑体" w:hAnsi="黑体" w:eastAsia="黑体" w:cs="宋体"/>
          <w:b/>
          <w:sz w:val="24"/>
        </w:rPr>
      </w:pPr>
      <w:bookmarkStart w:id="161" w:name="_Toc152045562"/>
      <w:bookmarkStart w:id="162" w:name="_Toc152042338"/>
      <w:bookmarkStart w:id="163" w:name="_Toc179632580"/>
      <w:bookmarkStart w:id="164" w:name="_Toc144974530"/>
      <w:bookmarkStart w:id="165" w:name="_Toc13582020"/>
      <w:bookmarkStart w:id="166" w:name="_Toc12892313"/>
      <w:r>
        <w:rPr>
          <w:rFonts w:hint="eastAsia" w:ascii="黑体" w:hAnsi="黑体" w:eastAsia="黑体" w:cs="宋体"/>
          <w:b/>
          <w:sz w:val="24"/>
        </w:rPr>
        <w:t>6. 评标</w:t>
      </w:r>
      <w:bookmarkEnd w:id="161"/>
      <w:bookmarkEnd w:id="162"/>
      <w:bookmarkEnd w:id="163"/>
      <w:bookmarkEnd w:id="164"/>
      <w:bookmarkEnd w:id="165"/>
      <w:bookmarkEnd w:id="166"/>
      <w:bookmarkStart w:id="167" w:name="_Toc152042339"/>
      <w:bookmarkStart w:id="168" w:name="_Toc152045563"/>
      <w:bookmarkStart w:id="169" w:name="_Toc144974531"/>
      <w:bookmarkStart w:id="170" w:name="_Toc448700522"/>
      <w:bookmarkStart w:id="171" w:name="_Toc179632581"/>
      <w:bookmarkStart w:id="172" w:name="_Toc14074"/>
    </w:p>
    <w:p>
      <w:pPr>
        <w:spacing w:line="360" w:lineRule="auto"/>
        <w:rPr>
          <w:rFonts w:ascii="黑体" w:hAnsi="黑体" w:eastAsia="黑体" w:cs="宋体"/>
          <w:b/>
          <w:sz w:val="24"/>
        </w:rPr>
      </w:pPr>
      <w:bookmarkStart w:id="173" w:name="_Toc12892315"/>
      <w:bookmarkStart w:id="174" w:name="_Toc13582022"/>
      <w:r>
        <w:rPr>
          <w:rFonts w:hint="eastAsia" w:ascii="黑体" w:hAnsi="黑体" w:eastAsia="黑体" w:cs="宋体"/>
          <w:b/>
          <w:sz w:val="24"/>
        </w:rPr>
        <w:t>6.1评标委员会</w:t>
      </w:r>
      <w:bookmarkEnd w:id="167"/>
      <w:bookmarkEnd w:id="168"/>
      <w:bookmarkEnd w:id="169"/>
      <w:bookmarkEnd w:id="170"/>
      <w:bookmarkEnd w:id="171"/>
      <w:bookmarkEnd w:id="172"/>
      <w:bookmarkEnd w:id="173"/>
      <w:bookmarkEnd w:id="174"/>
    </w:p>
    <w:p>
      <w:pPr>
        <w:spacing w:line="360" w:lineRule="auto"/>
        <w:ind w:firstLine="482" w:firstLineChars="200"/>
        <w:rPr>
          <w:rFonts w:ascii="黑体" w:hAnsi="黑体" w:eastAsia="黑体" w:cs="宋体"/>
          <w:b/>
          <w:sz w:val="24"/>
        </w:rPr>
      </w:pPr>
      <w:bookmarkStart w:id="175" w:name="_Toc448700523"/>
      <w:bookmarkStart w:id="176" w:name="_Toc15374"/>
      <w:bookmarkStart w:id="177" w:name="_Toc179632582"/>
      <w:bookmarkStart w:id="178" w:name="_Toc144974532"/>
      <w:bookmarkStart w:id="179" w:name="_Toc152045564"/>
      <w:bookmarkStart w:id="180" w:name="_Toc152042340"/>
      <w:r>
        <w:rPr>
          <w:rFonts w:hint="eastAsia" w:ascii="黑体" w:hAnsi="黑体" w:eastAsia="黑体" w:cs="宋体"/>
          <w:b/>
          <w:sz w:val="24"/>
        </w:rPr>
        <w:t>由台泥(辽宁)水泥有限公司厂内组建评标委员会。评标委员会负责评标工作。</w:t>
      </w:r>
    </w:p>
    <w:p>
      <w:pPr>
        <w:spacing w:line="360" w:lineRule="auto"/>
        <w:rPr>
          <w:rFonts w:ascii="黑体" w:hAnsi="黑体" w:eastAsia="黑体" w:cs="宋体"/>
          <w:b/>
          <w:sz w:val="24"/>
        </w:rPr>
      </w:pPr>
      <w:bookmarkStart w:id="181" w:name="_Toc13582023"/>
      <w:bookmarkStart w:id="182" w:name="_Toc12892316"/>
      <w:r>
        <w:rPr>
          <w:rFonts w:hint="eastAsia" w:ascii="黑体" w:hAnsi="黑体" w:eastAsia="黑体" w:cs="宋体"/>
          <w:b/>
          <w:sz w:val="24"/>
        </w:rPr>
        <w:t>6.2 评标原则</w:t>
      </w:r>
      <w:bookmarkEnd w:id="175"/>
      <w:bookmarkEnd w:id="176"/>
      <w:bookmarkEnd w:id="177"/>
      <w:bookmarkEnd w:id="178"/>
      <w:bookmarkEnd w:id="179"/>
      <w:bookmarkEnd w:id="180"/>
      <w:bookmarkEnd w:id="181"/>
      <w:bookmarkEnd w:id="182"/>
      <w:r>
        <w:rPr>
          <w:rFonts w:hint="eastAsia" w:ascii="黑体" w:hAnsi="黑体" w:eastAsia="黑体" w:cs="宋体"/>
          <w:b/>
          <w:sz w:val="24"/>
        </w:rPr>
        <w:tab/>
      </w:r>
    </w:p>
    <w:p>
      <w:pPr>
        <w:spacing w:line="360" w:lineRule="auto"/>
        <w:ind w:firstLine="482" w:firstLineChars="200"/>
        <w:rPr>
          <w:rFonts w:ascii="黑体" w:hAnsi="黑体" w:eastAsia="黑体" w:cs="宋体"/>
          <w:b/>
          <w:sz w:val="24"/>
        </w:rPr>
      </w:pPr>
      <w:r>
        <w:rPr>
          <w:rFonts w:hint="eastAsia" w:ascii="黑体" w:hAnsi="黑体" w:eastAsia="黑体" w:cs="宋体"/>
          <w:b/>
          <w:sz w:val="24"/>
        </w:rPr>
        <w:t>评标活动遵循公平、公正、科学和择优的原则。</w:t>
      </w:r>
    </w:p>
    <w:p>
      <w:pPr>
        <w:spacing w:line="360" w:lineRule="auto"/>
        <w:rPr>
          <w:rFonts w:ascii="黑体" w:hAnsi="黑体" w:eastAsia="黑体" w:cs="宋体"/>
          <w:b/>
          <w:sz w:val="24"/>
        </w:rPr>
      </w:pPr>
      <w:bookmarkStart w:id="183" w:name="_Toc152045565"/>
      <w:bookmarkStart w:id="184" w:name="_Toc152042341"/>
      <w:bookmarkStart w:id="185" w:name="_Toc13582024"/>
      <w:bookmarkStart w:id="186" w:name="_Toc448700524"/>
      <w:bookmarkStart w:id="187" w:name="_Toc179632583"/>
      <w:bookmarkStart w:id="188" w:name="_Toc144974533"/>
      <w:bookmarkStart w:id="189" w:name="_Toc2186"/>
      <w:bookmarkStart w:id="190" w:name="_Toc12892317"/>
      <w:r>
        <w:rPr>
          <w:rFonts w:hint="eastAsia" w:ascii="黑体" w:hAnsi="黑体" w:eastAsia="黑体" w:cs="宋体"/>
          <w:b/>
          <w:sz w:val="24"/>
        </w:rPr>
        <w:t>6.3评标</w:t>
      </w:r>
      <w:bookmarkEnd w:id="183"/>
      <w:bookmarkEnd w:id="184"/>
      <w:bookmarkEnd w:id="185"/>
      <w:bookmarkEnd w:id="186"/>
      <w:bookmarkEnd w:id="187"/>
      <w:bookmarkEnd w:id="188"/>
      <w:bookmarkEnd w:id="189"/>
      <w:bookmarkEnd w:id="190"/>
    </w:p>
    <w:p>
      <w:pPr>
        <w:spacing w:line="360" w:lineRule="auto"/>
        <w:ind w:firstLine="482" w:firstLineChars="200"/>
        <w:rPr>
          <w:rFonts w:ascii="黑体" w:hAnsi="黑体" w:eastAsia="黑体" w:cs="宋体"/>
          <w:b/>
          <w:sz w:val="24"/>
        </w:rPr>
      </w:pPr>
      <w:r>
        <w:rPr>
          <w:rFonts w:hint="eastAsia" w:ascii="黑体" w:hAnsi="黑体" w:eastAsia="黑体" w:cs="宋体"/>
          <w:b/>
          <w:sz w:val="24"/>
        </w:rPr>
        <w:t>评标委员会按照第五章“评标办法和标准”规定的评审因素、标准对投标文件进行评审。</w:t>
      </w:r>
    </w:p>
    <w:p>
      <w:pPr>
        <w:spacing w:line="360" w:lineRule="auto"/>
        <w:rPr>
          <w:rFonts w:ascii="黑体" w:hAnsi="黑体" w:eastAsia="黑体" w:cs="宋体"/>
          <w:b/>
          <w:sz w:val="24"/>
        </w:rPr>
      </w:pPr>
      <w:r>
        <w:rPr>
          <w:rFonts w:hint="eastAsia" w:ascii="黑体" w:hAnsi="黑体" w:eastAsia="黑体" w:cs="宋体"/>
          <w:b/>
          <w:sz w:val="24"/>
        </w:rPr>
        <w:t>7中标</w:t>
      </w:r>
    </w:p>
    <w:p>
      <w:pPr>
        <w:pStyle w:val="5"/>
        <w:spacing w:before="120" w:after="60" w:line="360" w:lineRule="auto"/>
        <w:rPr>
          <w:rFonts w:ascii="黑体" w:hAnsi="黑体" w:cs="宋体"/>
          <w:b/>
          <w:bCs w:val="0"/>
          <w:kern w:val="2"/>
          <w:sz w:val="24"/>
          <w:szCs w:val="24"/>
          <w:lang w:bidi="he-IL"/>
        </w:rPr>
      </w:pPr>
      <w:bookmarkStart w:id="191" w:name="_Toc12892321"/>
      <w:bookmarkStart w:id="192" w:name="_Toc32510"/>
      <w:bookmarkStart w:id="193" w:name="_Toc144974536"/>
      <w:bookmarkStart w:id="194" w:name="_Toc448700527"/>
      <w:bookmarkStart w:id="195" w:name="_Toc179632586"/>
      <w:bookmarkStart w:id="196" w:name="_Toc152042344"/>
      <w:bookmarkStart w:id="197" w:name="_Toc152045568"/>
      <w:bookmarkStart w:id="198" w:name="_Toc13582028"/>
      <w:r>
        <w:rPr>
          <w:rFonts w:hint="eastAsia" w:ascii="黑体" w:hAnsi="黑体" w:cs="宋体"/>
          <w:b/>
          <w:bCs w:val="0"/>
          <w:kern w:val="2"/>
          <w:sz w:val="24"/>
          <w:szCs w:val="24"/>
          <w:lang w:bidi="he-IL"/>
        </w:rPr>
        <w:t>7.1 中标通知</w:t>
      </w:r>
      <w:bookmarkEnd w:id="191"/>
      <w:bookmarkEnd w:id="192"/>
      <w:bookmarkEnd w:id="193"/>
      <w:bookmarkEnd w:id="194"/>
      <w:bookmarkEnd w:id="195"/>
      <w:bookmarkEnd w:id="196"/>
      <w:bookmarkEnd w:id="197"/>
      <w:bookmarkEnd w:id="198"/>
    </w:p>
    <w:p>
      <w:pPr>
        <w:spacing w:line="360" w:lineRule="auto"/>
        <w:ind w:firstLine="482" w:firstLineChars="200"/>
        <w:rPr>
          <w:rFonts w:ascii="黑体" w:hAnsi="黑体" w:eastAsia="黑体" w:cs="宋体"/>
          <w:b/>
          <w:sz w:val="24"/>
          <w:lang w:bidi="he-IL"/>
        </w:rPr>
      </w:pPr>
      <w:r>
        <w:rPr>
          <w:rFonts w:hint="eastAsia" w:ascii="黑体" w:hAnsi="黑体" w:eastAsia="黑体" w:cs="宋体"/>
          <w:b/>
          <w:sz w:val="24"/>
          <w:lang w:bidi="he-IL"/>
        </w:rPr>
        <w:t>在投标有效期内，招标人通过金隅冀东阳光平台公告形式向中标人发出中标通知。</w:t>
      </w:r>
    </w:p>
    <w:p>
      <w:pPr>
        <w:pStyle w:val="2"/>
        <w:spacing w:line="360" w:lineRule="auto"/>
        <w:rPr>
          <w:rFonts w:ascii="黑体" w:hAnsi="黑体" w:cs="宋体"/>
          <w:b/>
          <w:sz w:val="24"/>
          <w:szCs w:val="24"/>
        </w:rPr>
      </w:pPr>
      <w:r>
        <w:rPr>
          <w:rFonts w:hint="eastAsia" w:ascii="黑体" w:hAnsi="黑体" w:cs="宋体"/>
          <w:b/>
          <w:sz w:val="24"/>
          <w:szCs w:val="24"/>
        </w:rPr>
        <w:t>8合同授予</w:t>
      </w:r>
    </w:p>
    <w:p>
      <w:pPr>
        <w:pStyle w:val="2"/>
        <w:spacing w:line="360" w:lineRule="auto"/>
        <w:rPr>
          <w:rFonts w:ascii="黑体" w:hAnsi="黑体" w:cs="宋体"/>
          <w:b/>
          <w:sz w:val="24"/>
          <w:szCs w:val="24"/>
        </w:rPr>
      </w:pPr>
      <w:r>
        <w:rPr>
          <w:rFonts w:hint="eastAsia" w:ascii="黑体" w:hAnsi="黑体" w:cs="宋体"/>
          <w:b/>
          <w:sz w:val="24"/>
          <w:szCs w:val="24"/>
        </w:rPr>
        <w:t>8.1签订合同</w:t>
      </w:r>
    </w:p>
    <w:p>
      <w:pPr>
        <w:spacing w:line="360" w:lineRule="auto"/>
        <w:ind w:firstLine="500"/>
        <w:rPr>
          <w:rFonts w:ascii="黑体" w:hAnsi="黑体" w:eastAsia="黑体"/>
          <w:b/>
          <w:sz w:val="24"/>
        </w:rPr>
      </w:pPr>
      <w:r>
        <w:rPr>
          <w:rFonts w:hint="eastAsia" w:ascii="黑体" w:hAnsi="黑体" w:eastAsia="黑体"/>
          <w:b/>
          <w:sz w:val="24"/>
        </w:rPr>
        <w:t>8.1 招标人向中标人发出中标通知书之日起3日内，按照招标文件和中标人的投标文件订立书面合同。</w:t>
      </w:r>
    </w:p>
    <w:p>
      <w:pPr>
        <w:spacing w:line="360" w:lineRule="auto"/>
        <w:ind w:firstLine="361" w:firstLineChars="150"/>
        <w:rPr>
          <w:rFonts w:ascii="黑体" w:hAnsi="黑体" w:eastAsia="黑体"/>
          <w:b/>
          <w:sz w:val="24"/>
        </w:rPr>
      </w:pPr>
      <w:r>
        <w:rPr>
          <w:rFonts w:hint="eastAsia" w:ascii="黑体" w:hAnsi="黑体" w:eastAsia="黑体"/>
          <w:b/>
          <w:sz w:val="24"/>
        </w:rPr>
        <w:t xml:space="preserve"> 8.2 中标人如不按本投标须知第8.1款的规定与招标人订立合同，则招标人将废除授标，投标保证金不予退还并将投标人列为黑名单，给招标人造成的损失超过投标保证金数额的，还应当对超过部分予以赔偿，同时依法承担相应法律责任。</w:t>
      </w:r>
    </w:p>
    <w:p>
      <w:pPr>
        <w:spacing w:line="360" w:lineRule="auto"/>
        <w:ind w:firstLine="500"/>
        <w:rPr>
          <w:rFonts w:ascii="黑体" w:hAnsi="黑体" w:eastAsia="黑体"/>
          <w:b/>
          <w:sz w:val="24"/>
        </w:rPr>
      </w:pPr>
      <w:r>
        <w:rPr>
          <w:rFonts w:hint="eastAsia" w:ascii="黑体" w:hAnsi="黑体" w:eastAsia="黑体"/>
          <w:b/>
          <w:sz w:val="24"/>
        </w:rPr>
        <w:t>8.3 中标人应当按照合同约定履行义务，完成中标项目，不得将中标项目施工转让（转包）给他人。</w:t>
      </w:r>
    </w:p>
    <w:p>
      <w:pPr>
        <w:rPr>
          <w:rFonts w:ascii="黑体" w:hAnsi="黑体" w:eastAsia="黑体"/>
          <w:b/>
          <w:bCs/>
          <w:sz w:val="36"/>
          <w:szCs w:val="36"/>
        </w:rPr>
      </w:pPr>
      <w:r>
        <w:rPr>
          <w:rFonts w:hint="eastAsia" w:ascii="黑体" w:hAnsi="黑体" w:eastAsia="黑体" w:cs="宋体"/>
          <w:b/>
          <w:sz w:val="24"/>
        </w:rPr>
        <w:br w:type="page"/>
      </w:r>
      <w:bookmarkStart w:id="199" w:name="_Toc24393_WPSOffice_Level1"/>
      <w:r>
        <w:rPr>
          <w:rFonts w:ascii="黑体" w:hAnsi="黑体" w:eastAsia="黑体"/>
          <w:b/>
        </w:rPr>
        <w:drawing>
          <wp:inline distT="0" distB="0" distL="0" distR="0">
            <wp:extent cx="904875" cy="247650"/>
            <wp:effectExtent l="0" t="0" r="9525" b="0"/>
            <wp:docPr id="1" name="图片 1" descr="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04875" cy="247650"/>
                    </a:xfrm>
                    <a:prstGeom prst="rect">
                      <a:avLst/>
                    </a:prstGeom>
                    <a:noFill/>
                    <a:ln>
                      <a:noFill/>
                    </a:ln>
                  </pic:spPr>
                </pic:pic>
              </a:graphicData>
            </a:graphic>
          </wp:inline>
        </w:drawing>
      </w:r>
      <w:r>
        <w:rPr>
          <w:rFonts w:hint="eastAsia" w:ascii="黑体" w:hAnsi="黑体" w:eastAsia="黑体"/>
          <w:b/>
          <w:bCs/>
          <w:sz w:val="36"/>
          <w:szCs w:val="36"/>
        </w:rPr>
        <w:t xml:space="preserve">    </w:t>
      </w:r>
      <w:bookmarkEnd w:id="199"/>
      <w:bookmarkStart w:id="200" w:name="_Toc22008_WPSOffice_Level1"/>
      <w:r>
        <w:rPr>
          <w:rFonts w:hint="eastAsia" w:ascii="黑体" w:hAnsi="黑体" w:eastAsia="黑体"/>
          <w:b/>
          <w:bCs/>
          <w:sz w:val="36"/>
          <w:szCs w:val="36"/>
        </w:rPr>
        <w:t>第三章 项目概况技术及商务要求</w:t>
      </w:r>
    </w:p>
    <w:p>
      <w:pPr>
        <w:tabs>
          <w:tab w:val="left" w:pos="240"/>
          <w:tab w:val="left" w:pos="1920"/>
          <w:tab w:val="left" w:pos="2880"/>
          <w:tab w:val="left" w:pos="3840"/>
          <w:tab w:val="left" w:pos="4800"/>
          <w:tab w:val="left" w:pos="5760"/>
          <w:tab w:val="left" w:pos="6720"/>
          <w:tab w:val="left" w:pos="7680"/>
          <w:tab w:val="left" w:pos="8640"/>
          <w:tab w:val="left" w:pos="90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0" w:lineRule="atLeast"/>
        <w:ind w:right="720"/>
        <w:jc w:val="center"/>
        <w:rPr>
          <w:rFonts w:hAnsi="DFKai-SB"/>
          <w:b/>
          <w:sz w:val="30"/>
          <w:szCs w:val="30"/>
        </w:rPr>
      </w:pPr>
      <w:r>
        <w:rPr>
          <w:rFonts w:hint="eastAsia" w:hAnsi="DFKai-SB"/>
          <w:b/>
          <w:sz w:val="30"/>
          <w:szCs w:val="30"/>
        </w:rPr>
        <w:t>五十公斤硅酸盐水泥二层复合聚丙烯包装袋采购规范及验收标准</w:t>
      </w:r>
    </w:p>
    <w:p>
      <w:pPr>
        <w:tabs>
          <w:tab w:val="left" w:pos="240"/>
          <w:tab w:val="left" w:pos="1920"/>
          <w:tab w:val="left" w:pos="2880"/>
          <w:tab w:val="left" w:pos="3840"/>
          <w:tab w:val="left" w:pos="4800"/>
          <w:tab w:val="left" w:pos="5760"/>
          <w:tab w:val="left" w:pos="6720"/>
          <w:tab w:val="left" w:pos="7680"/>
          <w:tab w:val="left" w:pos="8640"/>
          <w:tab w:val="left" w:pos="90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0" w:lineRule="atLeast"/>
        <w:ind w:right="720"/>
        <w:jc w:val="center"/>
        <w:rPr>
          <w:rFonts w:eastAsia="DFKai-SB"/>
        </w:rPr>
      </w:pPr>
    </w:p>
    <w:p>
      <w:pPr>
        <w:spacing w:line="536870532" w:lineRule="auto"/>
        <w:rPr>
          <w:rFonts w:hAnsi="DFKai-SB"/>
          <w:b/>
          <w:szCs w:val="21"/>
        </w:rPr>
      </w:pPr>
      <w:r>
        <w:rPr>
          <w:rFonts w:hint="eastAsia" w:hAnsi="DFKai-SB"/>
          <w:b/>
          <w:szCs w:val="21"/>
        </w:rPr>
        <w:t>一、适用范围：</w:t>
      </w:r>
    </w:p>
    <w:p>
      <w:pPr>
        <w:spacing w:line="536870532" w:lineRule="auto"/>
        <w:ind w:left="257" w:firstLine="310"/>
        <w:rPr>
          <w:rFonts w:hAnsi="DFKai-SB"/>
          <w:szCs w:val="21"/>
        </w:rPr>
      </w:pPr>
      <w:r>
        <w:rPr>
          <w:rFonts w:hint="eastAsia" w:hAnsi="DFKai-SB"/>
          <w:szCs w:val="21"/>
        </w:rPr>
        <w:t>适用于全自动包装机包装水泥之水泥袋。</w:t>
      </w:r>
    </w:p>
    <w:p>
      <w:pPr>
        <w:spacing w:line="536870532" w:lineRule="auto"/>
        <w:ind w:left="843" w:hanging="843" w:hangingChars="400"/>
        <w:rPr>
          <w:rFonts w:hAnsi="DFKai-SB"/>
          <w:b/>
          <w:szCs w:val="21"/>
        </w:rPr>
      </w:pPr>
      <w:r>
        <w:rPr>
          <w:rFonts w:hint="eastAsia" w:hAnsi="DFKai-SB"/>
          <w:b/>
          <w:szCs w:val="21"/>
        </w:rPr>
        <w:t>二、包装袋组成及形式：</w:t>
      </w:r>
    </w:p>
    <w:p>
      <w:pPr>
        <w:spacing w:line="536870532" w:lineRule="auto"/>
        <w:ind w:left="567"/>
        <w:rPr>
          <w:rFonts w:ascii="宋体" w:hAnsi="宋体"/>
          <w:szCs w:val="21"/>
        </w:rPr>
      </w:pPr>
      <w:r>
        <w:rPr>
          <w:rFonts w:hint="eastAsia" w:hAnsi="DFKai-SB"/>
          <w:szCs w:val="21"/>
        </w:rPr>
        <w:t>为</w:t>
      </w:r>
      <w:r>
        <w:rPr>
          <w:rFonts w:hint="eastAsia" w:hAnsi="DFKai-SB"/>
          <w:szCs w:val="21"/>
          <w:highlight w:val="yellow"/>
        </w:rPr>
        <w:t>聚丙烯膜</w:t>
      </w:r>
      <w:r>
        <w:rPr>
          <w:szCs w:val="21"/>
          <w:highlight w:val="yellow"/>
        </w:rPr>
        <w:t>+</w:t>
      </w:r>
      <w:r>
        <w:rPr>
          <w:rFonts w:hint="eastAsia"/>
          <w:szCs w:val="21"/>
          <w:highlight w:val="yellow"/>
        </w:rPr>
        <w:t>聚乙烯</w:t>
      </w:r>
      <w:r>
        <w:rPr>
          <w:rFonts w:hint="eastAsia" w:hAnsi="DFKai-SB"/>
          <w:szCs w:val="21"/>
          <w:highlight w:val="yellow"/>
        </w:rPr>
        <w:t>二层</w:t>
      </w:r>
      <w:r>
        <w:rPr>
          <w:rFonts w:hint="eastAsia" w:hAnsi="DFKai-SB"/>
          <w:szCs w:val="21"/>
        </w:rPr>
        <w:t>贴合而成</w:t>
      </w:r>
      <w:r>
        <w:rPr>
          <w:rFonts w:hint="eastAsia" w:hAnsi="DFKai-SB"/>
          <w:szCs w:val="21"/>
          <w:highlight w:val="yellow"/>
        </w:rPr>
        <w:t>复合聚丙烯包装袋</w:t>
      </w:r>
      <w:r>
        <w:rPr>
          <w:rFonts w:hint="eastAsia"/>
          <w:szCs w:val="21"/>
        </w:rPr>
        <w:t>，形式为</w:t>
      </w:r>
      <w:r>
        <w:rPr>
          <w:rFonts w:hint="eastAsia" w:hAnsi="DFKai-SB"/>
          <w:szCs w:val="21"/>
          <w:highlight w:val="yellow"/>
        </w:rPr>
        <w:t>折边折口两端缝底开口式</w:t>
      </w:r>
      <w:r>
        <w:rPr>
          <w:rFonts w:hint="eastAsia" w:hAnsi="DFKai-SB"/>
          <w:szCs w:val="21"/>
        </w:rPr>
        <w:t>，</w:t>
      </w:r>
      <w:r>
        <w:rPr>
          <w:rFonts w:hint="eastAsia"/>
          <w:szCs w:val="21"/>
        </w:rPr>
        <w:t>将两端编织布折叠后缝线（封口做成八层）</w:t>
      </w:r>
      <w:r>
        <w:rPr>
          <w:rFonts w:hint="eastAsia" w:ascii="宋体" w:hAnsi="宋体"/>
          <w:szCs w:val="21"/>
        </w:rPr>
        <w:t>。</w:t>
      </w:r>
    </w:p>
    <w:p>
      <w:pPr>
        <w:spacing w:line="536870532" w:lineRule="auto"/>
        <w:ind w:left="843" w:hanging="843" w:hangingChars="400"/>
        <w:rPr>
          <w:rFonts w:hAnsi="DFKai-SB"/>
          <w:b/>
          <w:szCs w:val="21"/>
        </w:rPr>
      </w:pPr>
      <w:r>
        <w:rPr>
          <w:rFonts w:hint="eastAsia" w:hAnsi="DFKai-SB"/>
          <w:b/>
          <w:szCs w:val="21"/>
        </w:rPr>
        <w:t>三、品质规范：</w:t>
      </w:r>
    </w:p>
    <w:p>
      <w:pPr>
        <w:spacing w:line="536870532" w:lineRule="auto"/>
        <w:rPr>
          <w:szCs w:val="21"/>
        </w:rPr>
      </w:pPr>
      <w:r>
        <w:rPr>
          <w:szCs w:val="21"/>
        </w:rPr>
        <w:t xml:space="preserve">   3.1</w:t>
      </w:r>
      <w:r>
        <w:rPr>
          <w:rFonts w:hint="eastAsia"/>
          <w:szCs w:val="21"/>
        </w:rPr>
        <w:t>物理力学性能：</w:t>
      </w:r>
    </w:p>
    <w:tbl>
      <w:tblPr>
        <w:tblStyle w:val="17"/>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
        <w:gridCol w:w="2239"/>
        <w:gridCol w:w="2239"/>
        <w:gridCol w:w="2239"/>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8" w:type="dxa"/>
            <w:tcBorders>
              <w:bottom w:val="nil"/>
            </w:tcBorders>
            <w:shd w:val="clear" w:color="auto" w:fill="auto"/>
            <w:noWrap/>
            <w:vAlign w:val="center"/>
          </w:tcPr>
          <w:p>
            <w:pPr>
              <w:snapToGrid w:val="0"/>
              <w:jc w:val="center"/>
              <w:rPr>
                <w:rFonts w:ascii="PMingLiU" w:hAnsi="PMingLiU" w:eastAsia="PMingLiU"/>
              </w:rPr>
            </w:pPr>
            <w:r>
              <w:rPr>
                <w:rFonts w:hint="eastAsia" w:ascii="PMingLiU" w:hAnsi="PMingLiU"/>
                <w:bCs/>
              </w:rPr>
              <w:t>经向拉力</w:t>
            </w:r>
          </w:p>
        </w:tc>
        <w:tc>
          <w:tcPr>
            <w:tcW w:w="2239" w:type="dxa"/>
            <w:tcBorders>
              <w:bottom w:val="nil"/>
            </w:tcBorders>
            <w:shd w:val="clear" w:color="auto" w:fill="auto"/>
            <w:vAlign w:val="center"/>
          </w:tcPr>
          <w:p>
            <w:pPr>
              <w:snapToGrid w:val="0"/>
              <w:jc w:val="center"/>
              <w:rPr>
                <w:rFonts w:ascii="PMingLiU" w:hAnsi="PMingLiU" w:eastAsia="PMingLiU"/>
              </w:rPr>
            </w:pPr>
            <w:r>
              <w:rPr>
                <w:rFonts w:hint="eastAsia" w:ascii="PMingLiU" w:hAnsi="PMingLiU"/>
                <w:bCs/>
              </w:rPr>
              <w:t>纬向拉力</w:t>
            </w:r>
          </w:p>
        </w:tc>
        <w:tc>
          <w:tcPr>
            <w:tcW w:w="2239" w:type="dxa"/>
            <w:tcBorders>
              <w:bottom w:val="nil"/>
            </w:tcBorders>
            <w:shd w:val="clear" w:color="auto" w:fill="auto"/>
            <w:noWrap/>
            <w:vAlign w:val="center"/>
          </w:tcPr>
          <w:p>
            <w:pPr>
              <w:snapToGrid w:val="0"/>
              <w:jc w:val="center"/>
              <w:rPr>
                <w:rFonts w:ascii="PMingLiU" w:hAnsi="PMingLiU"/>
              </w:rPr>
            </w:pPr>
            <w:r>
              <w:rPr>
                <w:rFonts w:hint="eastAsia" w:ascii="PMingLiU" w:hAnsi="PMingLiU"/>
              </w:rPr>
              <w:t>缝底向拉力</w:t>
            </w:r>
          </w:p>
        </w:tc>
        <w:tc>
          <w:tcPr>
            <w:tcW w:w="2239" w:type="dxa"/>
            <w:tcBorders>
              <w:bottom w:val="nil"/>
            </w:tcBorders>
            <w:vAlign w:val="center"/>
          </w:tcPr>
          <w:p>
            <w:pPr>
              <w:snapToGrid w:val="0"/>
              <w:jc w:val="center"/>
              <w:rPr>
                <w:rFonts w:ascii="PMingLiU" w:hAnsi="PMingLiU" w:eastAsia="PMingLiU"/>
              </w:rPr>
            </w:pPr>
            <w:r>
              <w:rPr>
                <w:rFonts w:hint="eastAsia" w:ascii="PMingLiU" w:hAnsi="PMingLiU"/>
                <w:bCs/>
              </w:rPr>
              <w:t>褶边向</w:t>
            </w:r>
            <w:r>
              <w:rPr>
                <w:rFonts w:hint="eastAsia" w:ascii="PMingLiU" w:hAnsi="PMingLiU"/>
              </w:rPr>
              <w:t>拉力</w:t>
            </w:r>
          </w:p>
        </w:tc>
        <w:tc>
          <w:tcPr>
            <w:tcW w:w="1581" w:type="dxa"/>
            <w:tcBorders>
              <w:bottom w:val="nil"/>
            </w:tcBorders>
            <w:shd w:val="clear" w:color="auto" w:fill="auto"/>
            <w:vAlign w:val="center"/>
          </w:tcPr>
          <w:p>
            <w:pPr>
              <w:snapToGrid w:val="0"/>
              <w:jc w:val="center"/>
              <w:rPr>
                <w:rFonts w:ascii="PMingLiU" w:hAnsi="PMingLiU"/>
              </w:rPr>
            </w:pPr>
            <w:r>
              <w:rPr>
                <w:rFonts w:hint="eastAsia" w:ascii="PMingLiU" w:hAnsi="PMingLiU"/>
              </w:rPr>
              <w:t>单个重量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8" w:type="dxa"/>
            <w:tcBorders>
              <w:top w:val="nil"/>
            </w:tcBorders>
            <w:shd w:val="clear" w:color="auto" w:fill="auto"/>
            <w:noWrap/>
            <w:vAlign w:val="center"/>
          </w:tcPr>
          <w:p>
            <w:pPr>
              <w:snapToGrid w:val="0"/>
              <w:jc w:val="center"/>
              <w:rPr>
                <w:szCs w:val="21"/>
              </w:rPr>
            </w:pPr>
            <w:r>
              <w:rPr>
                <w:szCs w:val="21"/>
              </w:rPr>
              <w:t>N/50mm</w:t>
            </w:r>
          </w:p>
        </w:tc>
        <w:tc>
          <w:tcPr>
            <w:tcW w:w="2239" w:type="dxa"/>
            <w:tcBorders>
              <w:top w:val="nil"/>
            </w:tcBorders>
            <w:shd w:val="clear" w:color="auto" w:fill="auto"/>
            <w:vAlign w:val="center"/>
          </w:tcPr>
          <w:p>
            <w:pPr>
              <w:snapToGrid w:val="0"/>
              <w:jc w:val="center"/>
              <w:rPr>
                <w:szCs w:val="21"/>
              </w:rPr>
            </w:pPr>
            <w:r>
              <w:rPr>
                <w:szCs w:val="21"/>
              </w:rPr>
              <w:t>N/50mm</w:t>
            </w:r>
          </w:p>
        </w:tc>
        <w:tc>
          <w:tcPr>
            <w:tcW w:w="2239" w:type="dxa"/>
            <w:tcBorders>
              <w:top w:val="nil"/>
            </w:tcBorders>
            <w:shd w:val="clear" w:color="auto" w:fill="auto"/>
            <w:vAlign w:val="center"/>
          </w:tcPr>
          <w:p>
            <w:pPr>
              <w:snapToGrid w:val="0"/>
              <w:jc w:val="center"/>
              <w:rPr>
                <w:szCs w:val="21"/>
              </w:rPr>
            </w:pPr>
            <w:r>
              <w:rPr>
                <w:szCs w:val="21"/>
              </w:rPr>
              <w:t>N/50mm</w:t>
            </w:r>
          </w:p>
        </w:tc>
        <w:tc>
          <w:tcPr>
            <w:tcW w:w="2239" w:type="dxa"/>
            <w:tcBorders>
              <w:top w:val="nil"/>
            </w:tcBorders>
            <w:vAlign w:val="center"/>
          </w:tcPr>
          <w:p>
            <w:pPr>
              <w:snapToGrid w:val="0"/>
              <w:jc w:val="center"/>
              <w:rPr>
                <w:szCs w:val="21"/>
              </w:rPr>
            </w:pPr>
            <w:r>
              <w:rPr>
                <w:szCs w:val="21"/>
              </w:rPr>
              <w:t>N/50mm</w:t>
            </w:r>
          </w:p>
        </w:tc>
        <w:tc>
          <w:tcPr>
            <w:tcW w:w="1581" w:type="dxa"/>
            <w:tcBorders>
              <w:top w:val="nil"/>
            </w:tcBorders>
            <w:shd w:val="clear" w:color="auto" w:fill="auto"/>
            <w:vAlign w:val="center"/>
          </w:tcPr>
          <w:p>
            <w:pPr>
              <w:snapToGrid w:val="0"/>
              <w:jc w:val="center"/>
              <w:rPr>
                <w:szCs w:val="21"/>
              </w:rPr>
            </w:pPr>
            <w:r>
              <w:rPr>
                <w:szCs w:val="21"/>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8" w:type="dxa"/>
            <w:shd w:val="clear" w:color="auto" w:fill="auto"/>
            <w:noWrap/>
            <w:vAlign w:val="center"/>
          </w:tcPr>
          <w:p>
            <w:pPr>
              <w:snapToGrid w:val="0"/>
              <w:jc w:val="center"/>
              <w:rPr>
                <w:b/>
                <w:szCs w:val="21"/>
              </w:rPr>
            </w:pPr>
            <w:r>
              <w:rPr>
                <w:rFonts w:hint="eastAsia"/>
                <w:b/>
                <w:szCs w:val="21"/>
              </w:rPr>
              <w:t>≥</w:t>
            </w:r>
            <w:r>
              <w:rPr>
                <w:b/>
                <w:szCs w:val="21"/>
              </w:rPr>
              <w:t>4</w:t>
            </w:r>
            <w:r>
              <w:rPr>
                <w:rFonts w:hint="eastAsia"/>
                <w:b/>
                <w:szCs w:val="21"/>
              </w:rPr>
              <w:t>5</w:t>
            </w:r>
            <w:r>
              <w:rPr>
                <w:b/>
                <w:szCs w:val="21"/>
              </w:rPr>
              <w:t>0</w:t>
            </w:r>
          </w:p>
        </w:tc>
        <w:tc>
          <w:tcPr>
            <w:tcW w:w="2239" w:type="dxa"/>
            <w:shd w:val="clear" w:color="auto" w:fill="auto"/>
            <w:vAlign w:val="center"/>
          </w:tcPr>
          <w:p>
            <w:pPr>
              <w:snapToGrid w:val="0"/>
              <w:jc w:val="center"/>
              <w:rPr>
                <w:b/>
                <w:szCs w:val="21"/>
              </w:rPr>
            </w:pPr>
            <w:r>
              <w:rPr>
                <w:rFonts w:hint="eastAsia"/>
                <w:b/>
                <w:szCs w:val="21"/>
              </w:rPr>
              <w:t>≥40</w:t>
            </w:r>
            <w:r>
              <w:rPr>
                <w:b/>
                <w:szCs w:val="21"/>
              </w:rPr>
              <w:t>0</w:t>
            </w:r>
          </w:p>
        </w:tc>
        <w:tc>
          <w:tcPr>
            <w:tcW w:w="2239" w:type="dxa"/>
            <w:shd w:val="clear" w:color="auto" w:fill="auto"/>
            <w:vAlign w:val="center"/>
          </w:tcPr>
          <w:p>
            <w:pPr>
              <w:snapToGrid w:val="0"/>
              <w:jc w:val="center"/>
              <w:rPr>
                <w:b/>
                <w:szCs w:val="21"/>
              </w:rPr>
            </w:pPr>
            <w:r>
              <w:rPr>
                <w:rFonts w:hint="eastAsia"/>
                <w:b/>
                <w:szCs w:val="21"/>
              </w:rPr>
              <w:t>≥</w:t>
            </w:r>
            <w:r>
              <w:rPr>
                <w:b/>
                <w:szCs w:val="21"/>
              </w:rPr>
              <w:t>2</w:t>
            </w:r>
            <w:r>
              <w:rPr>
                <w:rFonts w:hint="eastAsia"/>
                <w:b/>
                <w:szCs w:val="21"/>
              </w:rPr>
              <w:t>2</w:t>
            </w:r>
            <w:r>
              <w:rPr>
                <w:b/>
                <w:szCs w:val="21"/>
              </w:rPr>
              <w:t>0</w:t>
            </w:r>
          </w:p>
        </w:tc>
        <w:tc>
          <w:tcPr>
            <w:tcW w:w="2239" w:type="dxa"/>
            <w:vAlign w:val="center"/>
          </w:tcPr>
          <w:p>
            <w:pPr>
              <w:snapToGrid w:val="0"/>
              <w:jc w:val="center"/>
              <w:rPr>
                <w:b/>
                <w:szCs w:val="21"/>
              </w:rPr>
            </w:pPr>
            <w:r>
              <w:rPr>
                <w:rFonts w:hint="eastAsia"/>
                <w:b/>
                <w:szCs w:val="21"/>
              </w:rPr>
              <w:t>≥</w:t>
            </w:r>
            <w:r>
              <w:rPr>
                <w:b/>
                <w:szCs w:val="21"/>
              </w:rPr>
              <w:t>200</w:t>
            </w:r>
          </w:p>
        </w:tc>
        <w:tc>
          <w:tcPr>
            <w:tcW w:w="1581" w:type="dxa"/>
            <w:shd w:val="clear" w:color="auto" w:fill="auto"/>
            <w:vAlign w:val="center"/>
          </w:tcPr>
          <w:p>
            <w:pPr>
              <w:snapToGrid w:val="0"/>
              <w:jc w:val="center"/>
              <w:rPr>
                <w:b/>
                <w:szCs w:val="21"/>
              </w:rPr>
            </w:pPr>
            <w:r>
              <w:rPr>
                <w:rFonts w:hint="eastAsia"/>
                <w:b/>
                <w:szCs w:val="21"/>
              </w:rPr>
              <w:t>≥</w:t>
            </w:r>
            <w:r>
              <w:rPr>
                <w:b/>
                <w:szCs w:val="21"/>
              </w:rPr>
              <w:t>77</w:t>
            </w:r>
          </w:p>
        </w:tc>
      </w:tr>
    </w:tbl>
    <w:p>
      <w:pPr>
        <w:spacing w:line="380" w:lineRule="exact"/>
        <w:ind w:left="735" w:leftChars="150" w:hanging="420" w:hangingChars="200"/>
        <w:rPr>
          <w:rFonts w:hAnsi="DFKai-SB" w:eastAsia="DFKai-SB"/>
          <w:szCs w:val="21"/>
        </w:rPr>
      </w:pPr>
      <w:r>
        <w:rPr>
          <w:szCs w:val="21"/>
        </w:rPr>
        <w:t>3.2</w:t>
      </w:r>
      <w:r>
        <w:rPr>
          <w:rFonts w:hint="eastAsia" w:hAnsi="DFKai-SB"/>
          <w:szCs w:val="21"/>
        </w:rPr>
        <w:t>包装袋尺寸</w:t>
      </w:r>
      <w:r>
        <w:rPr>
          <w:rFonts w:hAnsi="DFKai-SB"/>
          <w:szCs w:val="21"/>
        </w:rPr>
        <w:t>(</w:t>
      </w:r>
      <w:r>
        <w:rPr>
          <w:rFonts w:hint="eastAsia" w:hAnsi="DFKai-SB"/>
          <w:szCs w:val="21"/>
        </w:rPr>
        <w:t>单位：</w:t>
      </w:r>
      <w:r>
        <w:rPr>
          <w:rFonts w:hAnsi="DFKai-SB"/>
          <w:szCs w:val="21"/>
        </w:rPr>
        <w:t>mm)</w:t>
      </w:r>
      <w:r>
        <w:rPr>
          <w:rFonts w:hint="eastAsia" w:hAnsi="DFKai-SB"/>
          <w:szCs w:val="21"/>
        </w:rPr>
        <w:t>：</w:t>
      </w:r>
    </w:p>
    <w:tbl>
      <w:tblPr>
        <w:tblStyle w:val="17"/>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81"/>
        <w:gridCol w:w="1331"/>
        <w:gridCol w:w="1775"/>
        <w:gridCol w:w="1627"/>
        <w:gridCol w:w="1848"/>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81" w:type="dxa"/>
            <w:vAlign w:val="center"/>
          </w:tcPr>
          <w:p>
            <w:pPr>
              <w:spacing w:line="320" w:lineRule="exact"/>
              <w:jc w:val="center"/>
              <w:rPr>
                <w:rFonts w:hAnsi="DFKai-SB"/>
                <w:szCs w:val="21"/>
              </w:rPr>
            </w:pPr>
            <w:r>
              <w:rPr>
                <w:rFonts w:hint="eastAsia" w:hAnsi="DFKai-SB"/>
                <w:szCs w:val="21"/>
              </w:rPr>
              <w:t>项目</w:t>
            </w:r>
          </w:p>
        </w:tc>
        <w:tc>
          <w:tcPr>
            <w:tcW w:w="1481" w:type="dxa"/>
            <w:vAlign w:val="center"/>
          </w:tcPr>
          <w:p>
            <w:pPr>
              <w:spacing w:line="320" w:lineRule="exact"/>
              <w:jc w:val="center"/>
              <w:rPr>
                <w:rFonts w:eastAsia="DFKai-SB"/>
                <w:szCs w:val="21"/>
              </w:rPr>
            </w:pPr>
            <w:r>
              <w:rPr>
                <w:rFonts w:hint="eastAsia" w:hAnsi="DFKai-SB"/>
                <w:szCs w:val="21"/>
              </w:rPr>
              <w:t>包装袋全长</w:t>
            </w:r>
          </w:p>
        </w:tc>
        <w:tc>
          <w:tcPr>
            <w:tcW w:w="1331" w:type="dxa"/>
            <w:vAlign w:val="center"/>
          </w:tcPr>
          <w:p>
            <w:pPr>
              <w:spacing w:line="320" w:lineRule="exact"/>
              <w:jc w:val="center"/>
              <w:rPr>
                <w:rFonts w:hAnsi="DFKai-SB"/>
                <w:szCs w:val="21"/>
              </w:rPr>
            </w:pPr>
            <w:r>
              <w:rPr>
                <w:rFonts w:hint="eastAsia" w:hAnsi="DFKai-SB"/>
                <w:szCs w:val="21"/>
              </w:rPr>
              <w:t>包装袋面宽</w:t>
            </w:r>
          </w:p>
        </w:tc>
        <w:tc>
          <w:tcPr>
            <w:tcW w:w="1775" w:type="dxa"/>
            <w:vAlign w:val="center"/>
          </w:tcPr>
          <w:p>
            <w:pPr>
              <w:spacing w:line="320" w:lineRule="exact"/>
              <w:jc w:val="center"/>
              <w:rPr>
                <w:rFonts w:hAnsi="DFKai-SB"/>
                <w:szCs w:val="21"/>
              </w:rPr>
            </w:pPr>
            <w:r>
              <w:rPr>
                <w:rFonts w:hint="eastAsia" w:hAnsi="DFKai-SB"/>
                <w:szCs w:val="21"/>
              </w:rPr>
              <w:t>包装袋有效长度</w:t>
            </w:r>
          </w:p>
        </w:tc>
        <w:tc>
          <w:tcPr>
            <w:tcW w:w="1627" w:type="dxa"/>
            <w:vAlign w:val="center"/>
          </w:tcPr>
          <w:p>
            <w:pPr>
              <w:spacing w:line="320" w:lineRule="exact"/>
              <w:jc w:val="center"/>
              <w:rPr>
                <w:rFonts w:hAnsi="DFKai-SB"/>
                <w:szCs w:val="21"/>
              </w:rPr>
            </w:pPr>
            <w:r>
              <w:rPr>
                <w:rFonts w:hint="eastAsia" w:hAnsi="DFKai-SB"/>
                <w:szCs w:val="21"/>
              </w:rPr>
              <w:t>包装袋阀口宽</w:t>
            </w:r>
          </w:p>
        </w:tc>
        <w:tc>
          <w:tcPr>
            <w:tcW w:w="1848" w:type="dxa"/>
          </w:tcPr>
          <w:p>
            <w:pPr>
              <w:spacing w:line="320" w:lineRule="exact"/>
              <w:jc w:val="center"/>
              <w:rPr>
                <w:rFonts w:hAnsi="DFKai-SB"/>
                <w:szCs w:val="21"/>
              </w:rPr>
            </w:pPr>
            <w:r>
              <w:rPr>
                <w:rFonts w:hint="eastAsia" w:hAnsi="DFKai-SB"/>
                <w:szCs w:val="21"/>
              </w:rPr>
              <w:t>包装袋阀片长度</w:t>
            </w:r>
          </w:p>
        </w:tc>
        <w:tc>
          <w:tcPr>
            <w:tcW w:w="1295" w:type="dxa"/>
          </w:tcPr>
          <w:p>
            <w:pPr>
              <w:spacing w:line="320" w:lineRule="exact"/>
              <w:jc w:val="center"/>
              <w:rPr>
                <w:rFonts w:hAnsi="DFKai-SB"/>
                <w:szCs w:val="21"/>
              </w:rPr>
            </w:pPr>
            <w:r>
              <w:rPr>
                <w:rFonts w:hint="eastAsia" w:hAnsi="DFKai-SB"/>
                <w:szCs w:val="21"/>
              </w:rPr>
              <w:t>缝纫余边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81" w:type="dxa"/>
            <w:vAlign w:val="center"/>
          </w:tcPr>
          <w:p>
            <w:pPr>
              <w:spacing w:line="320" w:lineRule="exact"/>
              <w:jc w:val="center"/>
            </w:pPr>
            <w:r>
              <w:rPr>
                <w:rFonts w:hint="eastAsia"/>
              </w:rPr>
              <w:t>指标范围</w:t>
            </w:r>
          </w:p>
        </w:tc>
        <w:tc>
          <w:tcPr>
            <w:tcW w:w="1481" w:type="dxa"/>
            <w:vAlign w:val="center"/>
          </w:tcPr>
          <w:p>
            <w:pPr>
              <w:spacing w:line="320" w:lineRule="exact"/>
              <w:jc w:val="center"/>
              <w:rPr>
                <w:b/>
                <w:szCs w:val="21"/>
              </w:rPr>
            </w:pPr>
            <w:r>
              <w:rPr>
                <w:rFonts w:hint="eastAsia"/>
                <w:b/>
                <w:szCs w:val="21"/>
              </w:rPr>
              <w:t>770±10</w:t>
            </w:r>
          </w:p>
        </w:tc>
        <w:tc>
          <w:tcPr>
            <w:tcW w:w="1331" w:type="dxa"/>
            <w:vAlign w:val="center"/>
          </w:tcPr>
          <w:p>
            <w:pPr>
              <w:spacing w:line="320" w:lineRule="exact"/>
              <w:jc w:val="center"/>
              <w:rPr>
                <w:b/>
                <w:szCs w:val="21"/>
              </w:rPr>
            </w:pPr>
            <w:r>
              <w:rPr>
                <w:rFonts w:hint="eastAsia"/>
                <w:b/>
                <w:szCs w:val="21"/>
              </w:rPr>
              <w:t>415±5</w:t>
            </w:r>
          </w:p>
        </w:tc>
        <w:tc>
          <w:tcPr>
            <w:tcW w:w="1775" w:type="dxa"/>
            <w:vAlign w:val="center"/>
          </w:tcPr>
          <w:p>
            <w:pPr>
              <w:spacing w:line="320" w:lineRule="exact"/>
              <w:jc w:val="center"/>
              <w:rPr>
                <w:b/>
                <w:szCs w:val="21"/>
              </w:rPr>
            </w:pPr>
            <w:r>
              <w:rPr>
                <w:rFonts w:hint="eastAsia"/>
                <w:b/>
                <w:szCs w:val="21"/>
              </w:rPr>
              <w:t>750±10</w:t>
            </w:r>
          </w:p>
        </w:tc>
        <w:tc>
          <w:tcPr>
            <w:tcW w:w="1627" w:type="dxa"/>
            <w:vAlign w:val="center"/>
          </w:tcPr>
          <w:p>
            <w:pPr>
              <w:spacing w:line="320" w:lineRule="exact"/>
              <w:jc w:val="center"/>
              <w:rPr>
                <w:b/>
                <w:szCs w:val="21"/>
              </w:rPr>
            </w:pPr>
            <w:r>
              <w:rPr>
                <w:b/>
                <w:szCs w:val="21"/>
              </w:rPr>
              <w:t>1</w:t>
            </w:r>
            <w:r>
              <w:rPr>
                <w:rFonts w:hint="eastAsia"/>
                <w:b/>
                <w:szCs w:val="21"/>
              </w:rPr>
              <w:t>10±5</w:t>
            </w:r>
          </w:p>
        </w:tc>
        <w:tc>
          <w:tcPr>
            <w:tcW w:w="1848" w:type="dxa"/>
          </w:tcPr>
          <w:p>
            <w:pPr>
              <w:spacing w:line="320" w:lineRule="exact"/>
              <w:jc w:val="center"/>
              <w:rPr>
                <w:b/>
                <w:szCs w:val="21"/>
              </w:rPr>
            </w:pPr>
            <w:r>
              <w:rPr>
                <w:rFonts w:hint="eastAsia"/>
                <w:b/>
                <w:szCs w:val="21"/>
              </w:rPr>
              <w:t>170±5</w:t>
            </w:r>
          </w:p>
        </w:tc>
        <w:tc>
          <w:tcPr>
            <w:tcW w:w="1295" w:type="dxa"/>
            <w:vAlign w:val="center"/>
          </w:tcPr>
          <w:p>
            <w:pPr>
              <w:spacing w:line="320" w:lineRule="exact"/>
              <w:jc w:val="center"/>
              <w:rPr>
                <w:b/>
                <w:szCs w:val="21"/>
              </w:rPr>
            </w:pPr>
            <w:r>
              <w:rPr>
                <w:rFonts w:hint="eastAsia"/>
                <w:b/>
                <w:szCs w:val="21"/>
              </w:rPr>
              <w:t>20±3</w:t>
            </w:r>
          </w:p>
        </w:tc>
      </w:tr>
    </w:tbl>
    <w:p>
      <w:pPr>
        <w:spacing w:line="360" w:lineRule="exact"/>
        <w:ind w:left="735" w:leftChars="150" w:hanging="420" w:hangingChars="200"/>
        <w:rPr>
          <w:szCs w:val="21"/>
        </w:rPr>
      </w:pPr>
      <w:r>
        <w:rPr>
          <w:rFonts w:hint="eastAsia"/>
          <w:szCs w:val="21"/>
        </w:rPr>
        <w:t>注：实际交货尺寸依各厂设备需求为准。</w:t>
      </w:r>
    </w:p>
    <w:p>
      <w:pPr>
        <w:ind w:left="735" w:leftChars="150" w:hanging="420" w:hangingChars="200"/>
        <w:rPr>
          <w:rFonts w:eastAsia="DFKai-SB"/>
          <w:szCs w:val="21"/>
        </w:rPr>
      </w:pPr>
      <w:r>
        <w:rPr>
          <w:szCs w:val="21"/>
        </w:rPr>
        <w:t xml:space="preserve">3.3 </w:t>
      </w:r>
      <w:r>
        <w:rPr>
          <w:rFonts w:hint="eastAsia"/>
          <w:szCs w:val="21"/>
        </w:rPr>
        <w:t>包装袋</w:t>
      </w:r>
      <w:r>
        <w:rPr>
          <w:rFonts w:hint="eastAsia" w:hAnsi="DFKai-SB"/>
          <w:szCs w:val="21"/>
        </w:rPr>
        <w:t>袋底结构：</w:t>
      </w:r>
    </w:p>
    <w:p>
      <w:pPr>
        <w:ind w:left="2232" w:leftChars="350" w:hanging="1497" w:hangingChars="713"/>
        <w:rPr>
          <w:rFonts w:eastAsia="DFKai-SB"/>
          <w:szCs w:val="21"/>
        </w:rPr>
      </w:pPr>
      <w:r>
        <w:rPr>
          <w:szCs w:val="21"/>
        </w:rPr>
        <w:t>3.3.1</w:t>
      </w:r>
      <w:r>
        <w:rPr>
          <w:rFonts w:hint="eastAsia"/>
          <w:szCs w:val="21"/>
        </w:rPr>
        <w:t>封口要求：</w:t>
      </w:r>
      <w:r>
        <w:rPr>
          <w:rFonts w:hint="eastAsia" w:hAnsi="DFKai-SB"/>
          <w:szCs w:val="21"/>
        </w:rPr>
        <w:t>以</w:t>
      </w:r>
      <w:r>
        <w:rPr>
          <w:szCs w:val="21"/>
        </w:rPr>
        <w:t>48mm</w:t>
      </w:r>
      <w:r>
        <w:rPr>
          <w:rFonts w:hint="eastAsia" w:hAnsi="DFKai-SB"/>
          <w:szCs w:val="21"/>
        </w:rPr>
        <w:t>宽，基重</w:t>
      </w:r>
      <w:r>
        <w:rPr>
          <w:szCs w:val="21"/>
        </w:rPr>
        <w:t>78g/</w:t>
      </w:r>
      <w:r>
        <w:rPr>
          <w:rFonts w:hint="eastAsia" w:hAnsi="DFKai-SB"/>
          <w:szCs w:val="21"/>
        </w:rPr>
        <w:t>㎡。</w:t>
      </w:r>
    </w:p>
    <w:p>
      <w:pPr>
        <w:ind w:left="2229" w:leftChars="354" w:right="269" w:rightChars="128" w:hanging="1486" w:hangingChars="708"/>
        <w:rPr>
          <w:rFonts w:eastAsia="DFKai-SB"/>
          <w:szCs w:val="21"/>
        </w:rPr>
      </w:pPr>
      <w:r>
        <w:rPr>
          <w:szCs w:val="21"/>
        </w:rPr>
        <w:t>3.3.2</w:t>
      </w:r>
      <w:r>
        <w:rPr>
          <w:rFonts w:hint="eastAsia" w:hAnsi="DFKai-SB"/>
          <w:szCs w:val="21"/>
        </w:rPr>
        <w:t>缝底方式：采用折叠后缝线方式，折边宽度为20±</w:t>
      </w:r>
      <w:r>
        <w:rPr>
          <w:rFonts w:hAnsi="DFKai-SB"/>
          <w:szCs w:val="21"/>
        </w:rPr>
        <w:t>3mm</w:t>
      </w:r>
      <w:r>
        <w:rPr>
          <w:rFonts w:hint="eastAsia" w:hAnsi="DFKai-SB"/>
          <w:szCs w:val="21"/>
        </w:rPr>
        <w:t>，缝线位置为</w:t>
      </w:r>
      <w:r>
        <w:rPr>
          <w:rFonts w:hAnsi="DFKai-SB"/>
          <w:szCs w:val="21"/>
        </w:rPr>
        <w:t>12.5</w:t>
      </w:r>
      <w:r>
        <w:rPr>
          <w:rFonts w:hint="eastAsia" w:hAnsi="DFKai-SB"/>
          <w:szCs w:val="21"/>
        </w:rPr>
        <w:t>±</w:t>
      </w:r>
      <w:r>
        <w:rPr>
          <w:rFonts w:hAnsi="DFKai-SB"/>
          <w:szCs w:val="21"/>
        </w:rPr>
        <w:t>2.5mm</w:t>
      </w:r>
      <w:r>
        <w:rPr>
          <w:rFonts w:hint="eastAsia" w:hAnsi="DFKai-SB"/>
          <w:szCs w:val="21"/>
        </w:rPr>
        <w:t>,车缝时所有针孔须全部穿过包装袋层，缝线针孔间距为≤</w:t>
      </w:r>
      <w:r>
        <w:rPr>
          <w:szCs w:val="21"/>
        </w:rPr>
        <w:t>1</w:t>
      </w:r>
      <w:r>
        <w:rPr>
          <w:rFonts w:hint="eastAsia"/>
          <w:szCs w:val="21"/>
        </w:rPr>
        <w:t>1</w:t>
      </w:r>
      <w:r>
        <w:rPr>
          <w:szCs w:val="21"/>
        </w:rPr>
        <w:t>mm</w:t>
      </w:r>
      <w:r>
        <w:rPr>
          <w:rFonts w:hint="eastAsia" w:hAnsi="DFKai-SB"/>
          <w:szCs w:val="21"/>
        </w:rPr>
        <w:t>，缝线必须松紧适度，不得有松脱、中断、缩卷曲打结等现象。</w:t>
      </w:r>
    </w:p>
    <w:p>
      <w:pPr>
        <w:ind w:left="1995" w:leftChars="150" w:hanging="1680" w:hangingChars="800"/>
        <w:rPr>
          <w:rFonts w:hAnsi="DFKai-SB"/>
          <w:szCs w:val="21"/>
        </w:rPr>
      </w:pPr>
      <w:r>
        <w:rPr>
          <w:szCs w:val="21"/>
        </w:rPr>
        <w:t xml:space="preserve">3.4 </w:t>
      </w:r>
      <w:r>
        <w:rPr>
          <w:rFonts w:hint="eastAsia" w:hAnsi="DFKai-SB"/>
          <w:szCs w:val="21"/>
        </w:rPr>
        <w:t>包装袋外形：要求平整、无裂口、不粘膛，不脱胶，装包无起泡、脱膜。</w:t>
      </w:r>
    </w:p>
    <w:p>
      <w:pPr>
        <w:ind w:left="1995" w:leftChars="150" w:hanging="1680" w:hangingChars="800"/>
        <w:rPr>
          <w:rFonts w:eastAsia="DFKai-SB"/>
          <w:szCs w:val="21"/>
        </w:rPr>
      </w:pPr>
      <w:r>
        <w:rPr>
          <w:rFonts w:hint="eastAsia" w:hAnsi="DFKai-SB"/>
          <w:szCs w:val="21"/>
        </w:rPr>
        <w:t>3.5 包装袋上下折边向台泥logo方向折边，阀口折边整齐无褶皱。</w:t>
      </w:r>
    </w:p>
    <w:p>
      <w:pPr>
        <w:ind w:left="2310" w:leftChars="150" w:hanging="1995" w:hangingChars="950"/>
        <w:rPr>
          <w:rFonts w:hAnsi="DFKai-SB"/>
          <w:szCs w:val="21"/>
        </w:rPr>
      </w:pPr>
      <w:r>
        <w:rPr>
          <w:szCs w:val="21"/>
        </w:rPr>
        <w:t>3.</w:t>
      </w:r>
      <w:r>
        <w:rPr>
          <w:rFonts w:hint="eastAsia"/>
          <w:szCs w:val="21"/>
        </w:rPr>
        <w:t>6</w:t>
      </w:r>
      <w:r>
        <w:rPr>
          <w:szCs w:val="21"/>
        </w:rPr>
        <w:t xml:space="preserve"> </w:t>
      </w:r>
      <w:r>
        <w:rPr>
          <w:rFonts w:hint="eastAsia" w:hAnsi="DFKai-SB"/>
          <w:szCs w:val="21"/>
        </w:rPr>
        <w:t>包装袋印刷：依照本公司各厂指定式样印刷标示，版面、印刷清晰、完整、无误。</w:t>
      </w:r>
    </w:p>
    <w:p>
      <w:pPr>
        <w:ind w:left="2310" w:leftChars="150" w:hanging="1995" w:hangingChars="950"/>
        <w:rPr>
          <w:szCs w:val="21"/>
        </w:rPr>
      </w:pPr>
      <w:r>
        <w:rPr>
          <w:rFonts w:hAnsi="DFKai-SB"/>
          <w:szCs w:val="21"/>
        </w:rPr>
        <w:t>3.</w:t>
      </w:r>
      <w:r>
        <w:rPr>
          <w:rFonts w:hint="eastAsia" w:hAnsi="DFKai-SB"/>
          <w:szCs w:val="21"/>
        </w:rPr>
        <w:t>7</w:t>
      </w:r>
      <w:r>
        <w:rPr>
          <w:rFonts w:hAnsi="DFKai-SB"/>
          <w:szCs w:val="21"/>
        </w:rPr>
        <w:t xml:space="preserve"> </w:t>
      </w:r>
      <w:r>
        <w:rPr>
          <w:rFonts w:hint="eastAsia" w:hAnsi="DFKai-SB"/>
          <w:szCs w:val="21"/>
        </w:rPr>
        <w:t>包装袋色泽：</w:t>
      </w:r>
      <w:r>
        <w:rPr>
          <w:rFonts w:hint="eastAsia"/>
          <w:szCs w:val="21"/>
        </w:rPr>
        <w:t>包装袋底色：</w:t>
      </w:r>
      <w:r>
        <w:rPr>
          <w:rFonts w:hint="eastAsia" w:ascii="宋体" w:hAnsi="宋体"/>
          <w:szCs w:val="21"/>
        </w:rPr>
        <w:t>白度≥55</w:t>
      </w:r>
      <w:r>
        <w:rPr>
          <w:rFonts w:hint="eastAsia"/>
          <w:szCs w:val="21"/>
        </w:rPr>
        <w:t>；红色：</w:t>
      </w:r>
      <w:r>
        <w:rPr>
          <w:szCs w:val="21"/>
        </w:rPr>
        <w:t>C10  M90  Y100  K25</w:t>
      </w:r>
      <w:r>
        <w:rPr>
          <w:rFonts w:ascii="PMingLiU" w:hAnsi="PMingLiU"/>
          <w:szCs w:val="21"/>
        </w:rPr>
        <w:t xml:space="preserve"> </w:t>
      </w:r>
      <w:r>
        <w:rPr>
          <w:rFonts w:hint="eastAsia" w:ascii="PMingLiU" w:hAnsi="PMingLiU"/>
          <w:szCs w:val="21"/>
        </w:rPr>
        <w:t>（</w:t>
      </w:r>
      <w:r>
        <w:rPr>
          <w:szCs w:val="21"/>
        </w:rPr>
        <w:t>Pantone 2347U</w:t>
      </w:r>
      <w:r>
        <w:rPr>
          <w:rFonts w:hint="eastAsia" w:ascii="PMingLiU" w:hAnsi="PMingLiU"/>
          <w:szCs w:val="21"/>
        </w:rPr>
        <w:t>）</w:t>
      </w:r>
      <w:r>
        <w:rPr>
          <w:rFonts w:hint="eastAsia"/>
          <w:szCs w:val="21"/>
        </w:rPr>
        <w:t>；黑色：</w:t>
      </w:r>
      <w:r>
        <w:rPr>
          <w:szCs w:val="21"/>
        </w:rPr>
        <w:t>K100</w:t>
      </w:r>
      <w:r>
        <w:rPr>
          <w:rFonts w:hint="eastAsia"/>
          <w:szCs w:val="21"/>
        </w:rPr>
        <w:t>；蓝色：</w:t>
      </w:r>
      <w:r>
        <w:rPr>
          <w:szCs w:val="21"/>
        </w:rPr>
        <w:t>Pantone 300U</w:t>
      </w:r>
      <w:r>
        <w:rPr>
          <w:rFonts w:hint="eastAsia"/>
          <w:szCs w:val="21"/>
        </w:rPr>
        <w:t>。</w:t>
      </w:r>
    </w:p>
    <w:p>
      <w:pPr>
        <w:ind w:firstLine="360"/>
        <w:rPr>
          <w:rFonts w:ascii="宋体" w:hAnsi="宋体"/>
          <w:szCs w:val="21"/>
        </w:rPr>
      </w:pPr>
      <w:r>
        <w:rPr>
          <w:szCs w:val="21"/>
        </w:rPr>
        <w:t>3.</w:t>
      </w:r>
      <w:r>
        <w:rPr>
          <w:rFonts w:hint="eastAsia"/>
          <w:szCs w:val="21"/>
        </w:rPr>
        <w:t>8</w:t>
      </w:r>
      <w:r>
        <w:rPr>
          <w:rFonts w:hint="eastAsia" w:ascii="宋体" w:hAnsi="宋体"/>
          <w:szCs w:val="21"/>
        </w:rPr>
        <w:t>包装袋性能：破损率≤</w:t>
      </w:r>
      <w:r>
        <w:rPr>
          <w:szCs w:val="21"/>
        </w:rPr>
        <w:t>2‰</w:t>
      </w:r>
    </w:p>
    <w:p>
      <w:pPr>
        <w:ind w:left="2108" w:leftChars="100" w:hanging="1898" w:hangingChars="904"/>
        <w:rPr>
          <w:rFonts w:ascii="宋体" w:hAnsi="宋体"/>
        </w:rPr>
      </w:pPr>
      <w:r>
        <w:rPr>
          <w:rFonts w:hAnsi="宋体"/>
          <w:szCs w:val="21"/>
        </w:rPr>
        <w:t xml:space="preserve"> </w:t>
      </w:r>
      <w:r>
        <w:t>3.</w:t>
      </w:r>
      <w:r>
        <w:rPr>
          <w:rFonts w:hint="eastAsia"/>
        </w:rPr>
        <w:t>9</w:t>
      </w:r>
      <w:r>
        <w:rPr>
          <w:rFonts w:ascii="宋体" w:hAnsi="宋体"/>
        </w:rPr>
        <w:t xml:space="preserve"> </w:t>
      </w:r>
      <w:r>
        <w:rPr>
          <w:rFonts w:hint="eastAsia" w:ascii="宋体" w:hAnsi="宋体"/>
        </w:rPr>
        <w:t>包装袋漏灰量：漏灰量≤3</w:t>
      </w:r>
      <w:r>
        <w:rPr>
          <w:rFonts w:ascii="宋体" w:hAnsi="宋体"/>
        </w:rPr>
        <w:t>0g</w:t>
      </w:r>
    </w:p>
    <w:p>
      <w:pPr>
        <w:ind w:left="2108" w:leftChars="150" w:hanging="1793" w:hangingChars="854"/>
        <w:rPr>
          <w:rFonts w:hAnsi="宋体"/>
          <w:szCs w:val="21"/>
        </w:rPr>
      </w:pPr>
      <w:r>
        <w:t>3.</w:t>
      </w:r>
      <w:r>
        <w:rPr>
          <w:rFonts w:hint="eastAsia"/>
        </w:rPr>
        <w:t>10</w:t>
      </w:r>
      <w:r>
        <w:t xml:space="preserve"> </w:t>
      </w:r>
      <w:r>
        <w:rPr>
          <w:rFonts w:hAnsi="宋体"/>
          <w:szCs w:val="21"/>
        </w:rPr>
        <w:t>包装袋</w:t>
      </w:r>
      <w:r>
        <w:rPr>
          <w:rFonts w:hint="eastAsia" w:hAnsi="宋体"/>
        </w:rPr>
        <w:t>复</w:t>
      </w:r>
      <w:r>
        <w:rPr>
          <w:rFonts w:hint="eastAsia" w:hAnsi="宋体"/>
          <w:szCs w:val="21"/>
        </w:rPr>
        <w:t>膜：复膜重量≥</w:t>
      </w:r>
      <w:r>
        <w:rPr>
          <w:rFonts w:hAnsi="宋体"/>
          <w:szCs w:val="21"/>
        </w:rPr>
        <w:t>6 g/</w:t>
      </w:r>
      <w:r>
        <w:rPr>
          <w:rFonts w:hint="eastAsia" w:hAnsi="宋体"/>
          <w:szCs w:val="21"/>
        </w:rPr>
        <w:t>㎡</w:t>
      </w:r>
    </w:p>
    <w:p>
      <w:pPr>
        <w:ind w:left="2108" w:leftChars="150" w:hanging="1793" w:hangingChars="854"/>
        <w:rPr>
          <w:rFonts w:hAnsi="宋体"/>
          <w:szCs w:val="21"/>
        </w:rPr>
      </w:pPr>
      <w:r>
        <w:rPr>
          <w:rFonts w:hint="eastAsia" w:hAnsi="宋体"/>
          <w:szCs w:val="21"/>
        </w:rPr>
        <w:t>3.11 经纬线密度：10cm*10cm面积≥40丝</w:t>
      </w:r>
    </w:p>
    <w:p>
      <w:pPr>
        <w:ind w:left="2108" w:leftChars="150" w:hanging="1793" w:hangingChars="854"/>
        <w:rPr>
          <w:rFonts w:hAnsi="宋体"/>
          <w:szCs w:val="21"/>
        </w:rPr>
      </w:pPr>
      <w:r>
        <w:rPr>
          <w:rFonts w:hAnsi="宋体"/>
          <w:szCs w:val="21"/>
        </w:rPr>
        <w:t xml:space="preserve">3.12 </w:t>
      </w:r>
      <w:r>
        <w:rPr>
          <w:rFonts w:hint="eastAsia" w:hAnsi="宋体"/>
          <w:szCs w:val="21"/>
        </w:rPr>
        <w:t>包装袋原料：</w:t>
      </w:r>
      <w:r>
        <w:rPr>
          <w:rFonts w:hint="eastAsia" w:hAnsi="宋体"/>
          <w:szCs w:val="21"/>
          <w:highlight w:val="yellow"/>
        </w:rPr>
        <w:t>使用原生料不可以使用再生料</w:t>
      </w:r>
    </w:p>
    <w:p>
      <w:pPr>
        <w:ind w:left="843" w:hanging="843" w:hangingChars="400"/>
        <w:rPr>
          <w:rFonts w:hAnsi="DFKai-SB"/>
          <w:b/>
          <w:szCs w:val="21"/>
        </w:rPr>
      </w:pPr>
      <w:r>
        <w:rPr>
          <w:rFonts w:hint="eastAsia" w:hAnsi="DFKai-SB"/>
          <w:b/>
          <w:szCs w:val="21"/>
        </w:rPr>
        <w:t>四、验收及检验：</w:t>
      </w:r>
    </w:p>
    <w:p>
      <w:pPr>
        <w:ind w:left="1993" w:leftChars="146" w:hanging="1686" w:hangingChars="803"/>
        <w:rPr>
          <w:rFonts w:eastAsia="DFKai-SB"/>
          <w:szCs w:val="21"/>
        </w:rPr>
      </w:pPr>
      <w:r>
        <w:rPr>
          <w:szCs w:val="21"/>
        </w:rPr>
        <w:t xml:space="preserve">4.1 </w:t>
      </w:r>
      <w:r>
        <w:rPr>
          <w:rFonts w:hint="eastAsia" w:hAnsi="DFKai-SB"/>
          <w:szCs w:val="21"/>
        </w:rPr>
        <w:t>以每车为一个批次进行取样、验收和扣罚。</w:t>
      </w:r>
    </w:p>
    <w:p>
      <w:pPr>
        <w:ind w:left="1993" w:leftChars="146" w:hanging="1686" w:hangingChars="803"/>
        <w:rPr>
          <w:rFonts w:hAnsi="DFKai-SB"/>
          <w:szCs w:val="21"/>
        </w:rPr>
      </w:pPr>
      <w:r>
        <w:rPr>
          <w:szCs w:val="21"/>
        </w:rPr>
        <w:t xml:space="preserve">4.2 </w:t>
      </w:r>
      <w:r>
        <w:rPr>
          <w:rFonts w:hint="eastAsia" w:hAnsi="DFKai-SB"/>
          <w:szCs w:val="21"/>
        </w:rPr>
        <w:t>数量点收：采购标的数量的验收以甲方厂为准。</w:t>
      </w:r>
    </w:p>
    <w:p>
      <w:pPr>
        <w:ind w:left="707" w:leftChars="145" w:hanging="403" w:hangingChars="192"/>
        <w:rPr>
          <w:rFonts w:hAnsi="DFKai-SB"/>
          <w:szCs w:val="21"/>
        </w:rPr>
      </w:pPr>
      <w:r>
        <w:rPr>
          <w:rFonts w:hAnsi="DFKai-SB"/>
          <w:szCs w:val="21"/>
        </w:rPr>
        <w:t xml:space="preserve">4.3 </w:t>
      </w:r>
      <w:r>
        <w:rPr>
          <w:rFonts w:hint="eastAsia" w:hAnsi="DFKai-SB"/>
          <w:szCs w:val="21"/>
        </w:rPr>
        <w:t>乙方正式交货前，先行提供样袋供甲方审核，经甲方核准后</w:t>
      </w:r>
      <w:r>
        <w:rPr>
          <w:rFonts w:ascii="PMingLiU" w:hAnsi="PMingLiU"/>
          <w:szCs w:val="21"/>
        </w:rPr>
        <w:t>,</w:t>
      </w:r>
      <w:r>
        <w:rPr>
          <w:rFonts w:hint="eastAsia" w:ascii="PMingLiU" w:hAnsi="PMingLiU"/>
          <w:szCs w:val="21"/>
        </w:rPr>
        <w:t>做为履约期间甲方验收比对的标准样袋</w:t>
      </w:r>
      <w:r>
        <w:rPr>
          <w:rFonts w:hint="eastAsia" w:hAnsi="DFKai-SB"/>
          <w:szCs w:val="21"/>
        </w:rPr>
        <w:t>。</w:t>
      </w:r>
    </w:p>
    <w:p>
      <w:pPr>
        <w:ind w:left="707" w:leftChars="145" w:hanging="403" w:hangingChars="192"/>
        <w:rPr>
          <w:rFonts w:hAnsi="DFKai-SB"/>
          <w:szCs w:val="21"/>
        </w:rPr>
      </w:pPr>
      <w:r>
        <w:rPr>
          <w:rFonts w:hAnsi="DFKai-SB"/>
          <w:szCs w:val="21"/>
        </w:rPr>
        <w:t xml:space="preserve">4.4 </w:t>
      </w:r>
      <w:r>
        <w:rPr>
          <w:rFonts w:hint="eastAsia" w:hAnsi="DFKai-SB"/>
          <w:szCs w:val="21"/>
        </w:rPr>
        <w:t>采购标的品质的验收以甲方厂内检验为准。如果乙方对检验结果有异议，双方会同仓库取样送到甲方所在地质检部门或双方认可之化验室进行复检，若复检结果合格，所产生之费用由甲方负担，否则，所产生之费用由乙方负担。</w:t>
      </w:r>
    </w:p>
    <w:p>
      <w:pPr>
        <w:ind w:left="685" w:leftChars="146" w:hanging="378" w:hangingChars="180"/>
        <w:rPr>
          <w:rFonts w:hAnsi="DFKai-SB"/>
          <w:szCs w:val="21"/>
        </w:rPr>
      </w:pPr>
      <w:r>
        <w:rPr>
          <w:szCs w:val="21"/>
        </w:rPr>
        <w:t xml:space="preserve">4.5 </w:t>
      </w:r>
      <w:r>
        <w:rPr>
          <w:rFonts w:hint="eastAsia" w:hAnsi="DFKai-SB"/>
          <w:szCs w:val="21"/>
        </w:rPr>
        <w:t>进厂塑编袋每批次进行随机抽样，每次抽样不少于</w:t>
      </w:r>
      <w:r>
        <w:rPr>
          <w:rFonts w:hAnsi="DFKai-SB"/>
          <w:szCs w:val="21"/>
        </w:rPr>
        <w:t>1</w:t>
      </w:r>
      <w:r>
        <w:rPr>
          <w:rFonts w:hint="eastAsia" w:hAnsi="DFKai-SB"/>
          <w:szCs w:val="21"/>
        </w:rPr>
        <w:t>0捆，每捆抽2条，抽取样袋不少于20条，其中</w:t>
      </w:r>
      <w:r>
        <w:rPr>
          <w:rFonts w:hAnsi="DFKai-SB"/>
          <w:szCs w:val="21"/>
        </w:rPr>
        <w:t>10</w:t>
      </w:r>
      <w:r>
        <w:rPr>
          <w:rFonts w:hint="eastAsia" w:hAnsi="DFKai-SB"/>
          <w:szCs w:val="21"/>
        </w:rPr>
        <w:t>条用于尺寸检测；</w:t>
      </w:r>
      <w:r>
        <w:rPr>
          <w:rFonts w:hAnsi="DFKai-SB"/>
          <w:szCs w:val="21"/>
        </w:rPr>
        <w:t>3</w:t>
      </w:r>
      <w:r>
        <w:rPr>
          <w:rFonts w:hint="eastAsia" w:hAnsi="DFKai-SB"/>
          <w:szCs w:val="21"/>
        </w:rPr>
        <w:t>条做拉力测试，每条检测两次，拉力结果取</w:t>
      </w:r>
      <w:r>
        <w:rPr>
          <w:rFonts w:hAnsi="DFKai-SB"/>
          <w:szCs w:val="21"/>
        </w:rPr>
        <w:t>3</w:t>
      </w:r>
      <w:r>
        <w:rPr>
          <w:rFonts w:hint="eastAsia" w:hAnsi="DFKai-SB"/>
          <w:szCs w:val="21"/>
        </w:rPr>
        <w:t>条算术平均值；每</w:t>
      </w:r>
      <w:r>
        <w:rPr>
          <w:rFonts w:hAnsi="DFKai-SB"/>
          <w:szCs w:val="21"/>
        </w:rPr>
        <w:t>10</w:t>
      </w:r>
      <w:r>
        <w:rPr>
          <w:rFonts w:hint="eastAsia" w:hAnsi="DFKai-SB"/>
          <w:szCs w:val="21"/>
        </w:rPr>
        <w:t>万条取</w:t>
      </w:r>
      <w:r>
        <w:rPr>
          <w:rFonts w:hAnsi="DFKai-SB"/>
          <w:szCs w:val="21"/>
        </w:rPr>
        <w:t>5</w:t>
      </w:r>
      <w:r>
        <w:rPr>
          <w:rFonts w:hint="eastAsia" w:hAnsi="DFKai-SB"/>
          <w:szCs w:val="21"/>
        </w:rPr>
        <w:t>条进行摔包测试，每批次取</w:t>
      </w:r>
      <w:r>
        <w:rPr>
          <w:rFonts w:hAnsi="DFKai-SB"/>
          <w:szCs w:val="21"/>
        </w:rPr>
        <w:t>5</w:t>
      </w:r>
      <w:r>
        <w:rPr>
          <w:rFonts w:hint="eastAsia" w:hAnsi="DFKai-SB"/>
          <w:szCs w:val="21"/>
        </w:rPr>
        <w:t>条进行漏灰量测试（跌落</w:t>
      </w:r>
      <w:r>
        <w:rPr>
          <w:rFonts w:hAnsi="DFKai-SB"/>
          <w:szCs w:val="21"/>
        </w:rPr>
        <w:t>8</w:t>
      </w:r>
      <w:r>
        <w:rPr>
          <w:rFonts w:hint="eastAsia" w:hAnsi="DFKai-SB"/>
          <w:szCs w:val="21"/>
        </w:rPr>
        <w:t>次）</w:t>
      </w:r>
      <w:r>
        <w:rPr>
          <w:rFonts w:hint="eastAsia" w:ascii="PMingLiU" w:hAnsi="PMingLiU"/>
          <w:szCs w:val="21"/>
        </w:rPr>
        <w:t>，</w:t>
      </w:r>
      <w:r>
        <w:rPr>
          <w:rFonts w:hint="eastAsia" w:hAnsi="DFKai-SB"/>
          <w:szCs w:val="21"/>
        </w:rPr>
        <w:t>结果取算术平均值。</w:t>
      </w:r>
    </w:p>
    <w:p>
      <w:pPr>
        <w:spacing w:line="360" w:lineRule="exact"/>
        <w:ind w:left="685" w:leftChars="146" w:hanging="378" w:hangingChars="180"/>
        <w:rPr>
          <w:rFonts w:hAnsi="DFKai-SB"/>
          <w:szCs w:val="21"/>
        </w:rPr>
      </w:pPr>
      <w:r>
        <w:rPr>
          <w:rFonts w:hAnsi="DFKai-SB"/>
          <w:szCs w:val="21"/>
        </w:rPr>
        <w:t>4.6</w:t>
      </w:r>
      <w:r>
        <w:rPr>
          <w:rFonts w:hint="eastAsia" w:hAnsi="DFKai-SB"/>
          <w:szCs w:val="21"/>
        </w:rPr>
        <w:t>复膜克重不应小于</w:t>
      </w:r>
      <w:r>
        <w:rPr>
          <w:rFonts w:hAnsi="DFKai-SB"/>
          <w:szCs w:val="21"/>
        </w:rPr>
        <w:t>6</w:t>
      </w:r>
      <w:r>
        <w:t xml:space="preserve"> </w:t>
      </w:r>
      <w:r>
        <w:rPr>
          <w:rFonts w:hAnsi="DFKai-SB"/>
          <w:szCs w:val="21"/>
        </w:rPr>
        <w:t>g/</w:t>
      </w:r>
      <w:r>
        <w:rPr>
          <w:rFonts w:hint="eastAsia" w:hAnsi="DFKai-SB"/>
          <w:szCs w:val="21"/>
        </w:rPr>
        <w:t>㎡，由厂端采购、品质、发运单位不定期到乙方生产现场抽查。</w:t>
      </w:r>
      <w:r>
        <w:rPr>
          <w:rFonts w:hAnsi="DFKai-SB"/>
          <w:szCs w:val="21"/>
        </w:rPr>
        <w:t xml:space="preserve">   </w:t>
      </w:r>
      <w:r>
        <w:rPr>
          <w:rFonts w:hAnsi="DFKai-SB"/>
          <w:szCs w:val="21"/>
        </w:rPr>
        <w:br w:type="page"/>
      </w:r>
    </w:p>
    <w:p>
      <w:pPr>
        <w:spacing w:line="320" w:lineRule="exact"/>
        <w:ind w:left="843" w:hanging="843" w:hangingChars="400"/>
        <w:rPr>
          <w:rFonts w:hAnsi="DFKai-SB"/>
          <w:b/>
          <w:szCs w:val="21"/>
        </w:rPr>
      </w:pPr>
      <w:r>
        <w:rPr>
          <w:rFonts w:hint="eastAsia" w:hAnsi="DFKai-SB"/>
          <w:b/>
          <w:szCs w:val="21"/>
        </w:rPr>
        <w:t>五、品质罚则：</w:t>
      </w:r>
    </w:p>
    <w:p>
      <w:pPr>
        <w:spacing w:line="320" w:lineRule="exact"/>
        <w:ind w:left="840" w:hanging="840" w:hangingChars="400"/>
        <w:rPr>
          <w:rFonts w:eastAsia="PMingLiU"/>
          <w:szCs w:val="21"/>
        </w:rPr>
      </w:pPr>
      <w:r>
        <w:rPr>
          <w:szCs w:val="21"/>
        </w:rPr>
        <w:t xml:space="preserve">    </w:t>
      </w:r>
      <w:r>
        <w:rPr>
          <w:rFonts w:hint="eastAsia"/>
          <w:szCs w:val="21"/>
        </w:rPr>
        <w:t>如违反品质规范，甲方得视其品质稳定性及时通知乙方暂停供货，并按下列规定处罚：</w:t>
      </w:r>
    </w:p>
    <w:tbl>
      <w:tblPr>
        <w:tblStyle w:val="17"/>
        <w:tblW w:w="9159"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268"/>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ind w:firstLine="211" w:firstLineChars="100"/>
              <w:rPr>
                <w:rFonts w:ascii="PMingLiU" w:hAnsi="PMingLiU" w:eastAsia="PMingLiU"/>
                <w:b/>
                <w:bCs/>
              </w:rPr>
            </w:pPr>
            <w:r>
              <w:rPr>
                <w:rFonts w:hint="eastAsia" w:ascii="PMingLiU" w:hAnsi="PMingLiU"/>
                <w:b/>
                <w:bCs/>
              </w:rPr>
              <w:t>项</w:t>
            </w:r>
            <w:r>
              <w:rPr>
                <w:rFonts w:ascii="PMingLiU" w:hAnsi="PMingLiU"/>
                <w:b/>
                <w:bCs/>
              </w:rPr>
              <w:t xml:space="preserve"> </w:t>
            </w:r>
            <w:r>
              <w:rPr>
                <w:rFonts w:hint="eastAsia" w:ascii="PMingLiU" w:hAnsi="PMingLiU"/>
                <w:b/>
                <w:bCs/>
              </w:rPr>
              <w:t>目</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
                <w:bCs/>
              </w:rPr>
            </w:pPr>
            <w:r>
              <w:rPr>
                <w:rFonts w:hint="eastAsia" w:ascii="PMingLiU" w:hAnsi="PMingLiU"/>
                <w:b/>
                <w:bCs/>
              </w:rPr>
              <w:t>品质指标</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
                <w:bCs/>
              </w:rPr>
            </w:pPr>
            <w:r>
              <w:rPr>
                <w:rFonts w:hint="eastAsia" w:ascii="PMingLiU" w:hAnsi="PMingLiU"/>
                <w:b/>
                <w:bCs/>
              </w:rPr>
              <w:t>扣罚标准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505" w:type="dxa"/>
            <w:vMerge w:val="restart"/>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PMingLiU" w:hAnsi="PMingLiU"/>
                <w:bCs/>
              </w:rPr>
              <w:t>拉伸负荷</w:t>
            </w:r>
            <w:r>
              <w:rPr>
                <w:rFonts w:hint="eastAsia" w:ascii="PMingLiU" w:hAnsi="PMingLiU" w:eastAsia="PMingLiU"/>
                <w:bCs/>
              </w:rPr>
              <w:br w:type="textWrapping"/>
            </w:r>
            <w:r>
              <w:rPr>
                <w:rFonts w:hint="eastAsia" w:ascii="PMingLiU" w:hAnsi="PMingLiU"/>
                <w:bCs/>
              </w:rPr>
              <w:t>(</w:t>
            </w:r>
            <w:r>
              <w:rPr>
                <w:rFonts w:ascii="PMingLiU" w:hAnsi="PMingLiU"/>
                <w:bCs/>
              </w:rPr>
              <w:t>N/50mm</w:t>
            </w:r>
            <w:r>
              <w:rPr>
                <w:rFonts w:hint="eastAsia" w:ascii="PMingLiU" w:hAnsi="PMingLiU"/>
                <w:bCs/>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bCs/>
              </w:rPr>
            </w:pPr>
            <w:r>
              <w:rPr>
                <w:rFonts w:hint="eastAsia" w:ascii="PMingLiU" w:hAnsi="PMingLiU"/>
                <w:bCs/>
              </w:rPr>
              <w:t>经向拉力</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eastAsia="PMingLiU"/>
                <w:bCs/>
              </w:rPr>
            </w:pPr>
            <w:r>
              <w:rPr>
                <w:rFonts w:hint="eastAsia" w:ascii="PMingLiU" w:hAnsi="PMingLiU"/>
                <w:bCs/>
              </w:rPr>
              <w:t>经向拉力＜</w:t>
            </w:r>
            <w:r>
              <w:rPr>
                <w:rFonts w:ascii="PMingLiU" w:hAnsi="PMingLiU"/>
                <w:bCs/>
              </w:rPr>
              <w:t>4</w:t>
            </w:r>
            <w:r>
              <w:rPr>
                <w:rFonts w:hint="eastAsia" w:ascii="PMingLiU" w:hAnsi="PMingLiU"/>
                <w:bCs/>
              </w:rPr>
              <w:t>5</w:t>
            </w:r>
            <w:r>
              <w:rPr>
                <w:rFonts w:ascii="PMingLiU" w:hAnsi="PMingLiU"/>
                <w:bCs/>
              </w:rPr>
              <w:t>0N</w:t>
            </w:r>
            <w:r>
              <w:rPr>
                <w:rFonts w:hint="eastAsia" w:ascii="宋体" w:hAnsi="宋体"/>
                <w:bCs/>
              </w:rPr>
              <w:t>，</w:t>
            </w:r>
            <w:r>
              <w:rPr>
                <w:rFonts w:hint="eastAsia" w:ascii="PMingLiU" w:hAnsi="PMingLiU"/>
                <w:bCs/>
              </w:rPr>
              <w:t>拒收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505" w:type="dxa"/>
            <w:vMerge w:val="continue"/>
            <w:tcBorders>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ind w:firstLine="210" w:firstLineChars="100"/>
              <w:rPr>
                <w:rFonts w:ascii="PMingLiU" w:hAnsi="PMingLiU" w:eastAsia="PMingLiU"/>
                <w:bCs/>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PMingLiU" w:hAnsi="PMingLiU"/>
                <w:bCs/>
              </w:rPr>
              <w:t>纬向拉力</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eastAsia="PMingLiU"/>
                <w:bCs/>
              </w:rPr>
            </w:pPr>
            <w:r>
              <w:rPr>
                <w:rFonts w:hint="eastAsia" w:ascii="PMingLiU" w:hAnsi="PMingLiU"/>
                <w:bCs/>
              </w:rPr>
              <w:t>纬向拉力＜40</w:t>
            </w:r>
            <w:r>
              <w:rPr>
                <w:rFonts w:ascii="PMingLiU" w:hAnsi="PMingLiU"/>
                <w:bCs/>
              </w:rPr>
              <w:t>0N</w:t>
            </w:r>
            <w:r>
              <w:rPr>
                <w:rFonts w:hint="eastAsia" w:ascii="宋体" w:hAnsi="宋体"/>
                <w:bCs/>
              </w:rPr>
              <w:t>，</w:t>
            </w:r>
            <w:r>
              <w:rPr>
                <w:rFonts w:hint="eastAsia" w:ascii="PMingLiU" w:hAnsi="PMingLiU"/>
                <w:bCs/>
              </w:rPr>
              <w:t>拒收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505" w:type="dxa"/>
            <w:vMerge w:val="continue"/>
            <w:tcBorders>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ind w:firstLine="210" w:firstLineChars="100"/>
              <w:rPr>
                <w:rFonts w:ascii="PMingLiU" w:hAnsi="PMingLiU" w:eastAsia="PMingLiU"/>
                <w:bCs/>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PMingLiU" w:hAnsi="PMingLiU"/>
                <w:bCs/>
              </w:rPr>
              <w:t>缝底向拉力</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eastAsia="PMingLiU"/>
                <w:bCs/>
              </w:rPr>
            </w:pPr>
            <w:r>
              <w:rPr>
                <w:rFonts w:hint="eastAsia" w:ascii="PMingLiU" w:hAnsi="PMingLiU"/>
                <w:bCs/>
              </w:rPr>
              <w:t>缝底向拉力＜</w:t>
            </w:r>
            <w:r>
              <w:rPr>
                <w:rFonts w:ascii="PMingLiU" w:hAnsi="PMingLiU"/>
                <w:bCs/>
              </w:rPr>
              <w:t>2</w:t>
            </w:r>
            <w:r>
              <w:rPr>
                <w:rFonts w:hint="eastAsia" w:ascii="PMingLiU" w:hAnsi="PMingLiU"/>
                <w:bCs/>
              </w:rPr>
              <w:t>2</w:t>
            </w:r>
            <w:r>
              <w:rPr>
                <w:rFonts w:ascii="PMingLiU" w:hAnsi="PMingLiU"/>
                <w:bCs/>
              </w:rPr>
              <w:t>0N</w:t>
            </w:r>
            <w:r>
              <w:rPr>
                <w:rFonts w:hint="eastAsia" w:ascii="宋体" w:hAnsi="宋体"/>
                <w:bCs/>
              </w:rPr>
              <w:t>，</w:t>
            </w:r>
            <w:r>
              <w:rPr>
                <w:rFonts w:hint="eastAsia" w:ascii="PMingLiU" w:hAnsi="PMingLiU"/>
                <w:bCs/>
              </w:rPr>
              <w:t>拒收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05" w:type="dxa"/>
            <w:vMerge w:val="continue"/>
            <w:tcBorders>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p>
        </w:tc>
        <w:tc>
          <w:tcPr>
            <w:tcW w:w="2268"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PMingLiU" w:hAnsi="PMingLiU"/>
                <w:bCs/>
              </w:rPr>
              <w:t>褶边向拉力</w:t>
            </w:r>
          </w:p>
        </w:tc>
        <w:tc>
          <w:tcPr>
            <w:tcW w:w="5386"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eastAsia="PMingLiU"/>
                <w:bCs/>
              </w:rPr>
            </w:pPr>
            <w:r>
              <w:rPr>
                <w:rFonts w:hint="eastAsia" w:ascii="PMingLiU" w:hAnsi="PMingLiU"/>
                <w:bCs/>
              </w:rPr>
              <w:t>褶边向拉力＜</w:t>
            </w:r>
            <w:r>
              <w:rPr>
                <w:rFonts w:ascii="PMingLiU" w:hAnsi="PMingLiU"/>
                <w:bCs/>
              </w:rPr>
              <w:t>200N</w:t>
            </w:r>
            <w:r>
              <w:rPr>
                <w:rFonts w:hint="eastAsia" w:ascii="宋体" w:hAnsi="宋体"/>
                <w:bCs/>
              </w:rPr>
              <w:t>，</w:t>
            </w:r>
            <w:r>
              <w:rPr>
                <w:rFonts w:hint="eastAsia" w:ascii="PMingLiU" w:hAnsi="PMingLiU"/>
                <w:bCs/>
              </w:rPr>
              <w:t>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05" w:type="dxa"/>
            <w:vMerge w:val="continue"/>
            <w:tcBorders>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p>
        </w:tc>
        <w:tc>
          <w:tcPr>
            <w:tcW w:w="2268"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bCs/>
              </w:rPr>
            </w:pPr>
            <w:r>
              <w:rPr>
                <w:rFonts w:hint="eastAsia" w:ascii="PMingLiU" w:hAnsi="PMingLiU"/>
                <w:bCs/>
              </w:rPr>
              <w:t>各向拉力</w:t>
            </w:r>
          </w:p>
        </w:tc>
        <w:tc>
          <w:tcPr>
            <w:tcW w:w="5386"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eastAsia="PMingLiU"/>
                <w:bCs/>
              </w:rPr>
            </w:pPr>
            <w:r>
              <w:rPr>
                <w:rFonts w:hint="eastAsia" w:ascii="PMingLiU" w:hAnsi="PMingLiU"/>
                <w:bCs/>
              </w:rPr>
              <w:t>使用过程发现异常</w:t>
            </w:r>
            <w:r>
              <w:rPr>
                <w:rFonts w:hint="eastAsia" w:ascii="宋体" w:hAnsi="宋体"/>
                <w:bCs/>
              </w:rPr>
              <w:t>，</w:t>
            </w:r>
            <w:r>
              <w:rPr>
                <w:rFonts w:hint="eastAsia" w:ascii="PMingLiU" w:hAnsi="PMingLiU"/>
                <w:bCs/>
              </w:rPr>
              <w:t>抽检不合格</w:t>
            </w:r>
            <w:r>
              <w:rPr>
                <w:rFonts w:hint="eastAsia" w:ascii="宋体" w:hAnsi="宋体"/>
                <w:bCs/>
              </w:rPr>
              <w:t>，</w:t>
            </w:r>
            <w:r>
              <w:rPr>
                <w:rFonts w:hint="eastAsia" w:ascii="PMingLiU" w:hAnsi="PMingLiU"/>
                <w:bCs/>
              </w:rPr>
              <w:t>或甲方允收</w:t>
            </w:r>
            <w:r>
              <w:rPr>
                <w:rFonts w:hint="eastAsia" w:ascii="宋体" w:hAnsi="宋体"/>
                <w:bCs/>
              </w:rPr>
              <w:t>，</w:t>
            </w:r>
            <w:r>
              <w:rPr>
                <w:rFonts w:hint="eastAsia" w:ascii="PMingLiU" w:hAnsi="PMingLiU"/>
                <w:bCs/>
              </w:rPr>
              <w:t>按批次扣罚</w:t>
            </w:r>
            <w:r>
              <w:rPr>
                <w:rFonts w:ascii="PMingLiU" w:hAnsi="PMingLiU"/>
                <w:bCs/>
              </w:rPr>
              <w:t>0.05</w:t>
            </w:r>
            <w:r>
              <w:rPr>
                <w:rFonts w:hint="eastAsia" w:ascii="PMingLiU" w:hAnsi="PMingLiU"/>
                <w:bCs/>
              </w:rPr>
              <w:t>元</w:t>
            </w:r>
            <w:r>
              <w:rPr>
                <w:rFonts w:ascii="PMingLiU" w:hAnsi="PMingLiU"/>
                <w:bCs/>
              </w:rPr>
              <w:t>/</w:t>
            </w:r>
            <w:r>
              <w:rPr>
                <w:rFonts w:hint="eastAsia" w:ascii="PMingLiU" w:hAnsi="PMingLiU"/>
                <w:bCs/>
              </w:rPr>
              <w:t>条</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05"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bCs/>
              </w:rPr>
            </w:pPr>
            <w:r>
              <w:rPr>
                <w:rFonts w:hint="eastAsia" w:ascii="PMingLiU" w:hAnsi="PMingLiU"/>
                <w:bCs/>
              </w:rPr>
              <w:t>牢固度</w:t>
            </w:r>
          </w:p>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ascii="PMingLiU" w:hAnsi="PMingLiU"/>
                <w:bCs/>
              </w:rPr>
              <w:t>(</w:t>
            </w:r>
            <w:r>
              <w:rPr>
                <w:rFonts w:hint="eastAsia" w:ascii="PMingLiU" w:hAnsi="PMingLiU"/>
                <w:bCs/>
              </w:rPr>
              <w:t>次</w:t>
            </w:r>
            <w:r>
              <w:rPr>
                <w:rFonts w:ascii="PMingLiU" w:hAnsi="PMingLiU"/>
                <w:bCs/>
              </w:rPr>
              <w:t>)</w:t>
            </w:r>
          </w:p>
        </w:tc>
        <w:tc>
          <w:tcPr>
            <w:tcW w:w="2268"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PMingLiU" w:hAnsi="PMingLiU"/>
                <w:bCs/>
              </w:rPr>
              <w:t>摔包测试</w:t>
            </w:r>
            <w:r>
              <w:rPr>
                <w:rFonts w:hint="eastAsia" w:ascii="PMingLiU" w:hAnsi="PMingLiU" w:eastAsia="PMingLiU"/>
                <w:bCs/>
              </w:rPr>
              <w:br w:type="textWrapping"/>
            </w:r>
            <w:r>
              <w:rPr>
                <w:rFonts w:ascii="PMingLiU" w:hAnsi="PMingLiU"/>
                <w:bCs/>
              </w:rPr>
              <w:t>8</w:t>
            </w:r>
            <w:r>
              <w:rPr>
                <w:rFonts w:hint="eastAsia" w:ascii="PMingLiU" w:hAnsi="PMingLiU"/>
                <w:bCs/>
              </w:rPr>
              <w:t>次不破</w:t>
            </w:r>
          </w:p>
        </w:tc>
        <w:tc>
          <w:tcPr>
            <w:tcW w:w="5386"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eastAsia="PMingLiU"/>
                <w:bCs/>
              </w:rPr>
            </w:pPr>
            <w:r>
              <w:rPr>
                <w:rFonts w:hint="eastAsia" w:ascii="PMingLiU" w:hAnsi="PMingLiU"/>
                <w:bCs/>
              </w:rPr>
              <w:t>每</w:t>
            </w:r>
            <w:r>
              <w:rPr>
                <w:rFonts w:ascii="PMingLiU" w:hAnsi="PMingLiU"/>
                <w:bCs/>
              </w:rPr>
              <w:t>10</w:t>
            </w:r>
            <w:r>
              <w:rPr>
                <w:rFonts w:hint="eastAsia" w:ascii="PMingLiU" w:hAnsi="PMingLiU"/>
                <w:bCs/>
              </w:rPr>
              <w:t>万条抽</w:t>
            </w:r>
            <w:r>
              <w:rPr>
                <w:rFonts w:ascii="PMingLiU" w:hAnsi="PMingLiU"/>
                <w:bCs/>
              </w:rPr>
              <w:t>5</w:t>
            </w:r>
            <w:r>
              <w:rPr>
                <w:rFonts w:hint="eastAsia" w:ascii="PMingLiU" w:hAnsi="PMingLiU"/>
                <w:bCs/>
              </w:rPr>
              <w:t>条</w:t>
            </w:r>
            <w:r>
              <w:rPr>
                <w:rFonts w:hint="eastAsia" w:ascii="宋体" w:hAnsi="宋体"/>
                <w:bCs/>
              </w:rPr>
              <w:t>，</w:t>
            </w:r>
            <w:r>
              <w:rPr>
                <w:rFonts w:hint="eastAsia" w:ascii="PMingLiU" w:hAnsi="PMingLiU"/>
                <w:bCs/>
              </w:rPr>
              <w:t>每条</w:t>
            </w:r>
            <w:r>
              <w:rPr>
                <w:rFonts w:hint="eastAsia" w:ascii="PMingLiU" w:hAnsi="PMingLiU" w:cs="PMingLiU"/>
              </w:rPr>
              <w:t>跌落不破包次数不少于</w:t>
            </w:r>
            <w:r>
              <w:rPr>
                <w:rFonts w:ascii="PMingLiU" w:hAnsi="PMingLiU" w:cs="PMingLiU"/>
              </w:rPr>
              <w:t>8</w:t>
            </w:r>
            <w:r>
              <w:rPr>
                <w:rFonts w:hint="eastAsia" w:ascii="PMingLiU" w:hAnsi="PMingLiU" w:cs="PMingLiU"/>
              </w:rPr>
              <w:t>次，</w:t>
            </w:r>
            <w:r>
              <w:rPr>
                <w:rFonts w:hint="eastAsia" w:ascii="PMingLiU" w:hAnsi="PMingLiU"/>
                <w:bCs/>
              </w:rPr>
              <w:t>如有破包</w:t>
            </w:r>
            <w:r>
              <w:rPr>
                <w:rFonts w:hint="eastAsia" w:ascii="宋体" w:hAnsi="宋体"/>
                <w:bCs/>
              </w:rPr>
              <w:t>，甲方有权</w:t>
            </w:r>
            <w:r>
              <w:rPr>
                <w:rFonts w:hint="eastAsia" w:ascii="PMingLiU" w:hAnsi="PMingLiU"/>
                <w:bCs/>
              </w:rPr>
              <w:t>拒收</w:t>
            </w:r>
            <w:r>
              <w:rPr>
                <w:rFonts w:hint="eastAsia" w:ascii="宋体" w:hAnsi="宋体"/>
                <w:bCs/>
              </w:rPr>
              <w:t>或扣罚</w:t>
            </w:r>
            <w:r>
              <w:rPr>
                <w:rFonts w:ascii="PMingLiU" w:hAnsi="PMingLiU"/>
                <w:bCs/>
              </w:rPr>
              <w:t>0.05</w:t>
            </w:r>
            <w:r>
              <w:rPr>
                <w:rFonts w:hint="eastAsia" w:ascii="PMingLiU" w:hAnsi="PMingLiU"/>
                <w:bCs/>
              </w:rPr>
              <w:t>元</w:t>
            </w:r>
            <w:r>
              <w:rPr>
                <w:rFonts w:ascii="PMingLiU" w:hAnsi="PMingLiU"/>
                <w:bCs/>
              </w:rPr>
              <w:t>/</w:t>
            </w:r>
            <w:r>
              <w:rPr>
                <w:rFonts w:hint="eastAsia" w:ascii="PMingLiU" w:hAnsi="PMingLiU"/>
                <w:bCs/>
              </w:rPr>
              <w:t>条，累犯或情节严重者加重扣罚。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05"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PMingLiU" w:hAnsi="PMingLiU"/>
                <w:bCs/>
              </w:rPr>
              <w:t>单个包装袋重量（</w:t>
            </w:r>
            <w:r>
              <w:rPr>
                <w:rFonts w:ascii="PMingLiU" w:hAnsi="PMingLiU"/>
                <w:bCs/>
              </w:rPr>
              <w:t>g</w:t>
            </w:r>
            <w:r>
              <w:rPr>
                <w:rFonts w:hint="eastAsia" w:ascii="PMingLiU" w:hAnsi="PMingLiU"/>
                <w:bCs/>
              </w:rPr>
              <w:t>）</w:t>
            </w:r>
          </w:p>
        </w:tc>
        <w:tc>
          <w:tcPr>
            <w:tcW w:w="2268"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宋体" w:hAnsi="宋体" w:cs="宋体"/>
                <w:bCs/>
              </w:rPr>
              <w:t>≥</w:t>
            </w:r>
            <w:r>
              <w:rPr>
                <w:rFonts w:ascii="PMingLiU" w:hAnsi="PMingLiU"/>
                <w:bCs/>
              </w:rPr>
              <w:t>77</w:t>
            </w:r>
            <w:r>
              <w:rPr>
                <w:rFonts w:hint="eastAsia" w:ascii="PMingLiU" w:hAnsi="PMingLiU"/>
                <w:bCs/>
              </w:rPr>
              <w:t>g</w:t>
            </w:r>
          </w:p>
        </w:tc>
        <w:tc>
          <w:tcPr>
            <w:tcW w:w="5386"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eastAsia="PMingLiU"/>
                <w:bCs/>
              </w:rPr>
            </w:pPr>
            <w:r>
              <w:rPr>
                <w:rFonts w:hint="eastAsia" w:ascii="宋体" w:hAnsi="宋体"/>
                <w:bCs/>
              </w:rPr>
              <w:t>重量</w:t>
            </w:r>
            <w:r>
              <w:rPr>
                <w:rFonts w:hint="eastAsia" w:ascii="PMingLiU" w:hAnsi="PMingLiU"/>
                <w:bCs/>
              </w:rPr>
              <w:t>＜</w:t>
            </w:r>
            <w:r>
              <w:rPr>
                <w:rFonts w:ascii="PMingLiU" w:hAnsi="PMingLiU"/>
                <w:bCs/>
              </w:rPr>
              <w:t>77g</w:t>
            </w:r>
            <w:r>
              <w:rPr>
                <w:rFonts w:hint="eastAsia" w:ascii="宋体" w:hAnsi="宋体"/>
                <w:bCs/>
              </w:rPr>
              <w:t>，</w:t>
            </w:r>
            <w:r>
              <w:rPr>
                <w:rFonts w:hint="eastAsia" w:ascii="PMingLiU" w:hAnsi="PMingLiU"/>
                <w:bCs/>
              </w:rPr>
              <w:t>扣罚</w:t>
            </w:r>
            <w:r>
              <w:rPr>
                <w:rFonts w:ascii="PMingLiU" w:hAnsi="PMingLiU"/>
                <w:bCs/>
              </w:rPr>
              <w:t>0.0</w:t>
            </w:r>
            <w:r>
              <w:rPr>
                <w:rFonts w:hint="eastAsia" w:ascii="PMingLiU" w:hAnsi="PMingLiU"/>
                <w:bCs/>
              </w:rPr>
              <w:t>5元</w:t>
            </w:r>
            <w:r>
              <w:rPr>
                <w:rFonts w:ascii="PMingLiU" w:hAnsi="PMingLiU"/>
                <w:bCs/>
              </w:rPr>
              <w:t>/</w:t>
            </w:r>
            <w:r>
              <w:rPr>
                <w:rFonts w:hint="eastAsia" w:ascii="PMingLiU" w:hAnsi="PMingLiU"/>
                <w:bCs/>
              </w:rPr>
              <w:t>条</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05"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bCs/>
              </w:rPr>
            </w:pPr>
            <w:r>
              <w:rPr>
                <w:rFonts w:hint="eastAsia" w:ascii="PMingLiU" w:hAnsi="PMingLiU"/>
                <w:bCs/>
              </w:rPr>
              <w:t>外观、尺寸</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bCs/>
              </w:rPr>
            </w:pPr>
            <w:r>
              <w:rPr>
                <w:rFonts w:hint="eastAsia" w:ascii="PMingLiU" w:hAnsi="PMingLiU"/>
                <w:bCs/>
              </w:rPr>
              <w:t>依核可样袋</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bCs/>
              </w:rPr>
            </w:pPr>
            <w:r>
              <w:rPr>
                <w:rFonts w:ascii="PMingLiU" w:hAnsi="PMingLiU"/>
                <w:bCs/>
              </w:rPr>
              <w:t>1</w:t>
            </w:r>
            <w:r>
              <w:rPr>
                <w:rFonts w:hint="eastAsia" w:ascii="PMingLiU" w:hAnsi="PMingLiU"/>
                <w:bCs/>
              </w:rPr>
              <w:t>、印刷位置</w:t>
            </w:r>
            <w:r>
              <w:rPr>
                <w:rFonts w:hint="eastAsia" w:ascii="宋体" w:hAnsi="宋体"/>
                <w:bCs/>
              </w:rPr>
              <w:t>、</w:t>
            </w:r>
            <w:r>
              <w:rPr>
                <w:rFonts w:hint="eastAsia" w:ascii="PMingLiU" w:hAnsi="PMingLiU"/>
                <w:bCs/>
              </w:rPr>
              <w:t>间距、大小、总长</w:t>
            </w:r>
            <w:r>
              <w:rPr>
                <w:rFonts w:hint="eastAsia" w:ascii="宋体" w:hAnsi="宋体"/>
                <w:bCs/>
              </w:rPr>
              <w:t>、</w:t>
            </w:r>
            <w:r>
              <w:rPr>
                <w:rFonts w:hint="eastAsia" w:ascii="PMingLiU" w:hAnsi="PMingLiU"/>
                <w:bCs/>
              </w:rPr>
              <w:t>有效长</w:t>
            </w:r>
            <w:r>
              <w:rPr>
                <w:rFonts w:hint="eastAsia" w:ascii="宋体" w:hAnsi="宋体"/>
                <w:bCs/>
              </w:rPr>
              <w:t>、</w:t>
            </w:r>
            <w:r>
              <w:rPr>
                <w:rFonts w:hint="eastAsia" w:ascii="PMingLiU" w:hAnsi="PMingLiU"/>
                <w:bCs/>
              </w:rPr>
              <w:t>宽度尺寸超出指标规范范围</w:t>
            </w:r>
            <w:r>
              <w:rPr>
                <w:rFonts w:hint="eastAsia" w:ascii="宋体" w:hAnsi="宋体"/>
                <w:bCs/>
              </w:rPr>
              <w:t>，视情节严重性给予扣罚</w:t>
            </w:r>
            <w:r>
              <w:rPr>
                <w:rFonts w:ascii="PMingLiU" w:hAnsi="PMingLiU"/>
                <w:bCs/>
              </w:rPr>
              <w:t>0.0</w:t>
            </w:r>
            <w:r>
              <w:rPr>
                <w:rFonts w:hint="eastAsia" w:ascii="PMingLiU" w:hAnsi="PMingLiU"/>
                <w:bCs/>
              </w:rPr>
              <w:t>2元</w:t>
            </w:r>
            <w:r>
              <w:rPr>
                <w:rFonts w:ascii="PMingLiU" w:hAnsi="PMingLiU"/>
                <w:bCs/>
              </w:rPr>
              <w:t>/</w:t>
            </w:r>
            <w:r>
              <w:rPr>
                <w:rFonts w:hint="eastAsia" w:ascii="PMingLiU" w:hAnsi="PMingLiU"/>
                <w:bCs/>
              </w:rPr>
              <w:t>条</w:t>
            </w:r>
            <w:r>
              <w:rPr>
                <w:rFonts w:hint="eastAsia" w:ascii="宋体" w:hAnsi="宋体"/>
                <w:bCs/>
              </w:rPr>
              <w:t>；</w:t>
            </w:r>
            <w:r>
              <w:rPr>
                <w:rFonts w:hint="eastAsia" w:ascii="PMingLiU" w:hAnsi="PMingLiU"/>
                <w:bCs/>
              </w:rPr>
              <w:t>超出允收规范范围</w:t>
            </w:r>
            <w:r>
              <w:rPr>
                <w:rFonts w:hint="eastAsia" w:ascii="宋体" w:hAnsi="宋体"/>
                <w:bCs/>
              </w:rPr>
              <w:t>，</w:t>
            </w:r>
            <w:r>
              <w:rPr>
                <w:rFonts w:hint="eastAsia" w:ascii="PMingLiU" w:hAnsi="PMingLiU"/>
                <w:bCs/>
              </w:rPr>
              <w:t>拒收</w:t>
            </w:r>
            <w:r>
              <w:rPr>
                <w:rFonts w:hint="eastAsia" w:ascii="宋体" w:hAnsi="宋体"/>
                <w:bCs/>
              </w:rPr>
              <w:t>。</w:t>
            </w:r>
          </w:p>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bCs/>
              </w:rPr>
            </w:pPr>
            <w:r>
              <w:rPr>
                <w:rFonts w:ascii="PMingLiU" w:hAnsi="PMingLiU"/>
                <w:bCs/>
              </w:rPr>
              <w:t>2</w:t>
            </w:r>
            <w:r>
              <w:rPr>
                <w:rFonts w:hint="eastAsia" w:ascii="PMingLiU" w:hAnsi="PMingLiU"/>
                <w:bCs/>
              </w:rPr>
              <w:t>、阀口宽度超出指标规范范围</w:t>
            </w:r>
            <w:r>
              <w:rPr>
                <w:rFonts w:hint="eastAsia" w:ascii="宋体" w:hAnsi="宋体"/>
                <w:bCs/>
              </w:rPr>
              <w:t>，</w:t>
            </w:r>
            <w:r>
              <w:rPr>
                <w:rFonts w:hint="eastAsia" w:ascii="PMingLiU" w:hAnsi="PMingLiU"/>
                <w:bCs/>
              </w:rPr>
              <w:t>扣罚</w:t>
            </w:r>
            <w:r>
              <w:rPr>
                <w:rFonts w:ascii="PMingLiU" w:hAnsi="PMingLiU"/>
                <w:bCs/>
              </w:rPr>
              <w:t>0.02</w:t>
            </w:r>
            <w:r>
              <w:rPr>
                <w:rFonts w:hint="eastAsia" w:ascii="PMingLiU" w:hAnsi="PMingLiU"/>
                <w:bCs/>
              </w:rPr>
              <w:t>元</w:t>
            </w:r>
            <w:r>
              <w:rPr>
                <w:rFonts w:ascii="PMingLiU" w:hAnsi="PMingLiU"/>
                <w:bCs/>
              </w:rPr>
              <w:t>/</w:t>
            </w:r>
            <w:r>
              <w:rPr>
                <w:rFonts w:hint="eastAsia" w:ascii="PMingLiU" w:hAnsi="PMingLiU"/>
                <w:bCs/>
              </w:rPr>
              <w:t>条</w:t>
            </w:r>
            <w:r>
              <w:rPr>
                <w:rFonts w:hint="eastAsia" w:ascii="宋体" w:hAnsi="宋体"/>
                <w:bCs/>
              </w:rPr>
              <w:t>。</w:t>
            </w:r>
          </w:p>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bCs/>
              </w:rPr>
            </w:pPr>
            <w:r>
              <w:rPr>
                <w:rFonts w:ascii="PMingLiU" w:hAnsi="PMingLiU"/>
                <w:bCs/>
              </w:rPr>
              <w:t>3</w:t>
            </w:r>
            <w:r>
              <w:rPr>
                <w:rFonts w:hint="eastAsia" w:ascii="PMingLiU" w:hAnsi="PMingLiU"/>
                <w:bCs/>
              </w:rPr>
              <w:t>、印刷版面、字体错误，装包后表面起泡脱膜等影响使用</w:t>
            </w:r>
            <w:r>
              <w:rPr>
                <w:rFonts w:hint="eastAsia" w:ascii="宋体" w:hAnsi="宋体"/>
                <w:bCs/>
              </w:rPr>
              <w:t>，</w:t>
            </w:r>
            <w:r>
              <w:rPr>
                <w:rFonts w:hint="eastAsia" w:ascii="PMingLiU" w:hAnsi="PMingLiU"/>
                <w:bCs/>
              </w:rPr>
              <w:t>拒收；轻微起泡允收者，</w:t>
            </w:r>
            <w:r>
              <w:rPr>
                <w:rFonts w:hint="eastAsia" w:ascii="宋体" w:hAnsi="宋体"/>
                <w:bCs/>
              </w:rPr>
              <w:t>扣罚</w:t>
            </w:r>
            <w:r>
              <w:rPr>
                <w:rFonts w:ascii="PMingLiU" w:hAnsi="PMingLiU"/>
                <w:bCs/>
              </w:rPr>
              <w:t>0.0</w:t>
            </w:r>
            <w:r>
              <w:rPr>
                <w:rFonts w:hint="eastAsia" w:ascii="PMingLiU" w:hAnsi="PMingLiU"/>
                <w:bCs/>
              </w:rPr>
              <w:t>2元</w:t>
            </w:r>
            <w:r>
              <w:rPr>
                <w:rFonts w:ascii="PMingLiU" w:hAnsi="PMingLiU"/>
                <w:bCs/>
              </w:rPr>
              <w:t>/</w:t>
            </w:r>
            <w:r>
              <w:rPr>
                <w:rFonts w:hint="eastAsia" w:ascii="PMingLiU" w:hAnsi="PMingLiU"/>
                <w:bCs/>
              </w:rPr>
              <w:t>条，累犯或情节严重者加重扣罚。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505"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bCs/>
              </w:rPr>
            </w:pPr>
            <w:r>
              <w:rPr>
                <w:rFonts w:hint="eastAsia" w:ascii="PMingLiU" w:hAnsi="PMingLiU"/>
                <w:bCs/>
              </w:rPr>
              <w:t>色</w:t>
            </w:r>
            <w:r>
              <w:rPr>
                <w:rFonts w:ascii="PMingLiU" w:hAnsi="PMingLiU"/>
                <w:bCs/>
              </w:rPr>
              <w:t xml:space="preserve"> </w:t>
            </w:r>
            <w:r>
              <w:rPr>
                <w:rFonts w:hint="eastAsia" w:ascii="PMingLiU" w:hAnsi="PMingLiU"/>
                <w:bCs/>
              </w:rPr>
              <w:t>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PMingLiU" w:hAnsi="PMingLiU"/>
                <w:bCs/>
              </w:rPr>
              <w:t>依核可样袋</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宋体" w:hAnsi="宋体"/>
                <w:bCs/>
              </w:rPr>
            </w:pPr>
            <w:r>
              <w:rPr>
                <w:rFonts w:hint="eastAsia" w:ascii="宋体" w:hAnsi="宋体"/>
                <w:bCs/>
              </w:rPr>
              <w:t>红色：Pantone 2346U~2349U。</w:t>
            </w:r>
          </w:p>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宋体" w:hAnsi="宋体"/>
                <w:bCs/>
              </w:rPr>
            </w:pPr>
            <w:r>
              <w:rPr>
                <w:rFonts w:hint="eastAsia" w:ascii="宋体" w:hAnsi="宋体"/>
                <w:bCs/>
              </w:rPr>
              <w:t>其他：依甲方核可之样袋验收。</w:t>
            </w:r>
          </w:p>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bCs/>
              </w:rPr>
            </w:pPr>
            <w:r>
              <w:rPr>
                <w:rFonts w:hint="eastAsia" w:ascii="宋体" w:hAnsi="宋体"/>
                <w:bCs/>
              </w:rPr>
              <w:t>超过允收，扣罚0.02元/条。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505" w:type="dxa"/>
            <w:tcBorders>
              <w:top w:val="single" w:color="auto" w:sz="4" w:space="0"/>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宋体" w:hAnsi="宋体"/>
                <w:bCs/>
              </w:rPr>
              <w:t>缝底线</w:t>
            </w:r>
            <w:r>
              <w:rPr>
                <w:rFonts w:hint="eastAsia" w:ascii="宋体" w:hAnsi="宋体"/>
              </w:rPr>
              <w:t>针孔</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bCs/>
              </w:rPr>
            </w:pPr>
            <w:r>
              <w:rPr>
                <w:rFonts w:hint="eastAsia" w:ascii="宋体" w:hAnsi="宋体"/>
              </w:rPr>
              <w:t>间距</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bCs/>
              </w:rPr>
            </w:pPr>
            <w:r>
              <w:rPr>
                <w:rFonts w:hint="eastAsia" w:ascii="宋体" w:hAnsi="宋体"/>
              </w:rPr>
              <w:t>缝线针孔间距</w:t>
            </w:r>
            <w:r>
              <w:rPr>
                <w:rFonts w:ascii="宋体" w:hAnsi="宋体"/>
              </w:rPr>
              <w:t>&gt;1</w:t>
            </w:r>
            <w:r>
              <w:rPr>
                <w:rFonts w:hint="eastAsia" w:ascii="宋体" w:hAnsi="宋体"/>
              </w:rPr>
              <w:t>1</w:t>
            </w:r>
            <w:r>
              <w:rPr>
                <w:rFonts w:ascii="宋体" w:hAnsi="宋体"/>
              </w:rPr>
              <w:t>mm</w:t>
            </w:r>
            <w:r>
              <w:rPr>
                <w:rFonts w:hint="eastAsia" w:ascii="宋体" w:hAnsi="宋体"/>
              </w:rPr>
              <w:t>，</w:t>
            </w:r>
            <w:r>
              <w:rPr>
                <w:rFonts w:hint="eastAsia" w:ascii="宋体" w:hAnsi="宋体"/>
                <w:bCs/>
              </w:rPr>
              <w:t>视情节严重性给予扣罚</w:t>
            </w:r>
            <w:r>
              <w:rPr>
                <w:rFonts w:ascii="PMingLiU" w:hAnsi="PMingLiU"/>
                <w:bCs/>
              </w:rPr>
              <w:t>0.0</w:t>
            </w:r>
            <w:r>
              <w:rPr>
                <w:rFonts w:hint="eastAsia" w:ascii="PMingLiU" w:hAnsi="PMingLiU"/>
                <w:bCs/>
              </w:rPr>
              <w:t>2元</w:t>
            </w:r>
            <w:r>
              <w:rPr>
                <w:rFonts w:ascii="PMingLiU" w:hAnsi="PMingLiU"/>
                <w:bCs/>
              </w:rPr>
              <w:t>/</w:t>
            </w:r>
            <w:r>
              <w:rPr>
                <w:rFonts w:hint="eastAsia" w:ascii="PMingLiU" w:hAnsi="PMingLiU"/>
                <w:bCs/>
              </w:rPr>
              <w:t>条</w:t>
            </w:r>
            <w:r>
              <w:rPr>
                <w:rFonts w:hint="eastAsia" w:ascii="宋体" w:hAnsi="宋体"/>
                <w:bCs/>
              </w:rPr>
              <w:t>；</w:t>
            </w:r>
            <w:r>
              <w:rPr>
                <w:rFonts w:hint="eastAsia" w:ascii="宋体" w:hAnsi="宋体"/>
              </w:rPr>
              <w:t>间距</w:t>
            </w:r>
            <w:r>
              <w:rPr>
                <w:rFonts w:ascii="宋体" w:hAnsi="宋体"/>
              </w:rPr>
              <w:t>&gt;1</w:t>
            </w:r>
            <w:r>
              <w:rPr>
                <w:rFonts w:hint="eastAsia" w:ascii="宋体" w:hAnsi="宋体"/>
              </w:rPr>
              <w:t>3</w:t>
            </w:r>
            <w:r>
              <w:rPr>
                <w:rFonts w:ascii="宋体" w:hAnsi="宋体"/>
              </w:rPr>
              <w:t>mm</w:t>
            </w:r>
            <w:r>
              <w:rPr>
                <w:rFonts w:hint="eastAsia" w:ascii="宋体" w:hAnsi="宋体"/>
              </w:rPr>
              <w:t>，拒收。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505" w:type="dxa"/>
            <w:tcBorders>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cs="Arial Unicode MS"/>
                <w:bCs/>
              </w:rPr>
            </w:pPr>
            <w:r>
              <w:rPr>
                <w:rFonts w:hint="eastAsia" w:ascii="PMingLiU" w:hAnsi="PMingLiU" w:cs="Arial Unicode MS"/>
                <w:bCs/>
              </w:rPr>
              <w:t>破包率</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cs="Arial Unicode MS"/>
                <w:bCs/>
              </w:rPr>
            </w:pPr>
            <w:r>
              <w:rPr>
                <w:rFonts w:hint="eastAsia" w:ascii="宋体" w:hAnsi="宋体" w:cs="宋体"/>
              </w:rPr>
              <w:t>≤</w:t>
            </w:r>
            <w:r>
              <w:rPr>
                <w:rFonts w:ascii="PMingLiU" w:hAnsi="PMingLiU" w:cs="Arial Unicode MS"/>
              </w:rPr>
              <w:t>2</w:t>
            </w:r>
            <w:r>
              <w:rPr>
                <w:rFonts w:hint="eastAsia" w:ascii="PMingLiU" w:hAnsi="PMingLiU" w:cs="Arial Unicode MS"/>
              </w:rPr>
              <w:t>‰</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宋体" w:hAnsi="宋体" w:cs="Arial Unicode MS"/>
                <w:bCs/>
              </w:rPr>
            </w:pPr>
            <w:r>
              <w:rPr>
                <w:rFonts w:hint="eastAsia" w:ascii="宋体" w:hAnsi="宋体" w:cs="Arial Unicode MS"/>
                <w:bCs/>
              </w:rPr>
              <w:t>在验收入库后，于使用过程中破包率超过</w:t>
            </w:r>
            <w:r>
              <w:rPr>
                <w:rFonts w:ascii="宋体" w:hAnsi="宋体" w:cs="Arial Unicode MS"/>
                <w:bCs/>
              </w:rPr>
              <w:t>2‰</w:t>
            </w:r>
            <w:r>
              <w:rPr>
                <w:rFonts w:hint="eastAsia" w:ascii="宋体" w:hAnsi="宋体" w:cs="Arial Unicode MS"/>
                <w:bCs/>
              </w:rPr>
              <w:t>的数量，乙方需无偿补足超出破袋部分的数量，并依该批次总量进行</w:t>
            </w:r>
            <w:r>
              <w:rPr>
                <w:rFonts w:ascii="宋体" w:hAnsi="宋体" w:cs="Arial Unicode MS"/>
                <w:bCs/>
              </w:rPr>
              <w:t>0.</w:t>
            </w:r>
            <w:r>
              <w:rPr>
                <w:rFonts w:hint="eastAsia" w:ascii="宋体" w:hAnsi="宋体" w:cs="Arial Unicode MS"/>
                <w:bCs/>
              </w:rPr>
              <w:t>05元</w:t>
            </w:r>
            <w:r>
              <w:rPr>
                <w:rFonts w:ascii="宋体" w:hAnsi="宋体" w:cs="Arial Unicode MS"/>
                <w:bCs/>
              </w:rPr>
              <w:t>/</w:t>
            </w:r>
            <w:r>
              <w:rPr>
                <w:rFonts w:hint="eastAsia" w:ascii="宋体" w:hAnsi="宋体" w:cs="Arial Unicode MS"/>
                <w:bCs/>
              </w:rPr>
              <w:t>条的扣罚；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05" w:type="dxa"/>
            <w:tcBorders>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cs="Arial Unicode MS"/>
                <w:bCs/>
              </w:rPr>
            </w:pPr>
            <w:r>
              <w:rPr>
                <w:rFonts w:hint="eastAsia" w:ascii="PMingLiU" w:hAnsi="PMingLiU" w:cs="Arial Unicode MS"/>
                <w:bCs/>
              </w:rPr>
              <w:t>密封性</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宋体" w:hAnsi="宋体" w:cs="宋体"/>
              </w:rPr>
            </w:pPr>
            <w:r>
              <w:rPr>
                <w:rFonts w:hint="eastAsia" w:ascii="宋体" w:hAnsi="宋体" w:cs="宋体"/>
              </w:rPr>
              <w:t>皮带上无可见喷料</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宋体" w:hAnsi="宋体"/>
                <w:bCs/>
              </w:rPr>
            </w:pPr>
            <w:r>
              <w:rPr>
                <w:rFonts w:hint="eastAsia" w:ascii="宋体" w:hAnsi="宋体"/>
                <w:bCs/>
              </w:rPr>
              <w:t>1、包装后的重量不符国标者，停用并退货；</w:t>
            </w:r>
          </w:p>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宋体" w:hAnsi="宋体"/>
                <w:bCs/>
              </w:rPr>
            </w:pPr>
            <w:r>
              <w:rPr>
                <w:rFonts w:hint="eastAsia" w:ascii="宋体" w:hAnsi="宋体"/>
                <w:bCs/>
              </w:rPr>
              <w:t>2、甲方同意使用者，</w:t>
            </w:r>
            <w:r>
              <w:rPr>
                <w:rFonts w:hint="eastAsia" w:ascii="PMingLiU" w:hAnsi="PMingLiU"/>
                <w:bCs/>
              </w:rPr>
              <w:t>扣罚</w:t>
            </w:r>
            <w:r>
              <w:rPr>
                <w:rFonts w:ascii="PMingLiU" w:hAnsi="PMingLiU"/>
                <w:bCs/>
              </w:rPr>
              <w:t>0.</w:t>
            </w:r>
            <w:r>
              <w:rPr>
                <w:rFonts w:hint="eastAsia" w:ascii="PMingLiU" w:hAnsi="PMingLiU"/>
                <w:bCs/>
              </w:rPr>
              <w:t>1元</w:t>
            </w:r>
            <w:r>
              <w:rPr>
                <w:rFonts w:ascii="PMingLiU" w:hAnsi="PMingLiU"/>
                <w:bCs/>
              </w:rPr>
              <w:t>/</w:t>
            </w:r>
            <w:r>
              <w:rPr>
                <w:rFonts w:hint="eastAsia" w:ascii="PMingLiU" w:hAnsi="PMingLiU"/>
                <w:bCs/>
              </w:rPr>
              <w:t>条</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05" w:type="dxa"/>
            <w:vMerge w:val="restart"/>
            <w:tcBorders>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00" w:lineRule="exact"/>
              <w:jc w:val="center"/>
              <w:rPr>
                <w:rFonts w:ascii="PMingLiU" w:hAnsi="PMingLiU" w:cs="Arial Unicode MS"/>
                <w:bCs/>
              </w:rPr>
            </w:pPr>
            <w:r>
              <w:rPr>
                <w:rFonts w:hint="eastAsia" w:ascii="PMingLiU" w:hAnsi="PMingLiU" w:cs="Arial Unicode MS"/>
                <w:bCs/>
              </w:rPr>
              <w:t>漏灰量</w:t>
            </w:r>
            <w:r>
              <w:rPr>
                <w:rFonts w:ascii="PMingLiU" w:hAnsi="PMingLiU" w:cs="Arial Unicode MS"/>
                <w:bCs/>
              </w:rPr>
              <w:t xml:space="preserve"> </w:t>
            </w:r>
          </w:p>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00" w:lineRule="exact"/>
              <w:jc w:val="center"/>
              <w:rPr>
                <w:rFonts w:ascii="PMingLiU" w:hAnsi="PMingLiU" w:eastAsia="PMingLiU" w:cs="Arial Unicode MS"/>
                <w:bCs/>
              </w:rPr>
            </w:pPr>
            <w:r>
              <w:rPr>
                <w:rFonts w:ascii="PMingLiU" w:hAnsi="PMingLiU" w:cs="Arial Unicode MS"/>
                <w:bCs/>
              </w:rPr>
              <w:t>(g)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宋体" w:hAnsi="宋体" w:eastAsia="PMingLiU" w:cs="宋体"/>
              </w:rPr>
            </w:pPr>
            <w:r>
              <w:rPr>
                <w:rFonts w:hint="eastAsia" w:ascii="宋体" w:hAnsi="宋体" w:cs="宋体"/>
              </w:rPr>
              <w:t>30</w:t>
            </w:r>
            <w:r>
              <w:rPr>
                <w:rFonts w:ascii="宋体" w:hAnsi="宋体" w:cs="宋体"/>
              </w:rPr>
              <w:t>g&lt;</w:t>
            </w:r>
            <w:r>
              <w:rPr>
                <w:rFonts w:hint="eastAsia" w:ascii="宋体" w:hAnsi="宋体" w:cs="宋体"/>
              </w:rPr>
              <w:t>检测值≤</w:t>
            </w:r>
            <w:r>
              <w:rPr>
                <w:rFonts w:ascii="宋体" w:hAnsi="宋体" w:cs="宋体"/>
              </w:rPr>
              <w:t>70g</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宋体" w:hAnsi="宋体" w:cs="Arial Unicode MS"/>
                <w:bCs/>
              </w:rPr>
            </w:pPr>
            <w:r>
              <w:rPr>
                <w:rFonts w:hint="eastAsia" w:ascii="宋体" w:hAnsi="宋体"/>
                <w:bCs/>
              </w:rPr>
              <w:t>扣罚</w:t>
            </w:r>
            <w:r>
              <w:rPr>
                <w:rFonts w:ascii="宋体" w:hAnsi="宋体"/>
                <w:bCs/>
              </w:rPr>
              <w:t>0.02</w:t>
            </w:r>
            <w:r>
              <w:rPr>
                <w:rFonts w:hint="eastAsia" w:ascii="宋体" w:hAnsi="宋体"/>
                <w:bCs/>
              </w:rPr>
              <w:t>元</w:t>
            </w:r>
            <w:r>
              <w:rPr>
                <w:rFonts w:ascii="宋体" w:hAnsi="宋体"/>
                <w:bCs/>
              </w:rPr>
              <w:t>/</w:t>
            </w:r>
            <w:r>
              <w:rPr>
                <w:rFonts w:hint="eastAsia" w:ascii="宋体" w:hAnsi="宋体"/>
                <w:bCs/>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505" w:type="dxa"/>
            <w:vMerge w:val="continue"/>
            <w:tcBorders>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PMingLiU" w:hAnsi="PMingLiU" w:eastAsia="PMingLiU" w:cs="Arial Unicode MS"/>
                <w:bCs/>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jc w:val="center"/>
              <w:rPr>
                <w:rFonts w:ascii="宋体" w:hAnsi="宋体" w:eastAsia="PMingLiU" w:cs="宋体"/>
              </w:rPr>
            </w:pPr>
            <w:r>
              <w:rPr>
                <w:rFonts w:hint="eastAsia" w:ascii="宋体" w:hAnsi="宋体" w:cs="宋体"/>
              </w:rPr>
              <w:t>检测值</w:t>
            </w:r>
            <w:r>
              <w:rPr>
                <w:rFonts w:ascii="方正舒体" w:hAnsi="宋体" w:eastAsia="方正舒体" w:cs="宋体"/>
              </w:rPr>
              <w:t>&gt;</w:t>
            </w:r>
            <w:r>
              <w:rPr>
                <w:rFonts w:ascii="宋体" w:hAnsi="宋体" w:cs="宋体"/>
              </w:rPr>
              <w:t>70g</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宋体" w:hAnsi="宋体" w:cs="Arial Unicode MS"/>
                <w:bCs/>
              </w:rPr>
            </w:pPr>
            <w:r>
              <w:rPr>
                <w:rFonts w:hint="eastAsia" w:ascii="宋体" w:hAnsi="宋体" w:cs="宋体"/>
              </w:rPr>
              <w:t>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159" w:type="dxa"/>
            <w:gridSpan w:val="3"/>
            <w:tcBorders>
              <w:left w:val="single" w:color="auto" w:sz="4" w:space="0"/>
              <w:right w:val="single" w:color="auto" w:sz="4" w:space="0"/>
            </w:tcBorders>
            <w:shd w:val="clear" w:color="auto" w:fill="auto"/>
            <w:vAlign w:val="center"/>
          </w:tcPr>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rPr>
                <w:rFonts w:ascii="PMingLiU" w:hAnsi="PMingLiU" w:cs="Arial Unicode MS"/>
                <w:bCs/>
              </w:rPr>
            </w:pPr>
            <w:r>
              <w:rPr>
                <w:rFonts w:hint="eastAsia" w:ascii="PMingLiU" w:hAnsi="PMingLiU" w:cs="Arial Unicode MS"/>
                <w:bCs/>
              </w:rPr>
              <w:t>注：</w:t>
            </w:r>
          </w:p>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ind w:firstLine="420" w:firstLineChars="200"/>
              <w:rPr>
                <w:rFonts w:ascii="PMingLiU" w:hAnsi="PMingLiU" w:cs="Arial Unicode MS"/>
                <w:bCs/>
              </w:rPr>
            </w:pPr>
            <w:r>
              <w:rPr>
                <w:rFonts w:ascii="PMingLiU" w:hAnsi="PMingLiU" w:cs="Arial Unicode MS"/>
                <w:bCs/>
              </w:rPr>
              <w:t xml:space="preserve">1. </w:t>
            </w:r>
            <w:r>
              <w:rPr>
                <w:rFonts w:hint="eastAsia" w:ascii="PMingLiU" w:hAnsi="PMingLiU" w:cs="Arial Unicode MS"/>
                <w:bCs/>
              </w:rPr>
              <w:t>未明确扣罚标准之违规项，由双方协商确定</w:t>
            </w:r>
            <w:r>
              <w:rPr>
                <w:rFonts w:hint="eastAsia" w:ascii="宋体" w:hAnsi="宋体"/>
                <w:bCs/>
              </w:rPr>
              <w:t>；</w:t>
            </w:r>
          </w:p>
          <w:p>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pacing w:line="360" w:lineRule="exact"/>
              <w:ind w:firstLine="415" w:firstLineChars="198"/>
              <w:rPr>
                <w:rFonts w:ascii="PMingLiU" w:hAnsi="PMingLiU" w:cs="Arial Unicode MS"/>
                <w:bCs/>
              </w:rPr>
            </w:pPr>
            <w:r>
              <w:rPr>
                <w:rFonts w:ascii="PMingLiU" w:hAnsi="PMingLiU" w:cs="Arial Unicode MS"/>
                <w:bCs/>
              </w:rPr>
              <w:t>2.</w:t>
            </w:r>
            <w:r>
              <w:rPr>
                <w:rFonts w:hint="eastAsia" w:ascii="PMingLiU" w:hAnsi="PMingLiU" w:cs="Arial Unicode MS"/>
                <w:bCs/>
              </w:rPr>
              <w:t xml:space="preserve"> </w:t>
            </w:r>
            <w:r>
              <w:rPr>
                <w:rFonts w:hint="eastAsia" w:ascii="PMingLiU" w:hAnsi="PMingLiU" w:cs="Arial Unicode MS"/>
                <w:bCs/>
                <w:highlight w:val="red"/>
              </w:rPr>
              <w:t>拒收或质量异常之包装袋，于厂内割破销毁后再行拉走；</w:t>
            </w:r>
          </w:p>
        </w:tc>
      </w:tr>
    </w:tbl>
    <w:p>
      <w:pPr>
        <w:widowControl/>
        <w:spacing w:line="380" w:lineRule="exact"/>
        <w:rPr>
          <w:rFonts w:eastAsia="DFKai-SB"/>
          <w:b/>
          <w:szCs w:val="21"/>
        </w:rPr>
      </w:pPr>
      <w:r>
        <w:rPr>
          <w:rFonts w:hAnsi="DFKai-SB"/>
          <w:b/>
          <w:szCs w:val="21"/>
        </w:rPr>
        <w:br w:type="page"/>
      </w:r>
      <w:r>
        <w:rPr>
          <w:rFonts w:hint="eastAsia" w:hAnsi="DFKai-SB"/>
          <w:b/>
          <w:szCs w:val="21"/>
        </w:rPr>
        <w:t>六、其它：</w:t>
      </w:r>
    </w:p>
    <w:p>
      <w:pPr>
        <w:numPr>
          <w:ilvl w:val="1"/>
          <w:numId w:val="3"/>
        </w:numPr>
        <w:adjustRightInd w:val="0"/>
        <w:spacing w:line="380" w:lineRule="exact"/>
        <w:ind w:left="720" w:hanging="360"/>
        <w:jc w:val="left"/>
        <w:textAlignment w:val="baseline"/>
        <w:rPr>
          <w:rFonts w:hAnsi="DFKai-SB"/>
          <w:szCs w:val="21"/>
        </w:rPr>
      </w:pPr>
      <w:r>
        <w:rPr>
          <w:szCs w:val="21"/>
        </w:rPr>
        <w:t xml:space="preserve"> </w:t>
      </w:r>
      <w:r>
        <w:rPr>
          <w:rFonts w:hint="eastAsia"/>
          <w:szCs w:val="21"/>
        </w:rPr>
        <w:t>包装袋适用温度为不高于</w:t>
      </w:r>
      <w:r>
        <w:rPr>
          <w:szCs w:val="21"/>
        </w:rPr>
        <w:t>100</w:t>
      </w:r>
      <w:r>
        <w:rPr>
          <w:rFonts w:hint="eastAsia"/>
          <w:szCs w:val="21"/>
        </w:rPr>
        <w:t>℃。</w:t>
      </w:r>
    </w:p>
    <w:p>
      <w:pPr>
        <w:numPr>
          <w:ilvl w:val="1"/>
          <w:numId w:val="3"/>
        </w:numPr>
        <w:adjustRightInd w:val="0"/>
        <w:spacing w:line="380" w:lineRule="exact"/>
        <w:ind w:left="851" w:hanging="491"/>
        <w:jc w:val="left"/>
        <w:textAlignment w:val="baseline"/>
        <w:rPr>
          <w:rFonts w:hAnsi="DFKai-SB"/>
          <w:szCs w:val="21"/>
          <w:highlight w:val="yellow"/>
        </w:rPr>
      </w:pPr>
      <w:r>
        <w:rPr>
          <w:rFonts w:hAnsi="DFKai-SB"/>
          <w:szCs w:val="21"/>
          <w:highlight w:val="yellow"/>
        </w:rPr>
        <w:drawing>
          <wp:anchor distT="0" distB="0" distL="114300" distR="114300" simplePos="0" relativeHeight="251659264" behindDoc="0" locked="0" layoutInCell="1" allowOverlap="1">
            <wp:simplePos x="0" y="0"/>
            <wp:positionH relativeFrom="column">
              <wp:posOffset>1771650</wp:posOffset>
            </wp:positionH>
            <wp:positionV relativeFrom="paragraph">
              <wp:posOffset>39370</wp:posOffset>
            </wp:positionV>
            <wp:extent cx="2430145" cy="4741545"/>
            <wp:effectExtent l="635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16200000">
                      <a:off x="0" y="0"/>
                      <a:ext cx="2430145" cy="4741545"/>
                    </a:xfrm>
                    <a:prstGeom prst="rect">
                      <a:avLst/>
                    </a:prstGeom>
                  </pic:spPr>
                </pic:pic>
              </a:graphicData>
            </a:graphic>
          </wp:anchor>
        </w:drawing>
      </w:r>
      <w:r>
        <w:rPr>
          <w:rFonts w:hint="eastAsia" w:hAnsi="DFKai-SB"/>
          <w:szCs w:val="21"/>
          <w:highlight w:val="yellow"/>
        </w:rPr>
        <w:t>包装袋平整度要求：空袋需要按照A形式和B形式交替码放（如下图）平整重叠摆放，成叠的空袋平整地码放于箱式内，每叠空袋子数量 15个；为保持整个箱式内纸袋的平整，每叠空袋的数量应保持一致；箱式内纸袋顶部不准有沉重压力需保持袋子表面平整度，不能有褶皱和硬弯现象，袋厂需做预压处理，如包装袋有褶皱现象视为不合格产品。</w:t>
      </w:r>
    </w:p>
    <w:p>
      <w:pPr>
        <w:numPr>
          <w:ilvl w:val="1"/>
          <w:numId w:val="3"/>
        </w:numPr>
        <w:adjustRightInd w:val="0"/>
        <w:spacing w:line="380" w:lineRule="exact"/>
        <w:ind w:left="851" w:hanging="491"/>
        <w:jc w:val="left"/>
        <w:textAlignment w:val="baseline"/>
        <w:rPr>
          <w:rFonts w:hAnsi="DFKai-SB"/>
          <w:szCs w:val="21"/>
        </w:rPr>
      </w:pPr>
      <w:r>
        <w:rPr>
          <w:rFonts w:hint="eastAsia" w:hAnsi="DFKai-SB"/>
          <w:szCs w:val="21"/>
          <w:highlight w:val="yellow"/>
        </w:rPr>
        <w:t>包装袋装运要求：</w:t>
      </w:r>
      <w:r>
        <w:rPr>
          <w:rFonts w:hint="eastAsia" w:hAnsi="DFKai-SB"/>
          <w:szCs w:val="21"/>
        </w:rPr>
        <w:t>采用箱式托盘装运，包装必须有箱式托盘护角及压顶，托盘底部距离地面</w:t>
      </w:r>
      <w:r>
        <w:rPr>
          <w:rFonts w:hint="eastAsia" w:hAnsi="DFKai-SB"/>
          <w:szCs w:val="21"/>
          <w:highlight w:val="yellow"/>
        </w:rPr>
        <w:t>高度≥200mm</w:t>
      </w:r>
      <w:r>
        <w:rPr>
          <w:rFonts w:hint="eastAsia" w:hAnsi="DFKai-SB"/>
          <w:szCs w:val="21"/>
        </w:rPr>
        <w:t>不允许用绳子捆扎，运输及卸货的过程中亦需确保袋子平整、整齐。如运输过程中出现上边的货物挤压到下边箱体中的货物则下边的货物按不合格品处理。</w:t>
      </w:r>
    </w:p>
    <w:p>
      <w:pPr>
        <w:numPr>
          <w:ilvl w:val="1"/>
          <w:numId w:val="3"/>
        </w:numPr>
        <w:adjustRightInd w:val="0"/>
        <w:spacing w:line="380" w:lineRule="exact"/>
        <w:ind w:left="720" w:hanging="360"/>
        <w:jc w:val="left"/>
        <w:textAlignment w:val="baseline"/>
        <w:rPr>
          <w:rFonts w:hAnsi="DFKai-SB"/>
          <w:szCs w:val="21"/>
        </w:rPr>
      </w:pPr>
      <w:r>
        <w:rPr>
          <w:rFonts w:hint="eastAsia" w:hAnsi="DFKai-SB"/>
          <w:szCs w:val="21"/>
        </w:rPr>
        <w:t xml:space="preserve"> 使用过程中的异常品</w:t>
      </w:r>
      <w:r>
        <w:rPr>
          <w:rFonts w:hint="eastAsia" w:ascii="PMingLiU" w:hAnsi="PMingLiU" w:cs="Arial Unicode MS"/>
          <w:bCs/>
        </w:rPr>
        <w:t>，</w:t>
      </w:r>
      <w:r>
        <w:rPr>
          <w:rFonts w:hint="eastAsia" w:hAnsi="DFKai-SB"/>
          <w:szCs w:val="21"/>
        </w:rPr>
        <w:t>统计数量后，以合同单价之</w:t>
      </w:r>
      <w:r>
        <w:rPr>
          <w:rFonts w:hAnsi="DFKai-SB"/>
          <w:szCs w:val="21"/>
        </w:rPr>
        <w:t>2</w:t>
      </w:r>
      <w:r>
        <w:rPr>
          <w:rFonts w:hint="eastAsia" w:hAnsi="DFKai-SB"/>
          <w:szCs w:val="21"/>
        </w:rPr>
        <w:t>倍进行扣罚。</w:t>
      </w:r>
    </w:p>
    <w:p>
      <w:pPr>
        <w:numPr>
          <w:ilvl w:val="1"/>
          <w:numId w:val="3"/>
        </w:numPr>
        <w:adjustRightInd w:val="0"/>
        <w:spacing w:line="380" w:lineRule="exact"/>
        <w:ind w:left="851" w:hanging="491"/>
        <w:jc w:val="left"/>
        <w:textAlignment w:val="baseline"/>
        <w:rPr>
          <w:rFonts w:hAnsi="DFKai-SB"/>
          <w:szCs w:val="21"/>
        </w:rPr>
      </w:pPr>
      <w:r>
        <w:rPr>
          <w:rFonts w:hint="eastAsia" w:hAnsi="DFKai-SB"/>
          <w:szCs w:val="21"/>
        </w:rPr>
        <w:t>乙方应配合甲方不定期对入库产品进行抽样，委托甲方所在地省级质量鉴定机构检验，如抽检不合格，乙方承担鉴定费用以及甲方因此支出的一切费用，并无条件按照甲方的要求进行整改。</w:t>
      </w:r>
    </w:p>
    <w:p>
      <w:pPr>
        <w:numPr>
          <w:ilvl w:val="1"/>
          <w:numId w:val="3"/>
        </w:numPr>
        <w:adjustRightInd w:val="0"/>
        <w:spacing w:line="380" w:lineRule="exact"/>
        <w:ind w:left="851" w:hanging="501"/>
        <w:jc w:val="left"/>
        <w:textAlignment w:val="baseline"/>
        <w:rPr>
          <w:rFonts w:eastAsia="DFKai-SB"/>
          <w:szCs w:val="21"/>
        </w:rPr>
      </w:pPr>
      <w:r>
        <w:rPr>
          <w:rFonts w:hint="eastAsia" w:hAnsi="DFKai-SB"/>
          <w:szCs w:val="21"/>
        </w:rPr>
        <w:t>如外部抽检不合格，所产生的一切后果及损失由乙方负责。</w:t>
      </w:r>
    </w:p>
    <w:p>
      <w:pPr>
        <w:numPr>
          <w:ilvl w:val="1"/>
          <w:numId w:val="3"/>
        </w:numPr>
        <w:adjustRightInd w:val="0"/>
        <w:spacing w:line="380" w:lineRule="exact"/>
        <w:ind w:left="851" w:hanging="501"/>
        <w:jc w:val="left"/>
        <w:textAlignment w:val="baseline"/>
        <w:rPr>
          <w:rFonts w:hAnsi="DFKai-SB" w:eastAsia="PMingLiU"/>
          <w:szCs w:val="21"/>
        </w:rPr>
      </w:pPr>
      <w:r>
        <w:rPr>
          <w:rFonts w:hint="eastAsia" w:hAnsi="DFKai-SB"/>
          <w:szCs w:val="21"/>
        </w:rPr>
        <w:t>未尽事宜参照</w:t>
      </w:r>
      <w:r>
        <w:rPr>
          <w:szCs w:val="21"/>
        </w:rPr>
        <w:t>GB9774-2010</w:t>
      </w:r>
      <w:r>
        <w:rPr>
          <w:rFonts w:hint="eastAsia"/>
          <w:szCs w:val="21"/>
        </w:rPr>
        <w:t>《水泥包装袋》</w:t>
      </w:r>
      <w:r>
        <w:rPr>
          <w:rFonts w:hint="eastAsia" w:hAnsi="DFKai-SB"/>
          <w:szCs w:val="21"/>
        </w:rPr>
        <w:t>标准</w:t>
      </w:r>
      <w:r>
        <w:rPr>
          <w:rFonts w:ascii="宋体" w:hAnsi="宋体"/>
        </w:rPr>
        <w:t>(</w:t>
      </w:r>
      <w:r>
        <w:rPr>
          <w:rFonts w:hint="eastAsia" w:ascii="宋体" w:hAnsi="宋体"/>
        </w:rPr>
        <w:t>如国家标准有更新，则以国家颁布的最新标准为准</w:t>
      </w:r>
      <w:r>
        <w:rPr>
          <w:rFonts w:ascii="宋体" w:hAnsi="宋体"/>
        </w:rPr>
        <w:t>)</w:t>
      </w:r>
      <w:r>
        <w:rPr>
          <w:rFonts w:hint="eastAsia" w:hAnsi="DFKai-SB"/>
          <w:szCs w:val="21"/>
        </w:rPr>
        <w:t>。</w:t>
      </w:r>
    </w:p>
    <w:p>
      <w:pPr>
        <w:numPr>
          <w:ilvl w:val="1"/>
          <w:numId w:val="3"/>
        </w:numPr>
        <w:adjustRightInd w:val="0"/>
        <w:spacing w:line="380" w:lineRule="exact"/>
        <w:ind w:left="851" w:hanging="501"/>
        <w:jc w:val="left"/>
        <w:textAlignment w:val="baseline"/>
        <w:rPr>
          <w:rFonts w:hAnsi="DFKai-SB"/>
          <w:szCs w:val="21"/>
        </w:rPr>
      </w:pPr>
      <w:r>
        <w:rPr>
          <w:rFonts w:hint="eastAsia" w:hAnsi="DFKai-SB"/>
          <w:szCs w:val="21"/>
        </w:rPr>
        <w:t>甲方如需变更包装袋尺寸时，可提前</w:t>
      </w:r>
      <w:r>
        <w:rPr>
          <w:rFonts w:hAnsi="DFKai-SB"/>
          <w:szCs w:val="21"/>
        </w:rPr>
        <w:t>15</w:t>
      </w:r>
      <w:r>
        <w:rPr>
          <w:rFonts w:hint="eastAsia" w:hAnsi="DFKai-SB"/>
          <w:szCs w:val="21"/>
        </w:rPr>
        <w:t>天以书面通知乙方，乙方于接获甲方通知后，需依据甲方之需求变更。</w:t>
      </w:r>
    </w:p>
    <w:p>
      <w:pPr>
        <w:spacing w:line="380" w:lineRule="exact"/>
        <w:ind w:left="843" w:hanging="843" w:hangingChars="400"/>
        <w:rPr>
          <w:rFonts w:hAnsi="DFKai-SB"/>
          <w:b/>
          <w:szCs w:val="21"/>
        </w:rPr>
      </w:pPr>
      <w:r>
        <w:rPr>
          <w:rFonts w:hint="eastAsia" w:hAnsi="DFKai-SB"/>
          <w:b/>
          <w:szCs w:val="21"/>
        </w:rPr>
        <w:t>七、以上内容，最终解释权归甲方所有。</w:t>
      </w:r>
    </w:p>
    <w:p>
      <w:pPr>
        <w:pStyle w:val="2"/>
        <w:spacing w:line="480" w:lineRule="exact"/>
        <w:jc w:val="left"/>
        <w:rPr>
          <w:rFonts w:ascii="黑体" w:hAnsi="黑体"/>
          <w:b/>
          <w:bCs/>
          <w:sz w:val="32"/>
          <w:szCs w:val="24"/>
          <w:lang w:bidi="ar-SA"/>
        </w:rPr>
      </w:pPr>
    </w:p>
    <w:p>
      <w:pPr>
        <w:pStyle w:val="2"/>
        <w:spacing w:line="480" w:lineRule="exact"/>
        <w:jc w:val="left"/>
        <w:rPr>
          <w:rFonts w:ascii="黑体" w:hAnsi="黑体"/>
          <w:b/>
          <w:bCs/>
          <w:sz w:val="32"/>
          <w:szCs w:val="24"/>
          <w:lang w:bidi="ar-SA"/>
        </w:rPr>
      </w:pPr>
    </w:p>
    <w:p>
      <w:pPr>
        <w:pStyle w:val="2"/>
        <w:spacing w:line="480" w:lineRule="exact"/>
        <w:jc w:val="left"/>
        <w:rPr>
          <w:rFonts w:ascii="黑体" w:hAnsi="黑体"/>
          <w:b/>
          <w:bCs/>
          <w:sz w:val="32"/>
          <w:szCs w:val="24"/>
          <w:lang w:bidi="ar-SA"/>
        </w:rPr>
      </w:pPr>
    </w:p>
    <w:p>
      <w:pPr>
        <w:pStyle w:val="2"/>
        <w:spacing w:line="480" w:lineRule="exact"/>
        <w:jc w:val="left"/>
        <w:rPr>
          <w:rFonts w:ascii="黑体" w:hAnsi="黑体"/>
          <w:b/>
          <w:bCs/>
          <w:sz w:val="32"/>
          <w:szCs w:val="24"/>
          <w:lang w:bidi="ar-SA"/>
        </w:rPr>
      </w:pPr>
    </w:p>
    <w:p>
      <w:pPr>
        <w:pStyle w:val="2"/>
        <w:spacing w:line="480" w:lineRule="exact"/>
        <w:jc w:val="left"/>
        <w:rPr>
          <w:rFonts w:ascii="黑体" w:hAnsi="黑体"/>
          <w:b/>
          <w:bCs/>
          <w:sz w:val="32"/>
          <w:szCs w:val="24"/>
          <w:lang w:bidi="ar-SA"/>
        </w:rPr>
      </w:pPr>
    </w:p>
    <w:p>
      <w:pPr>
        <w:pStyle w:val="2"/>
        <w:spacing w:line="480" w:lineRule="exact"/>
        <w:jc w:val="center"/>
        <w:rPr>
          <w:rFonts w:ascii="黑体" w:hAnsi="黑体"/>
          <w:b/>
          <w:bCs/>
          <w:sz w:val="32"/>
          <w:szCs w:val="24"/>
          <w:lang w:bidi="ar-SA"/>
        </w:rPr>
      </w:pPr>
      <w:r>
        <w:rPr>
          <w:rFonts w:hint="eastAsia" w:ascii="黑体" w:hAnsi="黑体"/>
          <w:b/>
          <w:bCs/>
          <w:sz w:val="32"/>
          <w:szCs w:val="24"/>
          <w:lang w:bidi="ar-SA"/>
        </w:rPr>
        <w:t>第四章 投标文件格式</w:t>
      </w:r>
      <w:bookmarkEnd w:id="200"/>
      <w:r>
        <w:rPr>
          <w:rFonts w:hint="eastAsia" w:ascii="黑体" w:hAnsi="黑体"/>
          <w:b/>
          <w:bCs/>
          <w:sz w:val="32"/>
          <w:szCs w:val="24"/>
          <w:lang w:bidi="ar-SA"/>
        </w:rPr>
        <w:t>(本案以冀东阳光平台上投标为准)</w:t>
      </w:r>
    </w:p>
    <w:p>
      <w:pPr>
        <w:pStyle w:val="2"/>
        <w:spacing w:line="480" w:lineRule="exact"/>
        <w:ind w:firstLine="480"/>
        <w:rPr>
          <w:rFonts w:ascii="黑体" w:hAnsi="黑体" w:cs="宋体"/>
          <w:b/>
          <w:sz w:val="24"/>
          <w:szCs w:val="24"/>
          <w:lang w:bidi="ar-SA"/>
        </w:rPr>
      </w:pPr>
      <w:bookmarkStart w:id="201" w:name="_Toc28498_WPSOffice_Level1"/>
      <w:r>
        <w:rPr>
          <w:rFonts w:hint="eastAsia" w:ascii="黑体" w:hAnsi="黑体" w:cs="宋体"/>
          <w:b/>
          <w:sz w:val="24"/>
          <w:szCs w:val="24"/>
          <w:lang w:bidi="ar-SA"/>
        </w:rPr>
        <w:t>第一部分：商务标</w:t>
      </w:r>
      <w:bookmarkEnd w:id="201"/>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①投标函；</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②投标报价明细表；</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③法人代表身份证明书；</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④法定代表人授权委托书</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⑤投标人基本情况表</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⑥近3年产品应用业绩情况表</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⑦承诺书</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⑧投标人认为需要提供的其它资质资料</w:t>
      </w:r>
    </w:p>
    <w:p>
      <w:pPr>
        <w:pStyle w:val="2"/>
        <w:spacing w:line="480" w:lineRule="exact"/>
        <w:ind w:firstLine="480"/>
        <w:rPr>
          <w:rFonts w:ascii="黑体" w:hAnsi="黑体" w:cs="宋体"/>
          <w:b/>
          <w:sz w:val="24"/>
          <w:szCs w:val="24"/>
          <w:lang w:bidi="ar-SA"/>
        </w:rPr>
      </w:pPr>
      <w:r>
        <w:rPr>
          <w:rFonts w:hint="eastAsia" w:ascii="黑体" w:hAnsi="黑体" w:cs="宋体"/>
          <w:b/>
          <w:sz w:val="24"/>
          <w:szCs w:val="24"/>
          <w:lang w:bidi="ar-SA"/>
        </w:rPr>
        <w:t>⑨投标保证金付款截图</w:t>
      </w:r>
    </w:p>
    <w:p>
      <w:pPr>
        <w:pStyle w:val="2"/>
        <w:spacing w:line="480" w:lineRule="exact"/>
        <w:ind w:firstLine="480"/>
        <w:rPr>
          <w:rFonts w:ascii="黑体" w:hAnsi="黑体" w:cs="宋体"/>
          <w:b/>
          <w:sz w:val="24"/>
          <w:szCs w:val="24"/>
          <w:lang w:bidi="ar-SA"/>
        </w:rPr>
      </w:pPr>
      <w:bookmarkStart w:id="202" w:name="_Toc7809_WPSOffice_Level1"/>
      <w:r>
        <w:rPr>
          <w:rFonts w:hint="eastAsia" w:ascii="黑体" w:hAnsi="黑体" w:cs="宋体"/>
          <w:b/>
          <w:sz w:val="24"/>
          <w:szCs w:val="24"/>
          <w:lang w:bidi="ar-SA"/>
        </w:rPr>
        <w:t>第二部分：技术标</w:t>
      </w:r>
      <w:bookmarkEnd w:id="202"/>
    </w:p>
    <w:p>
      <w:pPr>
        <w:pStyle w:val="2"/>
        <w:numPr>
          <w:ilvl w:val="0"/>
          <w:numId w:val="4"/>
        </w:numPr>
        <w:spacing w:line="480" w:lineRule="exact"/>
        <w:rPr>
          <w:rFonts w:ascii="黑体" w:hAnsi="黑体" w:cs="宋体"/>
          <w:b/>
          <w:sz w:val="24"/>
          <w:szCs w:val="24"/>
          <w:lang w:bidi="ar-SA"/>
        </w:rPr>
      </w:pPr>
      <w:r>
        <w:rPr>
          <w:rFonts w:hint="eastAsia" w:ascii="黑体" w:hAnsi="黑体" w:cs="宋体"/>
          <w:b/>
          <w:sz w:val="24"/>
          <w:szCs w:val="24"/>
          <w:lang w:bidi="ar-SA"/>
        </w:rPr>
        <w:t>满足买方采购规范及验收标准</w:t>
      </w:r>
    </w:p>
    <w:p>
      <w:pPr>
        <w:pStyle w:val="2"/>
        <w:spacing w:line="480" w:lineRule="exact"/>
        <w:rPr>
          <w:rFonts w:ascii="黑体" w:hAnsi="黑体"/>
          <w:b/>
          <w:bCs/>
          <w:sz w:val="24"/>
          <w:szCs w:val="24"/>
          <w:lang w:bidi="ar-SA"/>
        </w:rPr>
      </w:pPr>
      <w:r>
        <w:rPr>
          <w:rFonts w:hint="eastAsia" w:ascii="黑体" w:hAnsi="黑体"/>
          <w:b/>
          <w:bCs/>
          <w:sz w:val="24"/>
          <w:szCs w:val="24"/>
          <w:lang w:bidi="ar-SA"/>
        </w:rPr>
        <w:br w:type="page"/>
      </w:r>
    </w:p>
    <w:p>
      <w:pPr>
        <w:keepNext/>
        <w:keepLines/>
        <w:spacing w:line="440" w:lineRule="exact"/>
        <w:jc w:val="center"/>
        <w:outlineLvl w:val="1"/>
        <w:rPr>
          <w:rFonts w:ascii="黑体" w:hAnsi="黑体" w:eastAsia="黑体"/>
          <w:b/>
          <w:sz w:val="24"/>
        </w:rPr>
      </w:pPr>
      <w:bookmarkStart w:id="203" w:name="_Toc1261_WPSOffice_Level1"/>
      <w:bookmarkStart w:id="204" w:name="_Toc12892452"/>
      <w:bookmarkStart w:id="205" w:name="_Toc17254"/>
      <w:bookmarkStart w:id="206" w:name="_Toc23425"/>
      <w:bookmarkStart w:id="207" w:name="_Toc25141"/>
      <w:bookmarkStart w:id="208" w:name="_Toc13582160"/>
      <w:bookmarkStart w:id="209" w:name="_Toc1363"/>
      <w:bookmarkStart w:id="210" w:name="_Toc29401"/>
      <w:bookmarkStart w:id="211" w:name="_Toc26238"/>
      <w:bookmarkStart w:id="212" w:name="_Toc448912068"/>
      <w:bookmarkStart w:id="213" w:name="_Toc19260"/>
      <w:bookmarkStart w:id="214" w:name="_Toc3058"/>
      <w:r>
        <w:rPr>
          <w:rFonts w:hint="eastAsia" w:ascii="黑体" w:hAnsi="黑体" w:eastAsia="黑体"/>
          <w:b/>
          <w:sz w:val="24"/>
        </w:rPr>
        <w:t>（一）投标函</w:t>
      </w:r>
      <w:bookmarkEnd w:id="203"/>
      <w:bookmarkEnd w:id="204"/>
      <w:bookmarkEnd w:id="205"/>
      <w:bookmarkEnd w:id="206"/>
      <w:bookmarkEnd w:id="207"/>
      <w:bookmarkEnd w:id="208"/>
      <w:bookmarkEnd w:id="209"/>
      <w:bookmarkEnd w:id="210"/>
      <w:bookmarkEnd w:id="211"/>
      <w:bookmarkEnd w:id="212"/>
      <w:bookmarkEnd w:id="213"/>
      <w:bookmarkEnd w:id="214"/>
    </w:p>
    <w:p>
      <w:pPr>
        <w:spacing w:line="200" w:lineRule="exact"/>
        <w:rPr>
          <w:rFonts w:ascii="黑体" w:hAnsi="黑体" w:eastAsia="黑体"/>
          <w:b/>
          <w:sz w:val="24"/>
        </w:rPr>
      </w:pPr>
    </w:p>
    <w:p>
      <w:pPr>
        <w:spacing w:line="288" w:lineRule="auto"/>
        <w:rPr>
          <w:rFonts w:ascii="黑体" w:hAnsi="黑体" w:eastAsia="黑体" w:cs="宋体"/>
          <w:b/>
          <w:sz w:val="24"/>
          <w:u w:val="single"/>
        </w:rPr>
      </w:pPr>
      <w:r>
        <w:rPr>
          <w:rFonts w:hint="eastAsia" w:ascii="黑体" w:hAnsi="黑体" w:eastAsia="黑体" w:cs="宋体"/>
          <w:b/>
          <w:sz w:val="24"/>
          <w:u w:val="single"/>
        </w:rPr>
        <w:t xml:space="preserve">               （招标人名称）：</w:t>
      </w:r>
    </w:p>
    <w:p>
      <w:pPr>
        <w:pStyle w:val="2"/>
        <w:spacing w:line="288" w:lineRule="auto"/>
        <w:rPr>
          <w:rFonts w:ascii="黑体" w:hAnsi="黑体" w:cs="宋体"/>
          <w:b/>
          <w:sz w:val="24"/>
          <w:szCs w:val="24"/>
          <w:u w:val="single"/>
        </w:rPr>
      </w:pPr>
      <w:r>
        <w:rPr>
          <w:rFonts w:hint="eastAsia" w:ascii="黑体" w:hAnsi="黑体" w:cs="宋体"/>
          <w:b/>
          <w:sz w:val="24"/>
          <w:szCs w:val="24"/>
        </w:rPr>
        <w:t xml:space="preserve">    1、我方已仔细研究了</w:t>
      </w:r>
      <w:r>
        <w:rPr>
          <w:rFonts w:hint="eastAsia" w:ascii="黑体" w:hAnsi="黑体" w:cs="宋体"/>
          <w:b/>
          <w:sz w:val="24"/>
          <w:szCs w:val="24"/>
          <w:u w:val="single"/>
        </w:rPr>
        <w:t xml:space="preserve">               （项目名称）</w:t>
      </w:r>
      <w:r>
        <w:rPr>
          <w:rFonts w:hint="eastAsia" w:ascii="黑体" w:hAnsi="黑体" w:cs="宋体"/>
          <w:b/>
          <w:sz w:val="24"/>
          <w:szCs w:val="24"/>
        </w:rPr>
        <w:t xml:space="preserve">采购招标项目的招标文件全部内容，愿以人民币 </w:t>
      </w:r>
      <w:r>
        <w:rPr>
          <w:rFonts w:hint="eastAsia" w:ascii="黑体" w:hAnsi="黑体" w:cs="宋体"/>
          <w:b/>
          <w:sz w:val="24"/>
          <w:szCs w:val="24"/>
          <w:u w:val="single"/>
        </w:rPr>
        <w:t xml:space="preserve">           （大写）（</w:t>
      </w:r>
      <w:r>
        <w:rPr>
          <w:rFonts w:hint="eastAsia" w:ascii="宋体" w:hAnsi="宋体" w:eastAsia="宋体" w:cs="宋体"/>
          <w:b/>
          <w:sz w:val="24"/>
          <w:szCs w:val="24"/>
          <w:u w:val="single"/>
        </w:rPr>
        <w:t>¥</w:t>
      </w:r>
      <w:r>
        <w:rPr>
          <w:rFonts w:hint="eastAsia" w:ascii="黑体" w:hAnsi="黑体" w:cs="宋体"/>
          <w:b/>
          <w:sz w:val="24"/>
          <w:szCs w:val="24"/>
          <w:u w:val="single"/>
        </w:rPr>
        <w:t xml:space="preserve">            ）</w:t>
      </w:r>
      <w:r>
        <w:rPr>
          <w:rFonts w:hint="eastAsia" w:ascii="黑体" w:hAnsi="黑体" w:cs="宋体"/>
          <w:b/>
          <w:sz w:val="24"/>
          <w:szCs w:val="24"/>
        </w:rPr>
        <w:t>的投标总报价（其中，增值税税率为</w:t>
      </w:r>
      <w:r>
        <w:rPr>
          <w:rFonts w:hint="eastAsia" w:ascii="黑体" w:hAnsi="黑体" w:cs="宋体"/>
          <w:b/>
          <w:w w:val="98"/>
          <w:sz w:val="24"/>
          <w:szCs w:val="24"/>
          <w:u w:val="single"/>
        </w:rPr>
        <w:t xml:space="preserve">        </w:t>
      </w:r>
      <w:r>
        <w:rPr>
          <w:rFonts w:hint="eastAsia" w:ascii="黑体" w:hAnsi="黑体" w:cs="宋体"/>
          <w:b/>
          <w:w w:val="98"/>
          <w:sz w:val="24"/>
          <w:szCs w:val="24"/>
        </w:rPr>
        <w:t>）。</w:t>
      </w:r>
      <w:r>
        <w:rPr>
          <w:rFonts w:hint="eastAsia" w:ascii="黑体" w:hAnsi="黑体" w:cs="宋体"/>
          <w:b/>
          <w:sz w:val="24"/>
          <w:szCs w:val="24"/>
        </w:rPr>
        <w:t>承诺</w:t>
      </w:r>
      <w:r>
        <w:rPr>
          <w:rFonts w:hint="eastAsia" w:ascii="黑体" w:hAnsi="黑体" w:cs="宋体"/>
          <w:b/>
          <w:w w:val="98"/>
          <w:sz w:val="24"/>
          <w:szCs w:val="24"/>
        </w:rPr>
        <w:t xml:space="preserve"> </w:t>
      </w:r>
      <w:r>
        <w:rPr>
          <w:rFonts w:hint="eastAsia" w:ascii="黑体" w:hAnsi="黑体" w:cs="宋体"/>
          <w:b/>
          <w:w w:val="98"/>
          <w:sz w:val="24"/>
          <w:szCs w:val="24"/>
          <w:u w:val="single"/>
        </w:rPr>
        <w:t xml:space="preserve">            </w:t>
      </w:r>
      <w:r>
        <w:rPr>
          <w:rFonts w:hint="eastAsia" w:ascii="黑体" w:hAnsi="黑体" w:cs="宋体"/>
          <w:b/>
          <w:sz w:val="24"/>
          <w:szCs w:val="24"/>
        </w:rPr>
        <w:t>（进厂作业时间）内完成供货，及提供</w:t>
      </w:r>
      <w:r>
        <w:rPr>
          <w:rFonts w:hint="eastAsia" w:ascii="黑体" w:hAnsi="黑体" w:cs="宋体"/>
          <w:b/>
          <w:w w:val="98"/>
          <w:sz w:val="24"/>
          <w:szCs w:val="24"/>
          <w:u w:val="single"/>
        </w:rPr>
        <w:t xml:space="preserve">            </w:t>
      </w:r>
      <w:r>
        <w:rPr>
          <w:rFonts w:hint="eastAsia" w:ascii="黑体" w:hAnsi="黑体" w:cs="宋体"/>
          <w:b/>
          <w:sz w:val="24"/>
          <w:szCs w:val="24"/>
        </w:rPr>
        <w:t>（服务及质保期服务）并按合同约定履行义务。</w:t>
      </w:r>
    </w:p>
    <w:p>
      <w:pPr>
        <w:spacing w:line="288" w:lineRule="auto"/>
        <w:rPr>
          <w:rFonts w:ascii="黑体" w:hAnsi="黑体" w:eastAsia="黑体" w:cs="宋体"/>
          <w:b/>
          <w:sz w:val="24"/>
        </w:rPr>
      </w:pPr>
    </w:p>
    <w:p>
      <w:pPr>
        <w:spacing w:line="288" w:lineRule="auto"/>
        <w:ind w:firstLine="482" w:firstLineChars="200"/>
        <w:rPr>
          <w:rFonts w:ascii="黑体" w:hAnsi="黑体" w:eastAsia="黑体" w:cs="宋体"/>
          <w:b/>
          <w:sz w:val="24"/>
        </w:rPr>
      </w:pPr>
      <w:r>
        <w:rPr>
          <w:rFonts w:hint="eastAsia" w:ascii="黑体" w:hAnsi="黑体" w:eastAsia="黑体" w:cs="宋体"/>
          <w:b/>
          <w:sz w:val="24"/>
        </w:rPr>
        <w:t>2、我方的投标文件包括下列内容：</w:t>
      </w:r>
    </w:p>
    <w:p>
      <w:pPr>
        <w:pStyle w:val="2"/>
        <w:spacing w:line="288" w:lineRule="auto"/>
        <w:ind w:left="850" w:leftChars="405"/>
        <w:rPr>
          <w:rFonts w:ascii="黑体" w:hAnsi="黑体" w:cs="宋体"/>
          <w:b/>
          <w:sz w:val="24"/>
          <w:szCs w:val="24"/>
        </w:rPr>
      </w:pPr>
      <w:r>
        <w:rPr>
          <w:rFonts w:hint="eastAsia" w:ascii="黑体" w:hAnsi="黑体" w:cs="宋体"/>
          <w:b/>
          <w:sz w:val="24"/>
          <w:szCs w:val="24"/>
        </w:rPr>
        <w:t xml:space="preserve">  </w:t>
      </w:r>
      <w:bookmarkStart w:id="215" w:name="_Toc1203_WPSOffice_Level1"/>
      <w:r>
        <w:rPr>
          <w:rFonts w:hint="eastAsia" w:ascii="黑体" w:hAnsi="黑体" w:cs="宋体"/>
          <w:b/>
          <w:sz w:val="24"/>
          <w:szCs w:val="24"/>
        </w:rPr>
        <w:t>第一册：商务标</w:t>
      </w:r>
      <w:bookmarkEnd w:id="215"/>
    </w:p>
    <w:p>
      <w:pPr>
        <w:pStyle w:val="2"/>
        <w:spacing w:line="480" w:lineRule="exact"/>
        <w:ind w:firstLine="1446" w:firstLineChars="600"/>
        <w:rPr>
          <w:rFonts w:ascii="黑体" w:hAnsi="黑体" w:cs="宋体"/>
          <w:b/>
          <w:sz w:val="24"/>
          <w:szCs w:val="24"/>
          <w:lang w:bidi="ar-SA"/>
        </w:rPr>
      </w:pPr>
      <w:r>
        <w:rPr>
          <w:rFonts w:hint="eastAsia" w:ascii="黑体" w:hAnsi="黑体" w:cs="宋体"/>
          <w:b/>
          <w:sz w:val="24"/>
          <w:szCs w:val="24"/>
          <w:lang w:bidi="ar-SA"/>
        </w:rPr>
        <w:t>①投标函；</w:t>
      </w:r>
    </w:p>
    <w:p>
      <w:pPr>
        <w:pStyle w:val="2"/>
        <w:spacing w:line="480" w:lineRule="exact"/>
        <w:ind w:firstLine="1446" w:firstLineChars="600"/>
        <w:rPr>
          <w:rFonts w:ascii="黑体" w:hAnsi="黑体" w:cs="宋体"/>
          <w:b/>
          <w:sz w:val="24"/>
          <w:szCs w:val="24"/>
          <w:lang w:bidi="ar-SA"/>
        </w:rPr>
      </w:pPr>
      <w:r>
        <w:rPr>
          <w:rFonts w:hint="eastAsia" w:ascii="黑体" w:hAnsi="黑体" w:cs="宋体"/>
          <w:b/>
          <w:sz w:val="24"/>
          <w:szCs w:val="24"/>
          <w:lang w:bidi="ar-SA"/>
        </w:rPr>
        <w:t>②投标报价明细表；</w:t>
      </w:r>
    </w:p>
    <w:p>
      <w:pPr>
        <w:pStyle w:val="2"/>
        <w:spacing w:line="480" w:lineRule="exact"/>
        <w:ind w:firstLine="1446" w:firstLineChars="600"/>
        <w:rPr>
          <w:rFonts w:ascii="黑体" w:hAnsi="黑体" w:cs="宋体"/>
          <w:b/>
          <w:sz w:val="24"/>
          <w:szCs w:val="24"/>
          <w:lang w:bidi="ar-SA"/>
        </w:rPr>
      </w:pPr>
      <w:r>
        <w:rPr>
          <w:rFonts w:hint="eastAsia" w:ascii="黑体" w:hAnsi="黑体" w:cs="宋体"/>
          <w:b/>
          <w:sz w:val="24"/>
          <w:szCs w:val="24"/>
          <w:lang w:bidi="ar-SA"/>
        </w:rPr>
        <w:t>③法人代表身份证明书；</w:t>
      </w:r>
    </w:p>
    <w:p>
      <w:pPr>
        <w:pStyle w:val="2"/>
        <w:spacing w:line="480" w:lineRule="exact"/>
        <w:ind w:firstLine="1446" w:firstLineChars="600"/>
        <w:rPr>
          <w:rFonts w:ascii="黑体" w:hAnsi="黑体" w:cs="宋体"/>
          <w:b/>
          <w:sz w:val="24"/>
          <w:szCs w:val="24"/>
          <w:lang w:bidi="ar-SA"/>
        </w:rPr>
      </w:pPr>
      <w:r>
        <w:rPr>
          <w:rFonts w:hint="eastAsia" w:ascii="黑体" w:hAnsi="黑体" w:cs="宋体"/>
          <w:b/>
          <w:sz w:val="24"/>
          <w:szCs w:val="24"/>
          <w:lang w:bidi="ar-SA"/>
        </w:rPr>
        <w:t>④法定代表人授权委托书</w:t>
      </w:r>
    </w:p>
    <w:p>
      <w:pPr>
        <w:pStyle w:val="2"/>
        <w:spacing w:line="480" w:lineRule="exact"/>
        <w:ind w:firstLine="1446" w:firstLineChars="600"/>
        <w:rPr>
          <w:rFonts w:ascii="黑体" w:hAnsi="黑体" w:cs="宋体"/>
          <w:b/>
          <w:sz w:val="24"/>
          <w:szCs w:val="24"/>
          <w:lang w:bidi="ar-SA"/>
        </w:rPr>
      </w:pPr>
      <w:r>
        <w:rPr>
          <w:rFonts w:hint="eastAsia" w:ascii="黑体" w:hAnsi="黑体" w:cs="宋体"/>
          <w:b/>
          <w:sz w:val="24"/>
          <w:szCs w:val="24"/>
          <w:lang w:bidi="ar-SA"/>
        </w:rPr>
        <w:t>⑤投标人基本情况表</w:t>
      </w:r>
    </w:p>
    <w:p>
      <w:pPr>
        <w:pStyle w:val="2"/>
        <w:spacing w:line="480" w:lineRule="exact"/>
        <w:ind w:firstLine="1446" w:firstLineChars="600"/>
        <w:rPr>
          <w:rFonts w:ascii="黑体" w:hAnsi="黑体" w:cs="宋体"/>
          <w:b/>
          <w:sz w:val="24"/>
          <w:szCs w:val="24"/>
          <w:lang w:bidi="ar-SA"/>
        </w:rPr>
      </w:pPr>
      <w:r>
        <w:rPr>
          <w:rFonts w:hint="eastAsia" w:ascii="黑体" w:hAnsi="黑体" w:cs="宋体"/>
          <w:b/>
          <w:sz w:val="24"/>
          <w:szCs w:val="24"/>
          <w:lang w:bidi="ar-SA"/>
        </w:rPr>
        <w:t>⑥近3年产品应用业绩情况表</w:t>
      </w:r>
    </w:p>
    <w:p>
      <w:pPr>
        <w:pStyle w:val="2"/>
        <w:spacing w:line="480" w:lineRule="exact"/>
        <w:ind w:firstLine="1446" w:firstLineChars="600"/>
        <w:rPr>
          <w:rFonts w:ascii="黑体" w:hAnsi="黑体" w:cs="宋体"/>
          <w:b/>
          <w:sz w:val="24"/>
          <w:szCs w:val="24"/>
          <w:lang w:bidi="ar-SA"/>
        </w:rPr>
      </w:pPr>
      <w:r>
        <w:rPr>
          <w:rFonts w:hint="eastAsia" w:ascii="黑体" w:hAnsi="黑体" w:cs="宋体"/>
          <w:b/>
          <w:sz w:val="24"/>
          <w:szCs w:val="24"/>
          <w:lang w:bidi="ar-SA"/>
        </w:rPr>
        <w:t>⑦承诺书</w:t>
      </w:r>
    </w:p>
    <w:p>
      <w:pPr>
        <w:pStyle w:val="2"/>
        <w:spacing w:line="480" w:lineRule="exact"/>
        <w:ind w:firstLine="1446" w:firstLineChars="600"/>
        <w:rPr>
          <w:rFonts w:ascii="黑体" w:hAnsi="黑体" w:cs="宋体"/>
          <w:b/>
          <w:sz w:val="24"/>
          <w:szCs w:val="24"/>
          <w:lang w:bidi="ar-SA"/>
        </w:rPr>
      </w:pPr>
      <w:r>
        <w:rPr>
          <w:rFonts w:hint="eastAsia" w:ascii="黑体" w:hAnsi="黑体" w:cs="宋体"/>
          <w:b/>
          <w:sz w:val="24"/>
          <w:szCs w:val="24"/>
          <w:lang w:bidi="ar-SA"/>
        </w:rPr>
        <w:t>⑧投标人认为需要提供的其它资质资料</w:t>
      </w:r>
    </w:p>
    <w:p>
      <w:pPr>
        <w:pStyle w:val="2"/>
        <w:spacing w:line="480" w:lineRule="exact"/>
        <w:ind w:firstLine="1446" w:firstLineChars="600"/>
        <w:rPr>
          <w:rFonts w:ascii="黑体" w:hAnsi="黑体" w:cs="宋体"/>
          <w:b/>
          <w:sz w:val="24"/>
          <w:szCs w:val="24"/>
          <w:lang w:bidi="ar-SA"/>
        </w:rPr>
      </w:pPr>
      <w:r>
        <w:rPr>
          <w:rFonts w:hint="eastAsia" w:ascii="黑体" w:hAnsi="黑体" w:cs="宋体"/>
          <w:b/>
          <w:sz w:val="24"/>
          <w:szCs w:val="24"/>
          <w:lang w:bidi="ar-SA"/>
        </w:rPr>
        <w:t>⑨投标保证金付款截图</w:t>
      </w:r>
    </w:p>
    <w:p>
      <w:pPr>
        <w:spacing w:line="288" w:lineRule="auto"/>
        <w:ind w:left="850" w:leftChars="405" w:firstLine="241" w:firstLineChars="100"/>
        <w:rPr>
          <w:rFonts w:ascii="黑体" w:hAnsi="黑体" w:eastAsia="黑体" w:cs="宋体"/>
          <w:b/>
          <w:sz w:val="24"/>
        </w:rPr>
      </w:pPr>
      <w:bookmarkStart w:id="216" w:name="_Toc32624_WPSOffice_Level1"/>
      <w:r>
        <w:rPr>
          <w:rFonts w:hint="eastAsia" w:ascii="黑体" w:hAnsi="黑体" w:eastAsia="黑体" w:cs="宋体"/>
          <w:b/>
          <w:sz w:val="24"/>
        </w:rPr>
        <w:t>第二册：技术标</w:t>
      </w:r>
      <w:bookmarkEnd w:id="216"/>
    </w:p>
    <w:p>
      <w:pPr>
        <w:pStyle w:val="2"/>
        <w:spacing w:line="480" w:lineRule="exact"/>
        <w:ind w:left="480"/>
        <w:rPr>
          <w:rFonts w:ascii="黑体" w:hAnsi="黑体" w:cs="宋体"/>
          <w:b/>
          <w:sz w:val="24"/>
          <w:szCs w:val="24"/>
          <w:lang w:bidi="ar-SA"/>
        </w:rPr>
      </w:pPr>
      <w:r>
        <w:rPr>
          <w:rFonts w:hint="eastAsia" w:ascii="黑体" w:hAnsi="黑体" w:cs="宋体"/>
          <w:b/>
          <w:sz w:val="24"/>
          <w:szCs w:val="24"/>
        </w:rPr>
        <w:t xml:space="preserve">        </w:t>
      </w:r>
      <w:r>
        <w:rPr>
          <w:rFonts w:hint="eastAsia" w:ascii="黑体" w:hAnsi="黑体" w:cs="宋体"/>
          <w:b/>
          <w:sz w:val="24"/>
          <w:szCs w:val="24"/>
          <w:lang w:bidi="ar-SA"/>
        </w:rPr>
        <w:t>①满足买方采购规范及验收标准</w:t>
      </w:r>
    </w:p>
    <w:p>
      <w:pPr>
        <w:pStyle w:val="2"/>
        <w:spacing w:line="288" w:lineRule="auto"/>
        <w:rPr>
          <w:rFonts w:ascii="黑体" w:hAnsi="黑体" w:cs="宋体"/>
          <w:b/>
          <w:sz w:val="24"/>
        </w:rPr>
      </w:pPr>
    </w:p>
    <w:p>
      <w:pPr>
        <w:pStyle w:val="2"/>
        <w:spacing w:line="288" w:lineRule="auto"/>
        <w:rPr>
          <w:rFonts w:ascii="黑体" w:hAnsi="黑体" w:cs="宋体"/>
          <w:b/>
          <w:sz w:val="24"/>
        </w:rPr>
      </w:pPr>
      <w:r>
        <w:rPr>
          <w:rFonts w:hint="eastAsia" w:ascii="黑体" w:hAnsi="黑体" w:cs="宋体"/>
          <w:b/>
          <w:sz w:val="24"/>
        </w:rPr>
        <w:t>投标文件的上述组成部分如存在内容不一致的，以投标函为准。</w:t>
      </w:r>
    </w:p>
    <w:p>
      <w:pPr>
        <w:spacing w:line="288" w:lineRule="auto"/>
        <w:ind w:firstLine="482" w:firstLineChars="200"/>
        <w:rPr>
          <w:rFonts w:ascii="黑体" w:hAnsi="黑体" w:eastAsia="黑体" w:cs="宋体"/>
          <w:b/>
          <w:sz w:val="24"/>
        </w:rPr>
      </w:pPr>
      <w:r>
        <w:rPr>
          <w:rFonts w:hint="eastAsia" w:ascii="黑体" w:hAnsi="黑体" w:eastAsia="黑体" w:cs="宋体"/>
          <w:b/>
          <w:sz w:val="24"/>
        </w:rPr>
        <w:t>3、我方承诺除商务和技术偏差表列出的偏差外，我方响应招标文件的全部要求。</w:t>
      </w:r>
    </w:p>
    <w:p>
      <w:pPr>
        <w:spacing w:line="288" w:lineRule="auto"/>
        <w:ind w:firstLine="482" w:firstLineChars="200"/>
        <w:rPr>
          <w:rFonts w:ascii="黑体" w:hAnsi="黑体" w:eastAsia="黑体" w:cs="宋体"/>
          <w:b/>
          <w:sz w:val="24"/>
        </w:rPr>
      </w:pPr>
      <w:r>
        <w:rPr>
          <w:rFonts w:hint="eastAsia" w:ascii="黑体" w:hAnsi="黑体" w:eastAsia="黑体" w:cs="宋体"/>
          <w:b/>
          <w:sz w:val="24"/>
        </w:rPr>
        <w:t>4、我方承诺在招标文件规定的投标有效期内不撤销投标文件。</w:t>
      </w:r>
    </w:p>
    <w:p>
      <w:pPr>
        <w:spacing w:line="288" w:lineRule="auto"/>
        <w:ind w:firstLine="482" w:firstLineChars="200"/>
        <w:rPr>
          <w:rFonts w:ascii="黑体" w:hAnsi="黑体" w:eastAsia="黑体" w:cs="宋体"/>
          <w:b/>
          <w:sz w:val="24"/>
        </w:rPr>
      </w:pPr>
      <w:r>
        <w:rPr>
          <w:rFonts w:hint="eastAsia" w:ascii="黑体" w:hAnsi="黑体" w:eastAsia="黑体" w:cs="宋体"/>
          <w:b/>
          <w:sz w:val="24"/>
        </w:rPr>
        <w:t>5、如我方中标，我方承诺：</w:t>
      </w:r>
    </w:p>
    <w:p>
      <w:pPr>
        <w:spacing w:line="288" w:lineRule="auto"/>
        <w:ind w:left="840"/>
        <w:rPr>
          <w:rFonts w:ascii="黑体" w:hAnsi="黑体" w:eastAsia="黑体" w:cs="宋体"/>
          <w:b/>
          <w:sz w:val="24"/>
        </w:rPr>
      </w:pPr>
      <w:r>
        <w:rPr>
          <w:rFonts w:hint="eastAsia" w:ascii="黑体" w:hAnsi="黑体" w:eastAsia="黑体" w:cs="宋体"/>
          <w:b/>
          <w:sz w:val="24"/>
        </w:rPr>
        <w:t>（1）在收到中标通知书后，在中标通知书规定的期限内与你方签订合同；</w:t>
      </w:r>
    </w:p>
    <w:p>
      <w:pPr>
        <w:spacing w:line="288" w:lineRule="auto"/>
        <w:ind w:left="840"/>
        <w:rPr>
          <w:rFonts w:ascii="黑体" w:hAnsi="黑体" w:eastAsia="黑体" w:cs="宋体"/>
          <w:b/>
          <w:sz w:val="24"/>
        </w:rPr>
      </w:pPr>
      <w:r>
        <w:rPr>
          <w:rFonts w:hint="eastAsia" w:ascii="黑体" w:hAnsi="黑体" w:eastAsia="黑体" w:cs="宋体"/>
          <w:b/>
          <w:sz w:val="24"/>
        </w:rPr>
        <w:t>（2）在签订合同时不向你方提出附加条件；</w:t>
      </w:r>
    </w:p>
    <w:p>
      <w:pPr>
        <w:spacing w:line="288" w:lineRule="auto"/>
        <w:ind w:left="840"/>
        <w:rPr>
          <w:rFonts w:ascii="黑体" w:hAnsi="黑体" w:eastAsia="黑体" w:cs="宋体"/>
          <w:b/>
          <w:sz w:val="24"/>
        </w:rPr>
      </w:pPr>
      <w:r>
        <w:rPr>
          <w:rFonts w:hint="eastAsia" w:ascii="黑体" w:hAnsi="黑体" w:eastAsia="黑体" w:cs="宋体"/>
          <w:b/>
          <w:sz w:val="24"/>
        </w:rPr>
        <w:t>（3）在合同约定的期限内完成合同规定的全部义务。</w:t>
      </w:r>
    </w:p>
    <w:p>
      <w:pPr>
        <w:spacing w:line="288" w:lineRule="auto"/>
        <w:ind w:left="840"/>
        <w:rPr>
          <w:rFonts w:ascii="黑体" w:hAnsi="黑体" w:eastAsia="黑体" w:cs="宋体"/>
          <w:b/>
          <w:sz w:val="24"/>
        </w:rPr>
      </w:pPr>
      <w:r>
        <w:rPr>
          <w:rFonts w:hint="eastAsia" w:ascii="黑体" w:hAnsi="黑体" w:eastAsia="黑体" w:cs="宋体"/>
          <w:b/>
          <w:sz w:val="24"/>
        </w:rPr>
        <w:t>（4）我方在此声明，所递交的投标文件及有关资料内容完整、真实和准确。</w:t>
      </w:r>
    </w:p>
    <w:p>
      <w:pPr>
        <w:spacing w:line="288" w:lineRule="auto"/>
        <w:ind w:firstLine="964" w:firstLineChars="400"/>
        <w:rPr>
          <w:rFonts w:ascii="黑体" w:hAnsi="黑体" w:eastAsia="黑体" w:cs="宋体"/>
          <w:b/>
          <w:bCs/>
          <w:sz w:val="24"/>
        </w:rPr>
      </w:pPr>
    </w:p>
    <w:p>
      <w:pPr>
        <w:spacing w:line="288" w:lineRule="auto"/>
        <w:ind w:firstLine="1205" w:firstLineChars="500"/>
        <w:rPr>
          <w:rFonts w:ascii="黑体" w:hAnsi="黑体" w:eastAsia="黑体" w:cs="宋体"/>
          <w:b/>
          <w:sz w:val="24"/>
          <w:u w:val="single"/>
        </w:rPr>
      </w:pPr>
      <w:r>
        <w:rPr>
          <w:rFonts w:hint="eastAsia" w:ascii="黑体" w:hAnsi="黑体" w:eastAsia="黑体" w:cs="宋体"/>
          <w:b/>
          <w:bCs/>
          <w:sz w:val="24"/>
        </w:rPr>
        <w:t xml:space="preserve">           </w:t>
      </w:r>
      <w:r>
        <w:rPr>
          <w:rFonts w:hint="eastAsia" w:ascii="黑体" w:hAnsi="黑体" w:eastAsia="黑体" w:cs="宋体"/>
          <w:b/>
          <w:sz w:val="24"/>
        </w:rPr>
        <w:t>投标人（盖单位公章）：</w:t>
      </w:r>
      <w:r>
        <w:rPr>
          <w:rFonts w:hint="eastAsia" w:ascii="黑体" w:hAnsi="黑体" w:eastAsia="黑体" w:cs="宋体"/>
          <w:b/>
          <w:sz w:val="24"/>
          <w:u w:val="single"/>
        </w:rPr>
        <w:t xml:space="preserve">                                    </w:t>
      </w:r>
    </w:p>
    <w:p>
      <w:pPr>
        <w:spacing w:line="288" w:lineRule="auto"/>
        <w:ind w:firstLine="2650" w:firstLineChars="1100"/>
        <w:rPr>
          <w:rFonts w:ascii="黑体" w:hAnsi="黑体" w:eastAsia="黑体" w:cs="宋体"/>
          <w:b/>
          <w:sz w:val="24"/>
          <w:u w:val="single"/>
        </w:rPr>
      </w:pPr>
      <w:r>
        <w:rPr>
          <w:rFonts w:hint="eastAsia" w:ascii="黑体" w:hAnsi="黑体" w:eastAsia="黑体" w:cs="宋体"/>
          <w:b/>
          <w:sz w:val="24"/>
        </w:rPr>
        <w:t>法人代表或委托代理人（签字）：</w:t>
      </w:r>
      <w:r>
        <w:rPr>
          <w:rFonts w:hint="eastAsia" w:ascii="黑体" w:hAnsi="黑体" w:eastAsia="黑体" w:cs="宋体"/>
          <w:b/>
          <w:sz w:val="24"/>
          <w:u w:val="single"/>
        </w:rPr>
        <w:t xml:space="preserve">                           </w:t>
      </w:r>
    </w:p>
    <w:p>
      <w:pPr>
        <w:spacing w:line="288" w:lineRule="auto"/>
        <w:ind w:firstLine="4096" w:firstLineChars="1700"/>
        <w:rPr>
          <w:rFonts w:ascii="黑体" w:hAnsi="黑体" w:eastAsia="黑体" w:cs="宋体"/>
          <w:b/>
          <w:sz w:val="24"/>
        </w:rPr>
      </w:pPr>
      <w:r>
        <w:rPr>
          <w:rFonts w:hint="eastAsia" w:ascii="黑体" w:hAnsi="黑体" w:eastAsia="黑体" w:cs="宋体"/>
          <w:b/>
          <w:sz w:val="24"/>
        </w:rPr>
        <w:t xml:space="preserve">日期： </w:t>
      </w:r>
      <w:r>
        <w:rPr>
          <w:rFonts w:hint="eastAsia" w:ascii="黑体" w:hAnsi="黑体" w:eastAsia="黑体" w:cs="宋体"/>
          <w:b/>
          <w:sz w:val="24"/>
          <w:u w:val="single"/>
        </w:rPr>
        <w:t xml:space="preserve">           </w:t>
      </w:r>
      <w:r>
        <w:rPr>
          <w:rFonts w:hint="eastAsia" w:ascii="黑体" w:hAnsi="黑体" w:eastAsia="黑体" w:cs="宋体"/>
          <w:b/>
          <w:sz w:val="24"/>
        </w:rPr>
        <w:t xml:space="preserve"> 年</w:t>
      </w:r>
      <w:r>
        <w:rPr>
          <w:rFonts w:hint="eastAsia" w:ascii="黑体" w:hAnsi="黑体" w:eastAsia="黑体" w:cs="宋体"/>
          <w:b/>
          <w:sz w:val="24"/>
          <w:u w:val="single"/>
        </w:rPr>
        <w:t xml:space="preserve">    </w:t>
      </w:r>
      <w:r>
        <w:rPr>
          <w:rFonts w:hint="eastAsia" w:ascii="黑体" w:hAnsi="黑体" w:eastAsia="黑体" w:cs="宋体"/>
          <w:b/>
          <w:sz w:val="24"/>
        </w:rPr>
        <w:t>月</w:t>
      </w:r>
      <w:r>
        <w:rPr>
          <w:rFonts w:hint="eastAsia" w:ascii="黑体" w:hAnsi="黑体" w:eastAsia="黑体" w:cs="宋体"/>
          <w:b/>
          <w:sz w:val="24"/>
          <w:u w:val="single"/>
        </w:rPr>
        <w:t xml:space="preserve">    </w:t>
      </w:r>
      <w:r>
        <w:rPr>
          <w:rFonts w:hint="eastAsia" w:ascii="黑体" w:hAnsi="黑体" w:eastAsia="黑体" w:cs="宋体"/>
          <w:b/>
          <w:sz w:val="24"/>
        </w:rPr>
        <w:t>日</w:t>
      </w:r>
      <w:r>
        <w:rPr>
          <w:rFonts w:hint="eastAsia" w:ascii="黑体" w:hAnsi="黑体" w:eastAsia="黑体" w:cs="宋体"/>
          <w:b/>
          <w:sz w:val="24"/>
        </w:rPr>
        <w:br w:type="page"/>
      </w:r>
    </w:p>
    <w:p>
      <w:pPr>
        <w:keepNext/>
        <w:keepLines/>
        <w:spacing w:line="288" w:lineRule="auto"/>
        <w:jc w:val="center"/>
        <w:outlineLvl w:val="1"/>
        <w:rPr>
          <w:rFonts w:ascii="黑体" w:hAnsi="黑体" w:eastAsia="黑体" w:cs="宋体"/>
          <w:b/>
          <w:sz w:val="24"/>
        </w:rPr>
      </w:pPr>
      <w:bookmarkStart w:id="217" w:name="_Toc10110_WPSOffice_Level1"/>
      <w:r>
        <w:rPr>
          <w:rFonts w:hint="eastAsia" w:ascii="黑体" w:hAnsi="黑体" w:eastAsia="黑体"/>
          <w:b/>
          <w:sz w:val="28"/>
          <w:szCs w:val="28"/>
        </w:rPr>
        <w:t>（二）投标报价明细表</w:t>
      </w:r>
      <w:bookmarkEnd w:id="217"/>
    </w:p>
    <w:p>
      <w:pPr>
        <w:spacing w:line="288" w:lineRule="auto"/>
        <w:rPr>
          <w:rFonts w:ascii="黑体" w:hAnsi="黑体" w:eastAsia="黑体" w:cs="宋体"/>
          <w:b/>
          <w:sz w:val="24"/>
        </w:rPr>
      </w:pPr>
    </w:p>
    <w:p>
      <w:pPr>
        <w:spacing w:line="288" w:lineRule="auto"/>
        <w:ind w:left="7180"/>
        <w:rPr>
          <w:rFonts w:ascii="黑体" w:hAnsi="黑体" w:eastAsia="黑体" w:cs="宋体"/>
          <w:b/>
          <w:sz w:val="24"/>
        </w:rPr>
      </w:pPr>
      <w:r>
        <w:rPr>
          <w:rFonts w:hint="eastAsia" w:ascii="黑体" w:hAnsi="黑体" w:eastAsia="黑体" w:cs="宋体"/>
          <w:b/>
          <w:sz w:val="24"/>
        </w:rPr>
        <w:t>单位：人民币元</w:t>
      </w:r>
    </w:p>
    <w:p>
      <w:pPr>
        <w:spacing w:line="288" w:lineRule="auto"/>
        <w:rPr>
          <w:rFonts w:ascii="黑体" w:hAnsi="黑体" w:eastAsia="黑体" w:cs="宋体"/>
          <w:b/>
          <w:sz w:val="24"/>
        </w:rPr>
      </w:pPr>
    </w:p>
    <w:tbl>
      <w:tblPr>
        <w:tblStyle w:val="18"/>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54"/>
        <w:gridCol w:w="1476"/>
        <w:gridCol w:w="708"/>
        <w:gridCol w:w="1509"/>
        <w:gridCol w:w="1225"/>
        <w:gridCol w:w="1335"/>
        <w:gridCol w:w="1417"/>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r>
              <w:rPr>
                <w:rFonts w:hint="eastAsia" w:ascii="黑体" w:hAnsi="黑体" w:eastAsia="黑体" w:cs="宋体"/>
                <w:b/>
                <w:bCs/>
                <w:color w:val="000000"/>
                <w:sz w:val="24"/>
              </w:rPr>
              <w:t>序号</w:t>
            </w:r>
          </w:p>
        </w:tc>
        <w:tc>
          <w:tcPr>
            <w:tcW w:w="15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r>
              <w:rPr>
                <w:rFonts w:hint="eastAsia" w:ascii="黑体" w:hAnsi="黑体" w:eastAsia="黑体" w:cs="宋体"/>
                <w:b/>
                <w:bCs/>
                <w:color w:val="000000"/>
                <w:sz w:val="24"/>
              </w:rPr>
              <w:t>名称</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r>
              <w:rPr>
                <w:rFonts w:hint="eastAsia" w:ascii="黑体" w:hAnsi="黑体" w:eastAsia="黑体" w:cs="宋体"/>
                <w:b/>
                <w:bCs/>
                <w:color w:val="000000"/>
                <w:sz w:val="24"/>
              </w:rPr>
              <w:t>单位</w:t>
            </w:r>
          </w:p>
        </w:tc>
        <w:tc>
          <w:tcPr>
            <w:tcW w:w="15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bCs/>
                <w:color w:val="000000"/>
                <w:sz w:val="24"/>
              </w:rPr>
            </w:pPr>
            <w:r>
              <w:rPr>
                <w:rFonts w:hint="eastAsia" w:ascii="黑体" w:hAnsi="黑体" w:eastAsia="黑体" w:cs="宋体"/>
                <w:b/>
                <w:bCs/>
                <w:color w:val="000000"/>
                <w:sz w:val="24"/>
              </w:rPr>
              <w:t>预计需求量</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r>
              <w:rPr>
                <w:rFonts w:hint="eastAsia" w:ascii="黑体" w:hAnsi="黑体" w:eastAsia="黑体" w:cs="宋体"/>
                <w:b/>
                <w:bCs/>
                <w:color w:val="000000"/>
                <w:sz w:val="24"/>
              </w:rPr>
              <w:t>保供量</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bCs/>
                <w:color w:val="000000"/>
                <w:sz w:val="24"/>
              </w:rPr>
            </w:pPr>
            <w:r>
              <w:rPr>
                <w:rFonts w:hint="eastAsia" w:ascii="黑体" w:hAnsi="黑体" w:eastAsia="黑体" w:cs="宋体"/>
                <w:b/>
                <w:bCs/>
                <w:color w:val="000000"/>
                <w:sz w:val="24"/>
              </w:rPr>
              <w:t>单价/元</w:t>
            </w:r>
          </w:p>
          <w:p>
            <w:pPr>
              <w:pStyle w:val="2"/>
              <w:rPr>
                <w:rFonts w:ascii="黑体" w:hAnsi="黑体" w:cs="宋体"/>
                <w:b/>
                <w:bCs/>
                <w:color w:val="000000"/>
                <w:sz w:val="24"/>
                <w:szCs w:val="24"/>
                <w:lang w:bidi="ar-SA"/>
              </w:rPr>
            </w:pPr>
            <w:r>
              <w:rPr>
                <w:rFonts w:hint="eastAsia" w:ascii="黑体" w:hAnsi="黑体" w:cs="宋体"/>
                <w:b/>
                <w:bCs/>
                <w:color w:val="000000"/>
                <w:sz w:val="24"/>
                <w:szCs w:val="24"/>
                <w:lang w:bidi="ar-SA"/>
              </w:rPr>
              <w:t>（含税）</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bCs/>
                <w:color w:val="000000"/>
                <w:sz w:val="24"/>
              </w:rPr>
            </w:pPr>
            <w:r>
              <w:rPr>
                <w:rFonts w:hint="eastAsia" w:ascii="黑体" w:hAnsi="黑体" w:eastAsia="黑体" w:cs="宋体"/>
                <w:b/>
                <w:bCs/>
                <w:color w:val="000000"/>
                <w:sz w:val="24"/>
              </w:rPr>
              <w:t>总价/元</w:t>
            </w:r>
          </w:p>
          <w:p>
            <w:pPr>
              <w:pStyle w:val="2"/>
              <w:rPr>
                <w:rFonts w:ascii="黑体" w:hAnsi="黑体" w:cs="宋体"/>
                <w:b/>
                <w:bCs/>
                <w:color w:val="000000"/>
                <w:sz w:val="24"/>
                <w:szCs w:val="24"/>
                <w:lang w:bidi="ar-SA"/>
              </w:rPr>
            </w:pPr>
            <w:r>
              <w:rPr>
                <w:rFonts w:hint="eastAsia" w:ascii="黑体" w:hAnsi="黑体" w:cs="宋体"/>
                <w:b/>
                <w:bCs/>
                <w:color w:val="000000"/>
                <w:sz w:val="24"/>
                <w:szCs w:val="24"/>
                <w:lang w:bidi="ar-SA"/>
              </w:rPr>
              <w:t>（含税）</w:t>
            </w:r>
          </w:p>
        </w:tc>
        <w:tc>
          <w:tcPr>
            <w:tcW w:w="12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r>
              <w:rPr>
                <w:rFonts w:hint="eastAsia" w:ascii="黑体" w:hAnsi="黑体" w:eastAsia="黑体" w:cs="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r>
              <w:rPr>
                <w:rFonts w:hint="eastAsia" w:ascii="黑体" w:hAnsi="黑体" w:eastAsia="黑体" w:cs="宋体"/>
                <w:b/>
                <w:color w:val="000000"/>
                <w:sz w:val="24"/>
              </w:rPr>
              <w:t>1</w:t>
            </w:r>
          </w:p>
        </w:tc>
        <w:tc>
          <w:tcPr>
            <w:tcW w:w="153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r>
              <w:rPr>
                <w:rFonts w:hint="eastAsia" w:ascii="黑体" w:hAnsi="黑体" w:eastAsia="黑体" w:cs="宋体"/>
                <w:b/>
                <w:sz w:val="24"/>
              </w:rPr>
              <w:t>自动插包机专用PO42.5编织袋 50K</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r>
              <w:rPr>
                <w:rFonts w:hint="eastAsia" w:ascii="黑体" w:hAnsi="黑体" w:eastAsia="黑体" w:cs="宋体"/>
                <w:b/>
                <w:color w:val="000000"/>
                <w:sz w:val="24"/>
              </w:rPr>
              <w:t>PC</w:t>
            </w:r>
          </w:p>
        </w:tc>
        <w:tc>
          <w:tcPr>
            <w:tcW w:w="15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r>
              <w:rPr>
                <w:rFonts w:hint="eastAsia" w:ascii="黑体" w:hAnsi="黑体" w:eastAsia="黑体" w:cs="宋体"/>
                <w:b/>
                <w:color w:val="000000"/>
                <w:sz w:val="24"/>
              </w:rPr>
              <w:t>600000</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p>
        </w:tc>
        <w:tc>
          <w:tcPr>
            <w:tcW w:w="12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center"/>
              <w:rPr>
                <w:rFonts w:ascii="黑体" w:hAnsi="黑体" w:eastAsia="黑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25" w:type="dxa"/>
            <w:gridSpan w:val="2"/>
            <w:tcBorders>
              <w:top w:val="single" w:color="000000" w:sz="8" w:space="0"/>
              <w:left w:val="single" w:color="000000" w:sz="8" w:space="0"/>
              <w:bottom w:val="single" w:color="000000" w:sz="8" w:space="0"/>
              <w:right w:val="single" w:color="000000" w:sz="8" w:space="0"/>
            </w:tcBorders>
            <w:shd w:val="clear" w:color="auto" w:fill="FFFFFF"/>
          </w:tcPr>
          <w:p>
            <w:pPr>
              <w:snapToGrid w:val="0"/>
              <w:spacing w:line="288" w:lineRule="auto"/>
              <w:jc w:val="center"/>
              <w:rPr>
                <w:rFonts w:ascii="黑体" w:hAnsi="黑体" w:eastAsia="黑体" w:cs="宋体"/>
                <w:b/>
                <w:bCs/>
                <w:color w:val="000000"/>
                <w:sz w:val="24"/>
              </w:rPr>
            </w:pPr>
          </w:p>
        </w:tc>
        <w:tc>
          <w:tcPr>
            <w:tcW w:w="890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jc w:val="left"/>
              <w:rPr>
                <w:rFonts w:ascii="黑体" w:hAnsi="黑体" w:eastAsia="黑体" w:cs="宋体"/>
                <w:b/>
                <w:color w:val="000000"/>
                <w:sz w:val="24"/>
              </w:rPr>
            </w:pPr>
            <w:r>
              <w:rPr>
                <w:rFonts w:hint="eastAsia" w:ascii="黑体" w:hAnsi="黑体" w:eastAsia="黑体" w:cs="宋体"/>
                <w:b/>
                <w:bCs/>
                <w:color w:val="000000"/>
                <w:sz w:val="24"/>
              </w:rPr>
              <w:t>合计报价（小写）：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25" w:type="dxa"/>
            <w:gridSpan w:val="2"/>
            <w:tcBorders>
              <w:top w:val="single" w:color="000000" w:sz="8" w:space="0"/>
              <w:left w:val="single" w:color="000000" w:sz="8" w:space="0"/>
              <w:bottom w:val="single" w:color="000000" w:sz="8" w:space="0"/>
              <w:right w:val="single" w:color="000000" w:sz="8" w:space="0"/>
            </w:tcBorders>
            <w:shd w:val="clear" w:color="auto" w:fill="FFFFFF"/>
          </w:tcPr>
          <w:p>
            <w:pPr>
              <w:snapToGrid w:val="0"/>
              <w:spacing w:line="288" w:lineRule="auto"/>
              <w:rPr>
                <w:rFonts w:ascii="黑体" w:hAnsi="黑体" w:eastAsia="黑体" w:cs="宋体"/>
                <w:b/>
                <w:color w:val="000000"/>
                <w:sz w:val="24"/>
              </w:rPr>
            </w:pPr>
          </w:p>
        </w:tc>
        <w:tc>
          <w:tcPr>
            <w:tcW w:w="890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rPr>
                <w:rFonts w:ascii="黑体" w:hAnsi="黑体" w:eastAsia="黑体" w:cs="宋体"/>
                <w:b/>
                <w:color w:val="000000"/>
                <w:sz w:val="24"/>
              </w:rPr>
            </w:pPr>
            <w:r>
              <w:rPr>
                <w:rFonts w:hint="eastAsia" w:ascii="黑体" w:hAnsi="黑体" w:eastAsia="黑体" w:cs="宋体"/>
                <w:b/>
                <w:bCs/>
                <w:color w:val="000000"/>
                <w:sz w:val="24"/>
              </w:rPr>
              <w:t>合计报价（大写）：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25" w:type="dxa"/>
            <w:gridSpan w:val="2"/>
            <w:tcBorders>
              <w:top w:val="single" w:color="000000" w:sz="8" w:space="0"/>
              <w:left w:val="single" w:color="000000" w:sz="8" w:space="0"/>
              <w:bottom w:val="single" w:color="000000" w:sz="8" w:space="0"/>
              <w:right w:val="single" w:color="000000" w:sz="8" w:space="0"/>
            </w:tcBorders>
            <w:shd w:val="clear" w:color="auto" w:fill="FFFFFF"/>
          </w:tcPr>
          <w:p>
            <w:pPr>
              <w:snapToGrid w:val="0"/>
              <w:spacing w:line="288" w:lineRule="auto"/>
              <w:rPr>
                <w:rFonts w:ascii="黑体" w:hAnsi="黑体" w:eastAsia="黑体" w:cs="宋体"/>
                <w:b/>
                <w:color w:val="000000"/>
                <w:sz w:val="24"/>
              </w:rPr>
            </w:pPr>
          </w:p>
        </w:tc>
        <w:tc>
          <w:tcPr>
            <w:tcW w:w="890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rPr>
                <w:rFonts w:ascii="黑体" w:hAnsi="黑体" w:eastAsia="黑体" w:cs="宋体"/>
                <w:b/>
                <w:color w:val="000000"/>
                <w:sz w:val="24"/>
              </w:rPr>
            </w:pPr>
            <w:r>
              <w:rPr>
                <w:rFonts w:hint="eastAsia" w:ascii="黑体" w:hAnsi="黑体" w:eastAsia="黑体" w:cs="宋体"/>
                <w:b/>
                <w:color w:val="000000"/>
                <w:sz w:val="24"/>
              </w:rPr>
              <w:t>付款方式：</w:t>
            </w:r>
            <w:r>
              <w:rPr>
                <w:rFonts w:ascii="黑体" w:hAnsi="黑体" w:eastAsia="黑体" w:cs="宋体"/>
                <w:b/>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25" w:type="dxa"/>
            <w:gridSpan w:val="2"/>
            <w:tcBorders>
              <w:top w:val="single" w:color="000000" w:sz="8" w:space="0"/>
              <w:left w:val="single" w:color="000000" w:sz="8" w:space="0"/>
              <w:bottom w:val="single" w:color="000000" w:sz="8" w:space="0"/>
              <w:right w:val="single" w:color="000000" w:sz="8" w:space="0"/>
            </w:tcBorders>
            <w:shd w:val="clear" w:color="auto" w:fill="FFFFFF"/>
          </w:tcPr>
          <w:p>
            <w:pPr>
              <w:snapToGrid w:val="0"/>
              <w:spacing w:line="288" w:lineRule="auto"/>
              <w:rPr>
                <w:rFonts w:ascii="黑体" w:hAnsi="黑体" w:eastAsia="黑体" w:cs="宋体"/>
                <w:b/>
                <w:color w:val="000000"/>
                <w:sz w:val="24"/>
              </w:rPr>
            </w:pPr>
          </w:p>
        </w:tc>
        <w:tc>
          <w:tcPr>
            <w:tcW w:w="890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rPr>
                <w:rFonts w:ascii="黑体" w:hAnsi="黑体" w:eastAsia="黑体" w:cs="宋体"/>
                <w:b/>
                <w:color w:val="000000"/>
                <w:sz w:val="24"/>
              </w:rPr>
            </w:pPr>
            <w:r>
              <w:rPr>
                <w:rFonts w:hint="eastAsia" w:ascii="黑体" w:hAnsi="黑体" w:eastAsia="黑体" w:cs="宋体"/>
                <w:b/>
                <w:color w:val="000000"/>
                <w:sz w:val="24"/>
              </w:rPr>
              <w:t>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25" w:type="dxa"/>
            <w:gridSpan w:val="2"/>
            <w:tcBorders>
              <w:top w:val="single" w:color="000000" w:sz="8" w:space="0"/>
              <w:left w:val="single" w:color="000000" w:sz="8" w:space="0"/>
              <w:bottom w:val="single" w:color="000000" w:sz="8" w:space="0"/>
              <w:right w:val="single" w:color="000000" w:sz="8" w:space="0"/>
            </w:tcBorders>
            <w:shd w:val="clear" w:color="auto" w:fill="FFFFFF"/>
          </w:tcPr>
          <w:p>
            <w:pPr>
              <w:snapToGrid w:val="0"/>
              <w:spacing w:line="288" w:lineRule="auto"/>
              <w:rPr>
                <w:rFonts w:ascii="黑体" w:hAnsi="黑体" w:eastAsia="黑体" w:cs="宋体"/>
                <w:b/>
                <w:color w:val="000000"/>
                <w:sz w:val="24"/>
              </w:rPr>
            </w:pPr>
          </w:p>
        </w:tc>
        <w:tc>
          <w:tcPr>
            <w:tcW w:w="890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88" w:lineRule="auto"/>
              <w:rPr>
                <w:rFonts w:ascii="黑体" w:hAnsi="黑体" w:eastAsia="黑体" w:cs="宋体"/>
                <w:b/>
                <w:color w:val="000000"/>
                <w:sz w:val="24"/>
              </w:rPr>
            </w:pPr>
            <w:r>
              <w:rPr>
                <w:rFonts w:hint="eastAsia" w:ascii="黑体" w:hAnsi="黑体" w:eastAsia="黑体" w:cs="宋体"/>
                <w:b/>
                <w:color w:val="000000"/>
                <w:sz w:val="24"/>
              </w:rPr>
              <w:t>税率：</w:t>
            </w:r>
          </w:p>
        </w:tc>
      </w:tr>
    </w:tbl>
    <w:p>
      <w:pPr>
        <w:pStyle w:val="2"/>
        <w:spacing w:line="288" w:lineRule="auto"/>
        <w:rPr>
          <w:rFonts w:ascii="黑体" w:hAnsi="黑体" w:cs="宋体"/>
          <w:b/>
          <w:bCs/>
          <w:sz w:val="24"/>
          <w:szCs w:val="24"/>
          <w:lang w:bidi="ar-SA"/>
        </w:rPr>
      </w:pPr>
    </w:p>
    <w:p>
      <w:pPr>
        <w:pStyle w:val="2"/>
        <w:spacing w:line="288" w:lineRule="auto"/>
        <w:rPr>
          <w:rFonts w:ascii="黑体" w:hAnsi="黑体" w:cs="宋体"/>
          <w:b/>
          <w:bCs/>
          <w:sz w:val="24"/>
          <w:szCs w:val="24"/>
          <w:lang w:bidi="ar-SA"/>
        </w:rPr>
      </w:pPr>
    </w:p>
    <w:p>
      <w:pPr>
        <w:spacing w:line="288" w:lineRule="auto"/>
        <w:ind w:firstLine="2650" w:firstLineChars="1100"/>
        <w:rPr>
          <w:rFonts w:ascii="黑体" w:hAnsi="黑体" w:eastAsia="黑体" w:cs="宋体"/>
          <w:b/>
          <w:sz w:val="24"/>
          <w:u w:val="single"/>
        </w:rPr>
      </w:pPr>
      <w:r>
        <w:rPr>
          <w:rFonts w:hint="eastAsia" w:ascii="黑体" w:hAnsi="黑体" w:eastAsia="黑体" w:cs="宋体"/>
          <w:b/>
          <w:sz w:val="24"/>
        </w:rPr>
        <w:t>投标人（盖单位公章）：</w:t>
      </w:r>
      <w:r>
        <w:rPr>
          <w:rFonts w:hint="eastAsia" w:ascii="黑体" w:hAnsi="黑体" w:eastAsia="黑体" w:cs="宋体"/>
          <w:b/>
          <w:sz w:val="24"/>
          <w:u w:val="single"/>
        </w:rPr>
        <w:t xml:space="preserve">                                    </w:t>
      </w:r>
    </w:p>
    <w:p>
      <w:pPr>
        <w:spacing w:line="288" w:lineRule="auto"/>
        <w:ind w:firstLine="2650" w:firstLineChars="1100"/>
        <w:rPr>
          <w:rFonts w:ascii="黑体" w:hAnsi="黑体" w:eastAsia="黑体" w:cs="宋体"/>
          <w:b/>
          <w:sz w:val="24"/>
        </w:rPr>
      </w:pPr>
    </w:p>
    <w:p>
      <w:pPr>
        <w:spacing w:line="288" w:lineRule="auto"/>
        <w:ind w:firstLine="2650" w:firstLineChars="1100"/>
        <w:rPr>
          <w:rFonts w:ascii="黑体" w:hAnsi="黑体" w:eastAsia="黑体" w:cs="宋体"/>
          <w:b/>
          <w:sz w:val="24"/>
          <w:u w:val="single"/>
        </w:rPr>
      </w:pPr>
      <w:r>
        <w:rPr>
          <w:rFonts w:hint="eastAsia" w:ascii="黑体" w:hAnsi="黑体" w:eastAsia="黑体" w:cs="宋体"/>
          <w:b/>
          <w:sz w:val="24"/>
        </w:rPr>
        <w:t>法人代表或委托代理人（签字或盖章）：</w:t>
      </w:r>
      <w:r>
        <w:rPr>
          <w:rFonts w:hint="eastAsia" w:ascii="黑体" w:hAnsi="黑体" w:eastAsia="黑体" w:cs="宋体"/>
          <w:b/>
          <w:sz w:val="24"/>
          <w:u w:val="single"/>
        </w:rPr>
        <w:t xml:space="preserve">                           </w:t>
      </w:r>
    </w:p>
    <w:p>
      <w:pPr>
        <w:spacing w:line="288" w:lineRule="auto"/>
        <w:ind w:firstLine="4096" w:firstLineChars="1700"/>
        <w:rPr>
          <w:rFonts w:ascii="黑体" w:hAnsi="黑体" w:eastAsia="黑体" w:cs="宋体"/>
          <w:b/>
          <w:sz w:val="24"/>
        </w:rPr>
      </w:pPr>
    </w:p>
    <w:p>
      <w:pPr>
        <w:spacing w:line="288" w:lineRule="auto"/>
        <w:ind w:firstLine="4096" w:firstLineChars="1700"/>
        <w:rPr>
          <w:rFonts w:ascii="黑体" w:hAnsi="黑体" w:eastAsia="黑体" w:cs="宋体"/>
          <w:b/>
          <w:sz w:val="24"/>
        </w:rPr>
      </w:pPr>
      <w:r>
        <w:rPr>
          <w:rFonts w:hint="eastAsia" w:ascii="黑体" w:hAnsi="黑体" w:eastAsia="黑体" w:cs="宋体"/>
          <w:b/>
          <w:sz w:val="24"/>
        </w:rPr>
        <w:t xml:space="preserve">日期： </w:t>
      </w:r>
      <w:r>
        <w:rPr>
          <w:rFonts w:hint="eastAsia" w:ascii="黑体" w:hAnsi="黑体" w:eastAsia="黑体" w:cs="宋体"/>
          <w:b/>
          <w:sz w:val="24"/>
          <w:u w:val="single"/>
        </w:rPr>
        <w:t xml:space="preserve">           </w:t>
      </w:r>
      <w:r>
        <w:rPr>
          <w:rFonts w:hint="eastAsia" w:ascii="黑体" w:hAnsi="黑体" w:eastAsia="黑体" w:cs="宋体"/>
          <w:b/>
          <w:sz w:val="24"/>
        </w:rPr>
        <w:t xml:space="preserve"> 年</w:t>
      </w:r>
      <w:r>
        <w:rPr>
          <w:rFonts w:hint="eastAsia" w:ascii="黑体" w:hAnsi="黑体" w:eastAsia="黑体" w:cs="宋体"/>
          <w:b/>
          <w:sz w:val="24"/>
          <w:u w:val="single"/>
        </w:rPr>
        <w:t xml:space="preserve">    </w:t>
      </w:r>
      <w:r>
        <w:rPr>
          <w:rFonts w:hint="eastAsia" w:ascii="黑体" w:hAnsi="黑体" w:eastAsia="黑体" w:cs="宋体"/>
          <w:b/>
          <w:sz w:val="24"/>
        </w:rPr>
        <w:t>月</w:t>
      </w:r>
      <w:r>
        <w:rPr>
          <w:rFonts w:hint="eastAsia" w:ascii="黑体" w:hAnsi="黑体" w:eastAsia="黑体" w:cs="宋体"/>
          <w:b/>
          <w:sz w:val="24"/>
          <w:u w:val="single"/>
        </w:rPr>
        <w:t xml:space="preserve">    </w:t>
      </w:r>
      <w:r>
        <w:rPr>
          <w:rFonts w:hint="eastAsia" w:ascii="黑体" w:hAnsi="黑体" w:eastAsia="黑体" w:cs="宋体"/>
          <w:b/>
          <w:sz w:val="24"/>
        </w:rPr>
        <w:t>日</w:t>
      </w:r>
    </w:p>
    <w:p>
      <w:pPr>
        <w:pStyle w:val="2"/>
        <w:spacing w:line="480" w:lineRule="exact"/>
        <w:rPr>
          <w:rFonts w:ascii="黑体" w:hAnsi="黑体"/>
          <w:b/>
          <w:bCs/>
          <w:sz w:val="36"/>
          <w:szCs w:val="36"/>
          <w:lang w:bidi="ar-SA"/>
        </w:rPr>
      </w:pPr>
      <w:r>
        <w:rPr>
          <w:rFonts w:hint="eastAsia" w:ascii="黑体" w:hAnsi="黑体"/>
          <w:b/>
          <w:bCs/>
          <w:sz w:val="36"/>
          <w:szCs w:val="36"/>
          <w:lang w:bidi="ar-SA"/>
        </w:rPr>
        <w:br w:type="page"/>
      </w:r>
    </w:p>
    <w:p>
      <w:pPr>
        <w:keepNext/>
        <w:keepLines/>
        <w:spacing w:line="440" w:lineRule="exact"/>
        <w:jc w:val="center"/>
        <w:outlineLvl w:val="1"/>
        <w:rPr>
          <w:rFonts w:ascii="黑体" w:hAnsi="黑体" w:eastAsia="黑体"/>
          <w:b/>
          <w:sz w:val="28"/>
          <w:szCs w:val="28"/>
        </w:rPr>
      </w:pPr>
      <w:bookmarkStart w:id="218" w:name="_Toc13582163"/>
      <w:bookmarkStart w:id="219" w:name="_Toc4922_WPSOffice_Level1"/>
      <w:bookmarkStart w:id="220" w:name="_Toc12892455"/>
      <w:r>
        <w:rPr>
          <w:rFonts w:hint="eastAsia" w:ascii="黑体" w:hAnsi="黑体" w:eastAsia="黑体"/>
          <w:b/>
          <w:sz w:val="28"/>
          <w:szCs w:val="28"/>
        </w:rPr>
        <w:t>（三）法定代表人身份证明</w:t>
      </w:r>
      <w:bookmarkEnd w:id="218"/>
      <w:bookmarkEnd w:id="219"/>
      <w:bookmarkEnd w:id="220"/>
    </w:p>
    <w:p>
      <w:pPr>
        <w:keepNext/>
        <w:keepLines/>
        <w:spacing w:line="440" w:lineRule="exact"/>
        <w:jc w:val="center"/>
        <w:outlineLvl w:val="1"/>
        <w:rPr>
          <w:rFonts w:ascii="黑体" w:hAnsi="黑体" w:eastAsia="黑体"/>
          <w:b/>
          <w:bCs/>
          <w:sz w:val="24"/>
          <w:szCs w:val="32"/>
        </w:rPr>
      </w:pPr>
    </w:p>
    <w:p>
      <w:pPr>
        <w:spacing w:line="440" w:lineRule="exact"/>
        <w:rPr>
          <w:rFonts w:ascii="黑体" w:hAnsi="黑体" w:eastAsia="黑体"/>
          <w:b/>
          <w:sz w:val="24"/>
        </w:rPr>
      </w:pPr>
    </w:p>
    <w:p>
      <w:pPr>
        <w:spacing w:line="440" w:lineRule="exact"/>
        <w:ind w:firstLine="482" w:firstLineChars="200"/>
        <w:jc w:val="left"/>
        <w:rPr>
          <w:rFonts w:ascii="黑体" w:hAnsi="黑体" w:eastAsia="黑体" w:cs="华文中宋"/>
          <w:b/>
          <w:bCs/>
          <w:sz w:val="24"/>
          <w:u w:val="single"/>
        </w:rPr>
      </w:pPr>
      <w:r>
        <w:rPr>
          <w:rFonts w:hint="eastAsia" w:ascii="黑体" w:hAnsi="黑体" w:eastAsia="黑体"/>
          <w:b/>
          <w:sz w:val="24"/>
        </w:rPr>
        <w:t>投 标 人 名 称：</w:t>
      </w:r>
      <w:r>
        <w:rPr>
          <w:rFonts w:hint="eastAsia" w:ascii="黑体" w:hAnsi="黑体" w:eastAsia="黑体" w:cs="华文中宋"/>
          <w:b/>
          <w:bCs/>
          <w:sz w:val="24"/>
          <w:u w:val="single"/>
        </w:rPr>
        <w:t xml:space="preserve">                                                    </w:t>
      </w:r>
    </w:p>
    <w:p>
      <w:pPr>
        <w:spacing w:line="440" w:lineRule="exact"/>
        <w:ind w:left="420" w:leftChars="200"/>
        <w:rPr>
          <w:rFonts w:ascii="黑体" w:hAnsi="黑体" w:eastAsia="黑体" w:cs="华文中宋"/>
          <w:b/>
          <w:bCs/>
          <w:sz w:val="24"/>
          <w:u w:val="single"/>
        </w:rPr>
      </w:pPr>
      <w:r>
        <w:rPr>
          <w:rFonts w:hint="eastAsia" w:ascii="黑体" w:hAnsi="黑体" w:eastAsia="黑体"/>
          <w:b/>
          <w:sz w:val="24"/>
        </w:rPr>
        <w:t>姓    名：</w:t>
      </w:r>
      <w:r>
        <w:rPr>
          <w:rFonts w:hint="eastAsia" w:ascii="黑体" w:hAnsi="黑体" w:eastAsia="黑体"/>
          <w:b/>
          <w:sz w:val="24"/>
          <w:u w:val="single"/>
        </w:rPr>
        <w:t xml:space="preserve">            </w:t>
      </w:r>
      <w:r>
        <w:rPr>
          <w:rFonts w:hint="eastAsia" w:ascii="黑体" w:hAnsi="黑体" w:eastAsia="黑体"/>
          <w:b/>
          <w:sz w:val="24"/>
        </w:rPr>
        <w:t>，性    别：</w:t>
      </w:r>
      <w:r>
        <w:rPr>
          <w:rFonts w:hint="eastAsia" w:ascii="黑体" w:hAnsi="黑体" w:eastAsia="黑体" w:cs="华文中宋"/>
          <w:b/>
          <w:bCs/>
          <w:sz w:val="24"/>
          <w:u w:val="single"/>
        </w:rPr>
        <w:t xml:space="preserve">             </w:t>
      </w:r>
    </w:p>
    <w:p>
      <w:pPr>
        <w:spacing w:line="440" w:lineRule="exact"/>
        <w:ind w:left="420" w:leftChars="200"/>
        <w:rPr>
          <w:rFonts w:ascii="黑体" w:hAnsi="黑体" w:eastAsia="黑体"/>
          <w:b/>
          <w:sz w:val="24"/>
          <w:u w:val="single"/>
        </w:rPr>
      </w:pPr>
      <w:r>
        <w:rPr>
          <w:rFonts w:hint="eastAsia" w:ascii="黑体" w:hAnsi="黑体" w:eastAsia="黑体"/>
          <w:b/>
          <w:sz w:val="24"/>
        </w:rPr>
        <w:t>年    龄：</w:t>
      </w:r>
      <w:r>
        <w:rPr>
          <w:rFonts w:hint="eastAsia" w:ascii="黑体" w:hAnsi="黑体" w:eastAsia="黑体"/>
          <w:b/>
          <w:sz w:val="24"/>
          <w:u w:val="single"/>
        </w:rPr>
        <w:t xml:space="preserve">           </w:t>
      </w:r>
      <w:r>
        <w:rPr>
          <w:rFonts w:hint="eastAsia" w:ascii="黑体" w:hAnsi="黑体" w:eastAsia="黑体"/>
          <w:b/>
          <w:sz w:val="24"/>
        </w:rPr>
        <w:t>， 职    务：</w:t>
      </w:r>
      <w:r>
        <w:rPr>
          <w:rFonts w:hint="eastAsia" w:ascii="黑体" w:hAnsi="黑体" w:eastAsia="黑体"/>
          <w:b/>
          <w:sz w:val="24"/>
          <w:u w:val="single"/>
        </w:rPr>
        <w:t xml:space="preserve"> </w:t>
      </w:r>
      <w:r>
        <w:rPr>
          <w:rFonts w:hint="eastAsia" w:ascii="黑体" w:hAnsi="黑体" w:eastAsia="黑体" w:cs="华文中宋"/>
          <w:b/>
          <w:bCs/>
          <w:sz w:val="24"/>
          <w:u w:val="single"/>
        </w:rPr>
        <w:t xml:space="preserve"> </w:t>
      </w:r>
      <w:r>
        <w:rPr>
          <w:rFonts w:hint="eastAsia" w:ascii="黑体" w:hAnsi="黑体" w:eastAsia="黑体"/>
          <w:b/>
          <w:sz w:val="24"/>
          <w:u w:val="single"/>
        </w:rPr>
        <w:t xml:space="preserve">           </w:t>
      </w:r>
    </w:p>
    <w:p>
      <w:pPr>
        <w:spacing w:line="440" w:lineRule="exact"/>
        <w:ind w:firstLine="482" w:firstLineChars="200"/>
        <w:rPr>
          <w:rFonts w:ascii="黑体" w:hAnsi="黑体" w:eastAsia="黑体"/>
          <w:b/>
          <w:sz w:val="24"/>
        </w:rPr>
      </w:pPr>
      <w:r>
        <w:rPr>
          <w:rFonts w:hint="eastAsia" w:ascii="黑体" w:hAnsi="黑体" w:eastAsia="黑体"/>
          <w:b/>
          <w:sz w:val="24"/>
        </w:rPr>
        <w:t>系</w:t>
      </w:r>
      <w:r>
        <w:rPr>
          <w:rFonts w:hint="eastAsia" w:ascii="黑体" w:hAnsi="黑体" w:eastAsia="黑体"/>
          <w:b/>
          <w:sz w:val="24"/>
          <w:u w:val="single"/>
        </w:rPr>
        <w:t xml:space="preserve">         （投标人名称）     </w:t>
      </w:r>
      <w:r>
        <w:rPr>
          <w:rFonts w:hint="eastAsia" w:ascii="黑体" w:hAnsi="黑体" w:eastAsia="黑体"/>
          <w:b/>
          <w:sz w:val="24"/>
        </w:rPr>
        <w:t>的法定代表人。</w:t>
      </w:r>
    </w:p>
    <w:p>
      <w:pPr>
        <w:spacing w:line="440" w:lineRule="exact"/>
        <w:rPr>
          <w:rFonts w:ascii="黑体" w:hAnsi="黑体" w:eastAsia="黑体"/>
          <w:b/>
          <w:sz w:val="24"/>
        </w:rPr>
      </w:pPr>
      <w:r>
        <w:rPr>
          <w:rFonts w:hint="eastAsia" w:ascii="黑体" w:hAnsi="黑体" w:eastAsia="黑体"/>
          <w:b/>
          <w:sz w:val="24"/>
        </w:rPr>
        <w:t xml:space="preserve">    特此证明。</w:t>
      </w:r>
    </w:p>
    <w:p>
      <w:pPr>
        <w:spacing w:line="440" w:lineRule="exact"/>
        <w:rPr>
          <w:rFonts w:ascii="黑体" w:hAnsi="黑体" w:eastAsia="黑体"/>
          <w:b/>
          <w:sz w:val="24"/>
        </w:rPr>
      </w:pPr>
    </w:p>
    <w:p>
      <w:pPr>
        <w:spacing w:line="440" w:lineRule="exact"/>
        <w:rPr>
          <w:rFonts w:ascii="黑体" w:hAnsi="黑体" w:eastAsia="黑体"/>
          <w:b/>
          <w:sz w:val="24"/>
        </w:rPr>
      </w:pPr>
    </w:p>
    <w:p>
      <w:pPr>
        <w:spacing w:line="440" w:lineRule="exact"/>
        <w:rPr>
          <w:rFonts w:ascii="黑体" w:hAnsi="黑体" w:eastAsia="黑体"/>
          <w:b/>
          <w:sz w:val="24"/>
        </w:rPr>
      </w:pPr>
    </w:p>
    <w:p>
      <w:pPr>
        <w:spacing w:line="440" w:lineRule="exact"/>
        <w:rPr>
          <w:rFonts w:ascii="黑体" w:hAnsi="黑体" w:eastAsia="黑体"/>
          <w:b/>
          <w:sz w:val="24"/>
          <w:u w:val="single"/>
        </w:rPr>
      </w:pPr>
      <w:r>
        <w:rPr>
          <w:rFonts w:hint="eastAsia" w:ascii="黑体" w:hAnsi="黑体" w:eastAsia="黑体"/>
          <w:b/>
          <w:sz w:val="24"/>
        </w:rPr>
        <w:t xml:space="preserve">                               投标人：</w:t>
      </w:r>
      <w:r>
        <w:rPr>
          <w:rFonts w:hint="eastAsia" w:ascii="黑体" w:hAnsi="黑体" w:eastAsia="黑体"/>
          <w:b/>
          <w:sz w:val="24"/>
          <w:u w:val="single"/>
        </w:rPr>
        <w:t xml:space="preserve">       （盖单位公章）        </w:t>
      </w:r>
    </w:p>
    <w:p>
      <w:pPr>
        <w:spacing w:line="440" w:lineRule="exact"/>
        <w:rPr>
          <w:rFonts w:ascii="黑体" w:hAnsi="黑体" w:eastAsia="黑体"/>
          <w:b/>
          <w:sz w:val="24"/>
        </w:rPr>
      </w:pPr>
      <w:r>
        <w:rPr>
          <w:rFonts w:ascii="黑体" w:hAnsi="黑体" w:eastAsia="黑体"/>
          <w:b/>
          <w:sz w:val="24"/>
        </w:rPr>
        <w:t xml:space="preserve">                              </w:t>
      </w:r>
      <w:r>
        <w:rPr>
          <w:rFonts w:hint="eastAsia" w:ascii="黑体" w:hAnsi="黑体" w:eastAsia="黑体"/>
          <w:b/>
          <w:sz w:val="24"/>
        </w:rPr>
        <w:t xml:space="preserve">     </w:t>
      </w:r>
    </w:p>
    <w:p>
      <w:pPr>
        <w:spacing w:line="440" w:lineRule="exact"/>
        <w:rPr>
          <w:rFonts w:ascii="黑体" w:hAnsi="黑体" w:eastAsia="黑体"/>
          <w:b/>
          <w:sz w:val="24"/>
        </w:rPr>
      </w:pPr>
      <w:r>
        <w:rPr>
          <w:rFonts w:hint="eastAsia" w:ascii="黑体" w:hAnsi="黑体" w:eastAsia="黑体"/>
          <w:b/>
          <w:sz w:val="24"/>
        </w:rPr>
        <w:t xml:space="preserve">                                    </w:t>
      </w:r>
      <w:r>
        <w:rPr>
          <w:rFonts w:hint="eastAsia" w:ascii="黑体" w:hAnsi="黑体" w:eastAsia="黑体"/>
          <w:b/>
          <w:sz w:val="24"/>
          <w:u w:val="single"/>
        </w:rPr>
        <w:t xml:space="preserve">          </w:t>
      </w:r>
      <w:r>
        <w:rPr>
          <w:rFonts w:hint="eastAsia" w:ascii="黑体" w:hAnsi="黑体" w:eastAsia="黑体"/>
          <w:b/>
          <w:sz w:val="24"/>
        </w:rPr>
        <w:t>年</w:t>
      </w:r>
      <w:r>
        <w:rPr>
          <w:rFonts w:hint="eastAsia" w:ascii="黑体" w:hAnsi="黑体" w:eastAsia="黑体"/>
          <w:b/>
          <w:sz w:val="24"/>
          <w:u w:val="single"/>
        </w:rPr>
        <w:t xml:space="preserve">    </w:t>
      </w:r>
      <w:r>
        <w:rPr>
          <w:rFonts w:hint="eastAsia" w:ascii="黑体" w:hAnsi="黑体" w:eastAsia="黑体"/>
          <w:b/>
          <w:sz w:val="24"/>
        </w:rPr>
        <w:t>月</w:t>
      </w:r>
      <w:r>
        <w:rPr>
          <w:rFonts w:hint="eastAsia" w:ascii="黑体" w:hAnsi="黑体" w:eastAsia="黑体"/>
          <w:b/>
          <w:sz w:val="24"/>
          <w:u w:val="single"/>
        </w:rPr>
        <w:t xml:space="preserve">    </w:t>
      </w:r>
      <w:r>
        <w:rPr>
          <w:rFonts w:hint="eastAsia" w:ascii="黑体" w:hAnsi="黑体" w:eastAsia="黑体"/>
          <w:b/>
          <w:sz w:val="24"/>
        </w:rPr>
        <w:t>日</w:t>
      </w:r>
    </w:p>
    <w:p>
      <w:pPr>
        <w:spacing w:line="440" w:lineRule="exact"/>
        <w:rPr>
          <w:rFonts w:ascii="黑体" w:hAnsi="黑体" w:eastAsia="黑体"/>
          <w:b/>
          <w:sz w:val="24"/>
        </w:rPr>
      </w:pPr>
    </w:p>
    <w:p>
      <w:pPr>
        <w:spacing w:line="440" w:lineRule="exact"/>
        <w:rPr>
          <w:rFonts w:ascii="黑体" w:hAnsi="黑体" w:eastAsia="黑体"/>
          <w:b/>
          <w:sz w:val="24"/>
        </w:rPr>
      </w:pPr>
    </w:p>
    <w:p>
      <w:pPr>
        <w:spacing w:line="440" w:lineRule="exact"/>
        <w:rPr>
          <w:rFonts w:ascii="黑体" w:hAnsi="黑体" w:eastAsia="黑体"/>
          <w:b/>
          <w:sz w:val="24"/>
        </w:rPr>
      </w:pPr>
    </w:p>
    <w:tbl>
      <w:tblPr>
        <w:tblStyle w:val="17"/>
        <w:tblW w:w="821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8210" w:type="dxa"/>
          </w:tcPr>
          <w:p>
            <w:pPr>
              <w:spacing w:line="440" w:lineRule="exact"/>
              <w:jc w:val="center"/>
              <w:rPr>
                <w:rFonts w:ascii="黑体" w:hAnsi="黑体" w:eastAsia="黑体"/>
                <w:b/>
                <w:sz w:val="24"/>
              </w:rPr>
            </w:pPr>
          </w:p>
          <w:p>
            <w:pPr>
              <w:spacing w:line="440" w:lineRule="exact"/>
              <w:jc w:val="center"/>
              <w:rPr>
                <w:rFonts w:ascii="黑体" w:hAnsi="黑体" w:eastAsia="黑体"/>
                <w:b/>
                <w:sz w:val="24"/>
              </w:rPr>
            </w:pPr>
          </w:p>
          <w:p>
            <w:pPr>
              <w:spacing w:line="440" w:lineRule="exact"/>
              <w:jc w:val="center"/>
              <w:rPr>
                <w:rFonts w:ascii="黑体" w:hAnsi="黑体" w:eastAsia="黑体"/>
                <w:b/>
                <w:sz w:val="24"/>
              </w:rPr>
            </w:pPr>
          </w:p>
          <w:p>
            <w:pPr>
              <w:spacing w:line="440" w:lineRule="exact"/>
              <w:jc w:val="center"/>
              <w:rPr>
                <w:rFonts w:ascii="黑体" w:hAnsi="黑体" w:eastAsia="黑体"/>
                <w:b/>
                <w:sz w:val="24"/>
              </w:rPr>
            </w:pPr>
            <w:r>
              <w:rPr>
                <w:rFonts w:hint="eastAsia" w:ascii="黑体" w:hAnsi="黑体" w:eastAsia="黑体"/>
                <w:b/>
                <w:sz w:val="24"/>
              </w:rPr>
              <w:t>法定代表人身份证复印件（正、反面）</w:t>
            </w:r>
          </w:p>
          <w:p>
            <w:pPr>
              <w:spacing w:line="440" w:lineRule="exact"/>
              <w:jc w:val="center"/>
              <w:rPr>
                <w:rFonts w:ascii="黑体" w:hAnsi="黑体" w:eastAsia="黑体"/>
                <w:b/>
                <w:sz w:val="24"/>
              </w:rPr>
            </w:pPr>
            <w:r>
              <w:rPr>
                <w:rFonts w:hint="eastAsia" w:ascii="黑体" w:hAnsi="黑体" w:eastAsia="黑体"/>
                <w:b/>
                <w:sz w:val="24"/>
              </w:rPr>
              <w:t>粘贴处</w:t>
            </w:r>
          </w:p>
          <w:p>
            <w:pPr>
              <w:spacing w:line="440" w:lineRule="exact"/>
              <w:jc w:val="center"/>
              <w:rPr>
                <w:rFonts w:ascii="黑体" w:hAnsi="黑体" w:eastAsia="黑体"/>
                <w:b/>
                <w:sz w:val="24"/>
              </w:rPr>
            </w:pPr>
          </w:p>
          <w:p>
            <w:pPr>
              <w:spacing w:line="440" w:lineRule="exact"/>
              <w:jc w:val="center"/>
              <w:rPr>
                <w:rFonts w:ascii="黑体" w:hAnsi="黑体" w:eastAsia="黑体"/>
                <w:b/>
                <w:sz w:val="24"/>
              </w:rPr>
            </w:pPr>
          </w:p>
          <w:p>
            <w:pPr>
              <w:spacing w:line="440" w:lineRule="exact"/>
              <w:jc w:val="center"/>
              <w:rPr>
                <w:rFonts w:ascii="黑体" w:hAnsi="黑体" w:eastAsia="黑体"/>
                <w:b/>
                <w:sz w:val="24"/>
              </w:rPr>
            </w:pPr>
          </w:p>
        </w:tc>
      </w:tr>
    </w:tbl>
    <w:p>
      <w:pPr>
        <w:keepNext/>
        <w:keepLines/>
        <w:spacing w:line="440" w:lineRule="exact"/>
        <w:jc w:val="center"/>
        <w:outlineLvl w:val="1"/>
        <w:rPr>
          <w:rFonts w:ascii="黑体" w:hAnsi="黑体" w:eastAsia="黑体"/>
          <w:b/>
          <w:bCs/>
          <w:sz w:val="28"/>
          <w:szCs w:val="28"/>
        </w:rPr>
      </w:pPr>
      <w:bookmarkStart w:id="221" w:name="_Toc12892456"/>
      <w:bookmarkStart w:id="222" w:name="_Toc10664"/>
      <w:bookmarkStart w:id="223" w:name="_Toc19544"/>
      <w:bookmarkStart w:id="224" w:name="_Toc12139"/>
      <w:bookmarkStart w:id="225" w:name="_Toc13582164"/>
      <w:bookmarkStart w:id="226" w:name="_Toc4080"/>
      <w:bookmarkStart w:id="227" w:name="_Toc26505"/>
      <w:bookmarkStart w:id="228" w:name="_Toc26911"/>
      <w:bookmarkStart w:id="229" w:name="_Toc32338"/>
      <w:bookmarkStart w:id="230" w:name="_Toc18752"/>
      <w:bookmarkStart w:id="231" w:name="_Toc25246"/>
      <w:bookmarkStart w:id="232" w:name="_Toc448912072"/>
      <w:r>
        <w:rPr>
          <w:rFonts w:hint="eastAsia" w:ascii="黑体" w:hAnsi="黑体" w:eastAsia="黑体"/>
          <w:b/>
          <w:bCs/>
          <w:sz w:val="28"/>
          <w:szCs w:val="28"/>
        </w:rPr>
        <w:br w:type="page"/>
      </w:r>
    </w:p>
    <w:p>
      <w:pPr>
        <w:keepNext/>
        <w:keepLines/>
        <w:spacing w:line="440" w:lineRule="exact"/>
        <w:jc w:val="center"/>
        <w:outlineLvl w:val="1"/>
        <w:rPr>
          <w:rFonts w:ascii="黑体" w:hAnsi="黑体" w:eastAsia="黑体"/>
          <w:b/>
          <w:bCs/>
          <w:sz w:val="28"/>
          <w:szCs w:val="28"/>
        </w:rPr>
      </w:pPr>
      <w:bookmarkStart w:id="233" w:name="_Toc24132_WPSOffice_Level1"/>
      <w:r>
        <w:rPr>
          <w:rFonts w:hint="eastAsia" w:ascii="黑体" w:hAnsi="黑体" w:eastAsia="黑体"/>
          <w:b/>
          <w:bCs/>
          <w:sz w:val="28"/>
          <w:szCs w:val="28"/>
        </w:rPr>
        <w:t>（四）授权委托书</w:t>
      </w:r>
      <w:bookmarkEnd w:id="221"/>
      <w:bookmarkEnd w:id="222"/>
      <w:bookmarkEnd w:id="223"/>
      <w:bookmarkEnd w:id="224"/>
      <w:bookmarkEnd w:id="225"/>
      <w:bookmarkEnd w:id="226"/>
      <w:bookmarkEnd w:id="227"/>
      <w:bookmarkEnd w:id="228"/>
      <w:bookmarkEnd w:id="229"/>
      <w:bookmarkEnd w:id="230"/>
      <w:bookmarkEnd w:id="231"/>
      <w:bookmarkEnd w:id="232"/>
      <w:bookmarkEnd w:id="233"/>
    </w:p>
    <w:p>
      <w:pPr>
        <w:spacing w:line="440" w:lineRule="exact"/>
        <w:rPr>
          <w:rFonts w:ascii="黑体" w:hAnsi="黑体" w:eastAsia="黑体"/>
          <w:b/>
          <w:sz w:val="24"/>
        </w:rPr>
      </w:pPr>
      <w:r>
        <w:rPr>
          <w:rFonts w:ascii="黑体" w:hAnsi="黑体" w:eastAsia="黑体"/>
          <w:b/>
          <w:sz w:val="24"/>
        </w:rPr>
        <w:t xml:space="preserve">    </w:t>
      </w:r>
    </w:p>
    <w:p>
      <w:pPr>
        <w:spacing w:line="440" w:lineRule="exact"/>
        <w:ind w:firstLine="482" w:firstLineChars="200"/>
        <w:rPr>
          <w:rFonts w:ascii="黑体" w:hAnsi="黑体" w:eastAsia="黑体"/>
          <w:b/>
          <w:sz w:val="24"/>
        </w:rPr>
      </w:pPr>
      <w:r>
        <w:rPr>
          <w:rFonts w:hint="eastAsia" w:ascii="黑体" w:hAnsi="黑体" w:eastAsia="黑体"/>
          <w:b/>
          <w:sz w:val="24"/>
        </w:rPr>
        <w:t>本人</w:t>
      </w:r>
      <w:r>
        <w:rPr>
          <w:rFonts w:hint="eastAsia" w:ascii="黑体" w:hAnsi="黑体" w:eastAsia="黑体"/>
          <w:b/>
          <w:sz w:val="24"/>
          <w:u w:val="single"/>
        </w:rPr>
        <w:t xml:space="preserve">  （姓名）    </w:t>
      </w:r>
      <w:r>
        <w:rPr>
          <w:rFonts w:hint="eastAsia" w:ascii="黑体" w:hAnsi="黑体" w:eastAsia="黑体"/>
          <w:b/>
          <w:sz w:val="24"/>
        </w:rPr>
        <w:t xml:space="preserve"> 系</w:t>
      </w:r>
      <w:r>
        <w:rPr>
          <w:rFonts w:hint="eastAsia" w:ascii="黑体" w:hAnsi="黑体" w:eastAsia="黑体"/>
          <w:b/>
          <w:sz w:val="24"/>
          <w:u w:val="single"/>
        </w:rPr>
        <w:t xml:space="preserve">    （投标人名称）             </w:t>
      </w:r>
      <w:r>
        <w:rPr>
          <w:rFonts w:hint="eastAsia" w:ascii="黑体" w:hAnsi="黑体" w:eastAsia="黑体"/>
          <w:b/>
          <w:sz w:val="24"/>
        </w:rPr>
        <w:t xml:space="preserve">的法定代表人，现委托 </w:t>
      </w:r>
      <w:r>
        <w:rPr>
          <w:rFonts w:hint="eastAsia" w:ascii="黑体" w:hAnsi="黑体" w:eastAsia="黑体"/>
          <w:b/>
          <w:sz w:val="24"/>
          <w:u w:val="single"/>
        </w:rPr>
        <w:t xml:space="preserve">  （姓名） </w:t>
      </w:r>
      <w:r>
        <w:rPr>
          <w:rFonts w:hint="eastAsia" w:ascii="黑体" w:hAnsi="黑体" w:eastAsia="黑体"/>
          <w:b/>
          <w:sz w:val="24"/>
        </w:rPr>
        <w:t>同志为我方代理人。代理人根据授权，以我方名义签署、澄清、递交、撤回、修改</w:t>
      </w:r>
      <w:r>
        <w:rPr>
          <w:rFonts w:hint="eastAsia" w:ascii="黑体" w:hAnsi="黑体" w:eastAsia="黑体"/>
          <w:b/>
          <w:sz w:val="24"/>
          <w:u w:val="single"/>
        </w:rPr>
        <w:t xml:space="preserve">                  </w:t>
      </w:r>
      <w:r>
        <w:rPr>
          <w:rFonts w:hint="eastAsia" w:ascii="黑体" w:hAnsi="黑体" w:eastAsia="黑体" w:cs="宋体"/>
          <w:b/>
          <w:sz w:val="24"/>
          <w:u w:val="single"/>
        </w:rPr>
        <w:t>（工程代号、项目名称、标段）</w:t>
      </w:r>
      <w:r>
        <w:rPr>
          <w:rFonts w:hint="eastAsia" w:ascii="黑体" w:hAnsi="黑体" w:eastAsia="黑体"/>
          <w:b/>
          <w:sz w:val="24"/>
        </w:rPr>
        <w:t>项目投标文件、签订合同和处理有关事宜，其法律后果由我方承担。</w:t>
      </w:r>
    </w:p>
    <w:p>
      <w:pPr>
        <w:spacing w:line="440" w:lineRule="exact"/>
        <w:ind w:left="105" w:leftChars="50" w:firstLine="482" w:firstLineChars="200"/>
        <w:rPr>
          <w:rFonts w:ascii="黑体" w:hAnsi="黑体" w:eastAsia="黑体"/>
          <w:b/>
          <w:sz w:val="24"/>
        </w:rPr>
      </w:pPr>
      <w:r>
        <w:rPr>
          <w:rFonts w:hint="eastAsia" w:ascii="黑体" w:hAnsi="黑体" w:eastAsia="黑体"/>
          <w:b/>
          <w:sz w:val="24"/>
        </w:rPr>
        <w:t>委托期限为</w:t>
      </w:r>
      <w:r>
        <w:rPr>
          <w:rFonts w:hint="eastAsia" w:ascii="黑体" w:hAnsi="黑体" w:eastAsia="黑体"/>
          <w:b/>
          <w:sz w:val="24"/>
          <w:u w:val="single"/>
        </w:rPr>
        <w:t xml:space="preserve">                                                            </w:t>
      </w:r>
      <w:r>
        <w:rPr>
          <w:rFonts w:hint="eastAsia" w:ascii="黑体" w:hAnsi="黑体" w:eastAsia="黑体"/>
          <w:b/>
          <w:sz w:val="24"/>
        </w:rPr>
        <w:t>。</w:t>
      </w:r>
    </w:p>
    <w:p>
      <w:pPr>
        <w:spacing w:line="440" w:lineRule="exact"/>
        <w:ind w:left="105" w:leftChars="50" w:firstLine="482" w:firstLineChars="200"/>
        <w:rPr>
          <w:rFonts w:ascii="黑体" w:hAnsi="黑体" w:eastAsia="黑体"/>
          <w:b/>
          <w:sz w:val="24"/>
        </w:rPr>
      </w:pPr>
      <w:r>
        <w:rPr>
          <w:rFonts w:hint="eastAsia" w:ascii="黑体" w:hAnsi="黑体" w:eastAsia="黑体"/>
          <w:b/>
          <w:sz w:val="24"/>
        </w:rPr>
        <w:t>代理人无转委托权。</w:t>
      </w:r>
    </w:p>
    <w:p>
      <w:pPr>
        <w:spacing w:line="440" w:lineRule="exact"/>
        <w:ind w:left="105" w:leftChars="50" w:firstLine="482" w:firstLineChars="200"/>
        <w:rPr>
          <w:rFonts w:ascii="黑体" w:hAnsi="黑体" w:eastAsia="黑体"/>
          <w:b/>
          <w:sz w:val="24"/>
        </w:rPr>
      </w:pPr>
      <w:r>
        <w:rPr>
          <w:rFonts w:hint="eastAsia" w:ascii="黑体" w:hAnsi="黑体" w:eastAsia="黑体"/>
          <w:b/>
          <w:sz w:val="24"/>
        </w:rPr>
        <w:t>附：法定代表人身份证明</w:t>
      </w:r>
    </w:p>
    <w:p>
      <w:pPr>
        <w:spacing w:line="440" w:lineRule="exact"/>
        <w:rPr>
          <w:rFonts w:ascii="黑体" w:hAnsi="黑体" w:eastAsia="黑体"/>
          <w:b/>
          <w:sz w:val="24"/>
        </w:rPr>
      </w:pPr>
    </w:p>
    <w:p>
      <w:pPr>
        <w:spacing w:line="440" w:lineRule="exact"/>
        <w:rPr>
          <w:rFonts w:ascii="黑体" w:hAnsi="黑体" w:eastAsia="黑体"/>
          <w:b/>
          <w:sz w:val="24"/>
        </w:rPr>
      </w:pPr>
    </w:p>
    <w:p>
      <w:pPr>
        <w:spacing w:line="440" w:lineRule="exact"/>
        <w:ind w:firstLine="2650" w:firstLineChars="1100"/>
        <w:rPr>
          <w:rFonts w:ascii="黑体" w:hAnsi="黑体" w:eastAsia="黑体"/>
          <w:b/>
          <w:sz w:val="24"/>
          <w:u w:val="single"/>
        </w:rPr>
      </w:pPr>
      <w:r>
        <w:rPr>
          <w:rFonts w:hint="eastAsia" w:ascii="黑体" w:hAnsi="黑体" w:eastAsia="黑体"/>
          <w:b/>
          <w:sz w:val="24"/>
        </w:rPr>
        <w:t>投  标  人：</w:t>
      </w:r>
      <w:r>
        <w:rPr>
          <w:rFonts w:hint="eastAsia" w:ascii="黑体" w:hAnsi="黑体" w:eastAsia="黑体"/>
          <w:b/>
          <w:sz w:val="24"/>
          <w:u w:val="single"/>
        </w:rPr>
        <w:t xml:space="preserve">                             </w:t>
      </w:r>
      <w:r>
        <w:rPr>
          <w:rFonts w:hint="eastAsia" w:ascii="黑体" w:hAnsi="黑体" w:eastAsia="黑体"/>
          <w:b/>
          <w:sz w:val="24"/>
        </w:rPr>
        <w:t>(盖单位公章)</w:t>
      </w:r>
    </w:p>
    <w:p>
      <w:pPr>
        <w:spacing w:line="440" w:lineRule="exact"/>
        <w:rPr>
          <w:rFonts w:ascii="黑体" w:hAnsi="黑体" w:eastAsia="黑体"/>
          <w:b/>
          <w:sz w:val="24"/>
        </w:rPr>
      </w:pPr>
      <w:r>
        <w:rPr>
          <w:rFonts w:ascii="黑体" w:hAnsi="黑体" w:eastAsia="黑体"/>
          <w:b/>
          <w:sz w:val="24"/>
        </w:rPr>
        <w:t xml:space="preserve">         </w:t>
      </w:r>
      <w:r>
        <w:rPr>
          <w:rFonts w:hint="eastAsia" w:ascii="黑体" w:hAnsi="黑体" w:eastAsia="黑体"/>
          <w:b/>
          <w:sz w:val="24"/>
        </w:rPr>
        <w:t xml:space="preserve">             </w:t>
      </w:r>
    </w:p>
    <w:p>
      <w:pPr>
        <w:spacing w:line="440" w:lineRule="exact"/>
        <w:rPr>
          <w:rFonts w:ascii="黑体" w:hAnsi="黑体" w:eastAsia="黑体"/>
          <w:b/>
          <w:sz w:val="24"/>
          <w:u w:val="single"/>
        </w:rPr>
      </w:pPr>
      <w:r>
        <w:rPr>
          <w:rFonts w:hint="eastAsia" w:ascii="黑体" w:hAnsi="黑体" w:eastAsia="黑体"/>
          <w:b/>
          <w:sz w:val="24"/>
        </w:rPr>
        <w:t xml:space="preserve">                      法定代表人：</w:t>
      </w:r>
      <w:r>
        <w:rPr>
          <w:rFonts w:hint="eastAsia" w:ascii="黑体" w:hAnsi="黑体" w:eastAsia="黑体"/>
          <w:b/>
          <w:sz w:val="24"/>
          <w:u w:val="single"/>
        </w:rPr>
        <w:t xml:space="preserve">                 </w:t>
      </w:r>
      <w:r>
        <w:rPr>
          <w:rFonts w:hint="eastAsia" w:ascii="黑体" w:hAnsi="黑体" w:eastAsia="黑体"/>
          <w:b/>
          <w:sz w:val="24"/>
        </w:rPr>
        <w:t>(签字)</w:t>
      </w:r>
    </w:p>
    <w:p>
      <w:pPr>
        <w:spacing w:line="440" w:lineRule="exact"/>
        <w:ind w:firstLine="2650" w:firstLineChars="1100"/>
        <w:rPr>
          <w:rFonts w:ascii="黑体" w:hAnsi="黑体" w:eastAsia="黑体"/>
          <w:b/>
          <w:sz w:val="24"/>
          <w:u w:val="single"/>
        </w:rPr>
      </w:pPr>
    </w:p>
    <w:p>
      <w:pPr>
        <w:spacing w:line="440" w:lineRule="exact"/>
        <w:ind w:firstLine="2650" w:firstLineChars="1100"/>
        <w:rPr>
          <w:rFonts w:ascii="黑体" w:hAnsi="黑体" w:eastAsia="黑体" w:cs="华文中宋"/>
          <w:b/>
          <w:sz w:val="24"/>
          <w:u w:val="single"/>
        </w:rPr>
      </w:pPr>
      <w:r>
        <w:rPr>
          <w:rFonts w:hint="eastAsia" w:ascii="黑体" w:hAnsi="黑体" w:eastAsia="黑体"/>
          <w:b/>
          <w:sz w:val="24"/>
        </w:rPr>
        <w:t xml:space="preserve">身份证号码： </w:t>
      </w:r>
      <w:r>
        <w:rPr>
          <w:rFonts w:hint="eastAsia" w:ascii="黑体" w:hAnsi="黑体" w:eastAsia="黑体"/>
          <w:b/>
          <w:sz w:val="24"/>
          <w:u w:val="single"/>
        </w:rPr>
        <w:t xml:space="preserve">               </w:t>
      </w:r>
      <w:r>
        <w:rPr>
          <w:rFonts w:hint="eastAsia" w:ascii="黑体" w:hAnsi="黑体" w:eastAsia="黑体" w:cs="华文中宋"/>
          <w:b/>
          <w:sz w:val="24"/>
          <w:u w:val="single"/>
        </w:rPr>
        <w:t></w:t>
      </w:r>
    </w:p>
    <w:p>
      <w:pPr>
        <w:spacing w:line="440" w:lineRule="exact"/>
        <w:ind w:firstLine="2650" w:firstLineChars="1100"/>
        <w:rPr>
          <w:rFonts w:ascii="黑体" w:hAnsi="黑体" w:eastAsia="黑体"/>
          <w:b/>
          <w:sz w:val="24"/>
          <w:u w:val="single"/>
        </w:rPr>
      </w:pPr>
    </w:p>
    <w:p>
      <w:pPr>
        <w:spacing w:line="440" w:lineRule="exact"/>
        <w:ind w:firstLine="2650" w:firstLineChars="1100"/>
        <w:rPr>
          <w:rFonts w:ascii="黑体" w:hAnsi="黑体" w:eastAsia="黑体"/>
          <w:b/>
          <w:sz w:val="24"/>
          <w:u w:val="single"/>
        </w:rPr>
      </w:pPr>
      <w:r>
        <w:rPr>
          <w:rFonts w:hint="eastAsia" w:ascii="黑体" w:hAnsi="黑体" w:eastAsia="黑体"/>
          <w:b/>
          <w:sz w:val="24"/>
        </w:rPr>
        <w:t>委托代理人：</w:t>
      </w:r>
      <w:r>
        <w:rPr>
          <w:rFonts w:hint="eastAsia" w:ascii="黑体" w:hAnsi="黑体" w:eastAsia="黑体"/>
          <w:b/>
          <w:sz w:val="24"/>
          <w:u w:val="single"/>
        </w:rPr>
        <w:t xml:space="preserve">                  </w:t>
      </w:r>
      <w:r>
        <w:rPr>
          <w:rFonts w:hint="eastAsia" w:ascii="黑体" w:hAnsi="黑体" w:eastAsia="黑体"/>
          <w:b/>
          <w:sz w:val="24"/>
        </w:rPr>
        <w:t>（签字）</w:t>
      </w:r>
    </w:p>
    <w:p>
      <w:pPr>
        <w:spacing w:line="440" w:lineRule="exact"/>
        <w:rPr>
          <w:rFonts w:ascii="黑体" w:hAnsi="黑体" w:eastAsia="黑体"/>
          <w:b/>
          <w:sz w:val="24"/>
        </w:rPr>
      </w:pPr>
      <w:r>
        <w:rPr>
          <w:rFonts w:hint="eastAsia" w:ascii="黑体" w:hAnsi="黑体" w:eastAsia="黑体"/>
          <w:b/>
          <w:sz w:val="24"/>
        </w:rPr>
        <w:t xml:space="preserve">                      </w:t>
      </w:r>
    </w:p>
    <w:p>
      <w:pPr>
        <w:spacing w:line="440" w:lineRule="exact"/>
        <w:ind w:firstLine="2530" w:firstLineChars="1050"/>
        <w:rPr>
          <w:rFonts w:ascii="黑体" w:hAnsi="黑体" w:eastAsia="黑体"/>
          <w:b/>
          <w:sz w:val="24"/>
        </w:rPr>
      </w:pPr>
      <w:r>
        <w:rPr>
          <w:rFonts w:hint="eastAsia" w:ascii="黑体" w:hAnsi="黑体" w:eastAsia="黑体"/>
          <w:b/>
          <w:sz w:val="24"/>
        </w:rPr>
        <w:t xml:space="preserve"> 身份证号码：</w:t>
      </w:r>
      <w:r>
        <w:rPr>
          <w:rFonts w:hint="eastAsia" w:ascii="黑体" w:hAnsi="黑体" w:eastAsia="黑体"/>
          <w:b/>
          <w:sz w:val="24"/>
          <w:u w:val="single"/>
        </w:rPr>
        <w:t xml:space="preserve">                </w:t>
      </w:r>
      <w:r>
        <w:rPr>
          <w:rFonts w:hint="eastAsia" w:ascii="黑体" w:hAnsi="黑体" w:eastAsia="黑体" w:cs="华文中宋"/>
          <w:b/>
          <w:sz w:val="24"/>
          <w:u w:val="single"/>
        </w:rPr>
        <w:t></w:t>
      </w:r>
    </w:p>
    <w:p>
      <w:pPr>
        <w:spacing w:line="440" w:lineRule="exact"/>
        <w:rPr>
          <w:rFonts w:ascii="黑体" w:hAnsi="黑体" w:eastAsia="黑体"/>
          <w:b/>
          <w:sz w:val="24"/>
        </w:rPr>
      </w:pPr>
    </w:p>
    <w:p>
      <w:pPr>
        <w:spacing w:line="440" w:lineRule="exact"/>
        <w:rPr>
          <w:rFonts w:ascii="黑体" w:hAnsi="黑体" w:eastAsia="黑体"/>
          <w:b/>
          <w:sz w:val="24"/>
        </w:rPr>
      </w:pPr>
      <w:r>
        <w:rPr>
          <w:rFonts w:ascii="黑体" w:hAnsi="黑体" w:eastAsia="黑体"/>
          <w:b/>
          <w:sz w:val="24"/>
        </w:rPr>
        <w:t xml:space="preserve"> </w:t>
      </w:r>
      <w:r>
        <w:rPr>
          <w:rFonts w:hint="eastAsia" w:ascii="黑体" w:hAnsi="黑体" w:eastAsia="黑体"/>
          <w:b/>
          <w:sz w:val="24"/>
        </w:rPr>
        <w:t xml:space="preserve">                             </w:t>
      </w:r>
      <w:r>
        <w:rPr>
          <w:rFonts w:hint="eastAsia" w:ascii="黑体" w:hAnsi="黑体" w:eastAsia="黑体"/>
          <w:b/>
          <w:sz w:val="24"/>
          <w:u w:val="single"/>
        </w:rPr>
        <w:t xml:space="preserve">            </w:t>
      </w:r>
      <w:r>
        <w:rPr>
          <w:rFonts w:hint="eastAsia" w:ascii="黑体" w:hAnsi="黑体" w:eastAsia="黑体"/>
          <w:b/>
          <w:sz w:val="24"/>
        </w:rPr>
        <w:t>年</w:t>
      </w:r>
      <w:r>
        <w:rPr>
          <w:rFonts w:hint="eastAsia" w:ascii="黑体" w:hAnsi="黑体" w:eastAsia="黑体"/>
          <w:b/>
          <w:sz w:val="24"/>
          <w:u w:val="single"/>
        </w:rPr>
        <w:t xml:space="preserve">    </w:t>
      </w:r>
      <w:r>
        <w:rPr>
          <w:rFonts w:hint="eastAsia" w:ascii="黑体" w:hAnsi="黑体" w:eastAsia="黑体"/>
          <w:b/>
          <w:sz w:val="24"/>
        </w:rPr>
        <w:t>月</w:t>
      </w:r>
      <w:r>
        <w:rPr>
          <w:rFonts w:hint="eastAsia" w:ascii="黑体" w:hAnsi="黑体" w:eastAsia="黑体"/>
          <w:b/>
          <w:sz w:val="24"/>
          <w:u w:val="single"/>
        </w:rPr>
        <w:t xml:space="preserve">    </w:t>
      </w:r>
      <w:r>
        <w:rPr>
          <w:rFonts w:hint="eastAsia" w:ascii="黑体" w:hAnsi="黑体" w:eastAsia="黑体"/>
          <w:b/>
          <w:sz w:val="24"/>
        </w:rPr>
        <w:t>日</w:t>
      </w:r>
    </w:p>
    <w:p>
      <w:pPr>
        <w:spacing w:line="440" w:lineRule="exact"/>
        <w:jc w:val="center"/>
        <w:rPr>
          <w:rFonts w:ascii="黑体" w:hAnsi="黑体" w:eastAsia="黑体"/>
          <w:b/>
          <w:sz w:val="24"/>
        </w:rPr>
      </w:pP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spacing w:line="440" w:lineRule="exact"/>
              <w:jc w:val="center"/>
              <w:rPr>
                <w:rFonts w:ascii="黑体" w:hAnsi="黑体" w:eastAsia="黑体"/>
                <w:b/>
                <w:sz w:val="24"/>
              </w:rPr>
            </w:pPr>
          </w:p>
          <w:p>
            <w:pPr>
              <w:spacing w:line="440" w:lineRule="exact"/>
              <w:jc w:val="center"/>
              <w:rPr>
                <w:rFonts w:ascii="黑体" w:hAnsi="黑体" w:eastAsia="黑体"/>
                <w:b/>
                <w:sz w:val="24"/>
              </w:rPr>
            </w:pPr>
          </w:p>
          <w:p>
            <w:pPr>
              <w:spacing w:line="440" w:lineRule="exact"/>
              <w:jc w:val="center"/>
              <w:rPr>
                <w:rFonts w:ascii="黑体" w:hAnsi="黑体" w:eastAsia="黑体"/>
                <w:b/>
                <w:sz w:val="24"/>
              </w:rPr>
            </w:pPr>
            <w:r>
              <w:rPr>
                <w:rFonts w:hint="eastAsia" w:ascii="黑体" w:hAnsi="黑体" w:eastAsia="黑体"/>
                <w:b/>
                <w:sz w:val="24"/>
              </w:rPr>
              <w:t>委托代理人身份证复印件（正、反面）</w:t>
            </w:r>
          </w:p>
          <w:p>
            <w:pPr>
              <w:spacing w:line="440" w:lineRule="exact"/>
              <w:ind w:firstLine="3494" w:firstLineChars="1450"/>
              <w:rPr>
                <w:rFonts w:ascii="黑体" w:hAnsi="黑体" w:eastAsia="黑体"/>
                <w:b/>
                <w:sz w:val="24"/>
              </w:rPr>
            </w:pPr>
            <w:r>
              <w:rPr>
                <w:rFonts w:hint="eastAsia" w:ascii="黑体" w:hAnsi="黑体" w:eastAsia="黑体"/>
                <w:b/>
                <w:sz w:val="24"/>
              </w:rPr>
              <w:t xml:space="preserve">        粘贴处</w:t>
            </w:r>
          </w:p>
          <w:p>
            <w:pPr>
              <w:spacing w:line="440" w:lineRule="exact"/>
              <w:jc w:val="center"/>
              <w:rPr>
                <w:rFonts w:ascii="黑体" w:hAnsi="黑体" w:eastAsia="黑体"/>
                <w:b/>
                <w:sz w:val="24"/>
              </w:rPr>
            </w:pPr>
          </w:p>
          <w:p>
            <w:pPr>
              <w:spacing w:line="440" w:lineRule="exact"/>
              <w:jc w:val="center"/>
              <w:rPr>
                <w:rFonts w:ascii="黑体" w:hAnsi="黑体" w:eastAsia="黑体"/>
                <w:b/>
                <w:sz w:val="24"/>
              </w:rPr>
            </w:pPr>
          </w:p>
        </w:tc>
      </w:tr>
    </w:tbl>
    <w:p>
      <w:pPr>
        <w:pStyle w:val="2"/>
        <w:spacing w:line="480" w:lineRule="exact"/>
        <w:rPr>
          <w:rFonts w:ascii="黑体" w:hAnsi="黑体"/>
          <w:b/>
          <w:bCs/>
          <w:sz w:val="36"/>
          <w:szCs w:val="36"/>
          <w:lang w:bidi="ar-SA"/>
        </w:rPr>
      </w:pPr>
      <w:r>
        <w:rPr>
          <w:rFonts w:hint="eastAsia" w:ascii="黑体" w:hAnsi="黑体"/>
          <w:b/>
          <w:bCs/>
          <w:sz w:val="36"/>
          <w:szCs w:val="36"/>
          <w:lang w:bidi="ar-SA"/>
        </w:rPr>
        <w:br w:type="page"/>
      </w:r>
    </w:p>
    <w:p>
      <w:pPr>
        <w:pStyle w:val="2"/>
        <w:spacing w:line="480" w:lineRule="exact"/>
        <w:jc w:val="center"/>
        <w:rPr>
          <w:rFonts w:ascii="黑体" w:hAnsi="黑体"/>
          <w:b/>
          <w:bCs/>
          <w:sz w:val="28"/>
          <w:szCs w:val="28"/>
        </w:rPr>
      </w:pPr>
      <w:bookmarkStart w:id="234" w:name="_Toc9394_WPSOffice_Level1"/>
      <w:r>
        <w:rPr>
          <w:rFonts w:hint="eastAsia" w:ascii="黑体" w:hAnsi="黑体"/>
          <w:b/>
          <w:bCs/>
          <w:sz w:val="28"/>
          <w:szCs w:val="28"/>
          <w:highlight w:val="lightGray"/>
        </w:rPr>
        <w:t>（五）</w:t>
      </w:r>
      <w:r>
        <w:rPr>
          <w:rFonts w:hint="eastAsia" w:ascii="黑体" w:hAnsi="黑体"/>
          <w:b/>
          <w:bCs/>
          <w:sz w:val="28"/>
          <w:szCs w:val="28"/>
        </w:rPr>
        <w:t>投标人基本情况表</w:t>
      </w:r>
      <w:bookmarkEnd w:id="234"/>
    </w:p>
    <w:tbl>
      <w:tblPr>
        <w:tblStyle w:val="17"/>
        <w:tblW w:w="9420" w:type="dxa"/>
        <w:tblInd w:w="0" w:type="dxa"/>
        <w:tblLayout w:type="fixed"/>
        <w:tblCellMar>
          <w:top w:w="0" w:type="dxa"/>
          <w:left w:w="0" w:type="dxa"/>
          <w:bottom w:w="0" w:type="dxa"/>
          <w:right w:w="0" w:type="dxa"/>
        </w:tblCellMar>
      </w:tblPr>
      <w:tblGrid>
        <w:gridCol w:w="2297"/>
        <w:gridCol w:w="1012"/>
        <w:gridCol w:w="2528"/>
        <w:gridCol w:w="1075"/>
        <w:gridCol w:w="127"/>
        <w:gridCol w:w="2381"/>
      </w:tblGrid>
      <w:tr>
        <w:tblPrEx>
          <w:tblCellMar>
            <w:top w:w="0" w:type="dxa"/>
            <w:left w:w="0" w:type="dxa"/>
            <w:bottom w:w="0" w:type="dxa"/>
            <w:right w:w="0" w:type="dxa"/>
          </w:tblCellMar>
        </w:tblPrEx>
        <w:trPr>
          <w:trHeight w:val="690" w:hRule="atLeast"/>
        </w:trPr>
        <w:tc>
          <w:tcPr>
            <w:tcW w:w="2297" w:type="dxa"/>
            <w:tcBorders>
              <w:top w:val="single" w:color="auto" w:sz="4" w:space="0"/>
              <w:left w:val="single" w:color="auto" w:sz="8"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投标人名称</w:t>
            </w:r>
          </w:p>
        </w:tc>
        <w:tc>
          <w:tcPr>
            <w:tcW w:w="7123" w:type="dxa"/>
            <w:gridSpan w:val="5"/>
            <w:tcBorders>
              <w:top w:val="single" w:color="auto" w:sz="4" w:space="0"/>
              <w:bottom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720" w:hRule="atLeast"/>
        </w:trPr>
        <w:tc>
          <w:tcPr>
            <w:tcW w:w="2297" w:type="dxa"/>
            <w:tcBorders>
              <w:top w:val="single" w:color="auto" w:sz="4" w:space="0"/>
              <w:left w:val="single" w:color="auto" w:sz="8"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注册资金</w:t>
            </w:r>
          </w:p>
        </w:tc>
        <w:tc>
          <w:tcPr>
            <w:tcW w:w="3540" w:type="dxa"/>
            <w:gridSpan w:val="2"/>
            <w:tcBorders>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c>
          <w:tcPr>
            <w:tcW w:w="1202" w:type="dxa"/>
            <w:gridSpan w:val="2"/>
            <w:tcBorders>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成立时间</w:t>
            </w:r>
          </w:p>
        </w:tc>
        <w:tc>
          <w:tcPr>
            <w:tcW w:w="2381" w:type="dxa"/>
            <w:tcBorders>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565" w:hRule="atLeast"/>
        </w:trPr>
        <w:tc>
          <w:tcPr>
            <w:tcW w:w="2297" w:type="dxa"/>
            <w:tcBorders>
              <w:top w:val="single" w:color="auto" w:sz="4" w:space="0"/>
              <w:left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注册地址</w:t>
            </w:r>
          </w:p>
        </w:tc>
        <w:tc>
          <w:tcPr>
            <w:tcW w:w="7123" w:type="dxa"/>
            <w:gridSpan w:val="5"/>
            <w:tcBorders>
              <w:top w:val="single" w:color="auto" w:sz="4" w:space="0"/>
              <w:bottom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720" w:hRule="atLeast"/>
        </w:trPr>
        <w:tc>
          <w:tcPr>
            <w:tcW w:w="2297" w:type="dxa"/>
            <w:tcBorders>
              <w:top w:val="single" w:color="auto" w:sz="4" w:space="0"/>
              <w:left w:val="single" w:color="auto" w:sz="8"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邮政编码</w:t>
            </w:r>
          </w:p>
        </w:tc>
        <w:tc>
          <w:tcPr>
            <w:tcW w:w="3540" w:type="dxa"/>
            <w:gridSpan w:val="2"/>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c>
          <w:tcPr>
            <w:tcW w:w="1202" w:type="dxa"/>
            <w:gridSpan w:val="2"/>
            <w:tcBorders>
              <w:bottom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员工总数</w:t>
            </w:r>
          </w:p>
        </w:tc>
        <w:tc>
          <w:tcPr>
            <w:tcW w:w="2381" w:type="dxa"/>
            <w:tcBorders>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555" w:hRule="atLeast"/>
        </w:trPr>
        <w:tc>
          <w:tcPr>
            <w:tcW w:w="2297" w:type="dxa"/>
            <w:vMerge w:val="restart"/>
            <w:tcBorders>
              <w:top w:val="single" w:color="auto" w:sz="4" w:space="0"/>
              <w:left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联系方式</w:t>
            </w:r>
          </w:p>
        </w:tc>
        <w:tc>
          <w:tcPr>
            <w:tcW w:w="1012" w:type="dxa"/>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联系人</w:t>
            </w:r>
          </w:p>
        </w:tc>
        <w:tc>
          <w:tcPr>
            <w:tcW w:w="2528" w:type="dxa"/>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c>
          <w:tcPr>
            <w:tcW w:w="1202" w:type="dxa"/>
            <w:gridSpan w:val="2"/>
            <w:tcBorders>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电话</w:t>
            </w:r>
          </w:p>
        </w:tc>
        <w:tc>
          <w:tcPr>
            <w:tcW w:w="2381" w:type="dxa"/>
            <w:tcBorders>
              <w:top w:val="single" w:color="auto" w:sz="4" w:space="0"/>
              <w:bottom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563" w:hRule="atLeast"/>
        </w:trPr>
        <w:tc>
          <w:tcPr>
            <w:tcW w:w="2297" w:type="dxa"/>
            <w:vMerge w:val="continue"/>
            <w:tcBorders>
              <w:left w:val="single" w:color="auto" w:sz="8"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c>
          <w:tcPr>
            <w:tcW w:w="1012" w:type="dxa"/>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网址</w:t>
            </w:r>
          </w:p>
        </w:tc>
        <w:tc>
          <w:tcPr>
            <w:tcW w:w="2528" w:type="dxa"/>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c>
          <w:tcPr>
            <w:tcW w:w="1202" w:type="dxa"/>
            <w:gridSpan w:val="2"/>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传真</w:t>
            </w:r>
          </w:p>
        </w:tc>
        <w:tc>
          <w:tcPr>
            <w:tcW w:w="2381" w:type="dxa"/>
            <w:tcBorders>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852" w:hRule="atLeast"/>
        </w:trPr>
        <w:tc>
          <w:tcPr>
            <w:tcW w:w="2297" w:type="dxa"/>
            <w:tcBorders>
              <w:top w:val="single" w:color="auto" w:sz="4" w:space="0"/>
              <w:left w:val="single" w:color="auto" w:sz="8"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法定代表人</w:t>
            </w:r>
          </w:p>
          <w:p>
            <w:pPr>
              <w:spacing w:line="0" w:lineRule="atLeast"/>
              <w:jc w:val="center"/>
              <w:rPr>
                <w:rFonts w:ascii="黑体" w:hAnsi="黑体" w:eastAsia="黑体" w:cs="宋体"/>
                <w:b/>
                <w:sz w:val="24"/>
              </w:rPr>
            </w:pPr>
            <w:r>
              <w:rPr>
                <w:rFonts w:hint="eastAsia" w:ascii="黑体" w:hAnsi="黑体" w:eastAsia="黑体" w:cs="宋体"/>
                <w:b/>
                <w:sz w:val="24"/>
              </w:rPr>
              <w:t>（单位负责人）</w:t>
            </w:r>
          </w:p>
        </w:tc>
        <w:tc>
          <w:tcPr>
            <w:tcW w:w="1012" w:type="dxa"/>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姓名</w:t>
            </w:r>
          </w:p>
        </w:tc>
        <w:tc>
          <w:tcPr>
            <w:tcW w:w="2528" w:type="dxa"/>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c>
          <w:tcPr>
            <w:tcW w:w="1202" w:type="dxa"/>
            <w:gridSpan w:val="2"/>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电话</w:t>
            </w:r>
          </w:p>
        </w:tc>
        <w:tc>
          <w:tcPr>
            <w:tcW w:w="2381" w:type="dxa"/>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535" w:hRule="atLeast"/>
        </w:trPr>
        <w:tc>
          <w:tcPr>
            <w:tcW w:w="2297" w:type="dxa"/>
            <w:tcBorders>
              <w:top w:val="single" w:color="auto" w:sz="4" w:space="0"/>
              <w:left w:val="single" w:color="auto" w:sz="8"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基本账户开户银行</w:t>
            </w:r>
          </w:p>
        </w:tc>
        <w:tc>
          <w:tcPr>
            <w:tcW w:w="7123" w:type="dxa"/>
            <w:gridSpan w:val="5"/>
            <w:tcBorders>
              <w:top w:val="single" w:color="auto" w:sz="4" w:space="0"/>
              <w:bottom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555" w:hRule="atLeast"/>
        </w:trPr>
        <w:tc>
          <w:tcPr>
            <w:tcW w:w="2297" w:type="dxa"/>
            <w:tcBorders>
              <w:top w:val="single" w:color="auto" w:sz="4" w:space="0"/>
              <w:left w:val="single" w:color="auto" w:sz="8"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基本账户银行账号</w:t>
            </w:r>
          </w:p>
        </w:tc>
        <w:tc>
          <w:tcPr>
            <w:tcW w:w="7123" w:type="dxa"/>
            <w:gridSpan w:val="5"/>
            <w:tcBorders>
              <w:bottom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575" w:hRule="atLeast"/>
        </w:trPr>
        <w:tc>
          <w:tcPr>
            <w:tcW w:w="2297" w:type="dxa"/>
            <w:tcBorders>
              <w:top w:val="single" w:color="auto" w:sz="4" w:space="0"/>
              <w:left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r>
              <w:rPr>
                <w:rFonts w:hint="eastAsia" w:ascii="黑体" w:hAnsi="黑体" w:eastAsia="黑体" w:cs="宋体"/>
                <w:b/>
                <w:sz w:val="24"/>
              </w:rPr>
              <w:t>近三年营业额</w:t>
            </w:r>
          </w:p>
        </w:tc>
        <w:tc>
          <w:tcPr>
            <w:tcW w:w="7123" w:type="dxa"/>
            <w:gridSpan w:val="5"/>
            <w:tcBorders>
              <w:bottom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2320" w:hRule="atLeast"/>
        </w:trPr>
        <w:tc>
          <w:tcPr>
            <w:tcW w:w="2297" w:type="dxa"/>
            <w:tcBorders>
              <w:top w:val="single" w:color="auto" w:sz="4" w:space="0"/>
              <w:left w:val="single" w:color="auto" w:sz="8" w:space="0"/>
              <w:bottom w:val="single" w:color="auto" w:sz="8" w:space="0"/>
              <w:right w:val="single" w:color="auto" w:sz="8" w:space="0"/>
            </w:tcBorders>
            <w:shd w:val="clear" w:color="auto" w:fill="auto"/>
            <w:vAlign w:val="center"/>
          </w:tcPr>
          <w:p>
            <w:pPr>
              <w:spacing w:line="239" w:lineRule="exact"/>
              <w:jc w:val="center"/>
              <w:rPr>
                <w:rFonts w:ascii="黑体" w:hAnsi="黑体" w:eastAsia="黑体" w:cs="宋体"/>
                <w:b/>
                <w:sz w:val="24"/>
              </w:rPr>
            </w:pPr>
            <w:r>
              <w:rPr>
                <w:rFonts w:hint="eastAsia" w:ascii="黑体" w:hAnsi="黑体" w:eastAsia="黑体" w:cs="宋体"/>
                <w:b/>
                <w:sz w:val="24"/>
              </w:rPr>
              <w:t>投标人关联企业情况</w:t>
            </w:r>
          </w:p>
          <w:p>
            <w:pPr>
              <w:spacing w:line="239" w:lineRule="exact"/>
              <w:ind w:right="13"/>
              <w:jc w:val="center"/>
              <w:rPr>
                <w:rFonts w:ascii="黑体" w:hAnsi="黑体" w:eastAsia="黑体" w:cs="宋体"/>
                <w:b/>
                <w:sz w:val="24"/>
              </w:rPr>
            </w:pPr>
            <w:r>
              <w:rPr>
                <w:rFonts w:hint="eastAsia" w:ascii="黑体" w:hAnsi="黑体" w:eastAsia="黑体" w:cs="宋体"/>
                <w:b/>
                <w:sz w:val="24"/>
              </w:rPr>
              <w:t>（包括但不限于与投</w:t>
            </w:r>
          </w:p>
          <w:p>
            <w:pPr>
              <w:spacing w:line="239" w:lineRule="exact"/>
              <w:jc w:val="center"/>
              <w:rPr>
                <w:rFonts w:ascii="黑体" w:hAnsi="黑体" w:eastAsia="黑体" w:cs="宋体"/>
                <w:b/>
                <w:sz w:val="24"/>
              </w:rPr>
            </w:pPr>
            <w:r>
              <w:rPr>
                <w:rFonts w:hint="eastAsia" w:ascii="黑体" w:hAnsi="黑体" w:eastAsia="黑体" w:cs="宋体"/>
                <w:b/>
                <w:sz w:val="24"/>
              </w:rPr>
              <w:t>标人法定代表人（单</w:t>
            </w:r>
          </w:p>
          <w:p>
            <w:pPr>
              <w:spacing w:line="0" w:lineRule="atLeast"/>
              <w:jc w:val="center"/>
              <w:rPr>
                <w:rFonts w:ascii="黑体" w:hAnsi="黑体" w:eastAsia="黑体" w:cs="宋体"/>
                <w:b/>
                <w:sz w:val="24"/>
              </w:rPr>
            </w:pPr>
            <w:r>
              <w:rPr>
                <w:rFonts w:hint="eastAsia" w:ascii="黑体" w:hAnsi="黑体" w:eastAsia="黑体" w:cs="宋体"/>
                <w:b/>
                <w:sz w:val="24"/>
              </w:rPr>
              <w:t>位负责人）为同一人</w:t>
            </w:r>
          </w:p>
          <w:p>
            <w:pPr>
              <w:spacing w:line="0" w:lineRule="atLeast"/>
              <w:jc w:val="center"/>
              <w:rPr>
                <w:rFonts w:ascii="黑体" w:hAnsi="黑体" w:eastAsia="黑体" w:cs="宋体"/>
                <w:b/>
                <w:sz w:val="24"/>
              </w:rPr>
            </w:pPr>
            <w:r>
              <w:rPr>
                <w:rFonts w:hint="eastAsia" w:ascii="黑体" w:hAnsi="黑体" w:eastAsia="黑体" w:cs="宋体"/>
                <w:b/>
                <w:sz w:val="24"/>
              </w:rPr>
              <w:t>或者存在控股、管理</w:t>
            </w:r>
          </w:p>
          <w:p>
            <w:pPr>
              <w:spacing w:line="0" w:lineRule="atLeast"/>
              <w:jc w:val="center"/>
              <w:rPr>
                <w:rFonts w:ascii="黑体" w:hAnsi="黑体" w:eastAsia="黑体" w:cs="宋体"/>
                <w:b/>
                <w:w w:val="99"/>
                <w:sz w:val="24"/>
              </w:rPr>
            </w:pPr>
            <w:r>
              <w:rPr>
                <w:rFonts w:hint="eastAsia" w:ascii="黑体" w:hAnsi="黑体" w:eastAsia="黑体" w:cs="宋体"/>
                <w:b/>
                <w:sz w:val="24"/>
              </w:rPr>
              <w:t>关系的不同单位</w:t>
            </w:r>
            <w:r>
              <w:rPr>
                <w:rFonts w:hint="eastAsia" w:ascii="黑体" w:hAnsi="黑体" w:eastAsia="黑体" w:cs="宋体"/>
                <w:b/>
                <w:w w:val="99"/>
                <w:sz w:val="24"/>
              </w:rPr>
              <w:t>）</w:t>
            </w:r>
          </w:p>
        </w:tc>
        <w:tc>
          <w:tcPr>
            <w:tcW w:w="7123" w:type="dxa"/>
            <w:gridSpan w:val="5"/>
            <w:tcBorders>
              <w:top w:val="single" w:color="auto" w:sz="4"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1234" w:hRule="atLeast"/>
        </w:trPr>
        <w:tc>
          <w:tcPr>
            <w:tcW w:w="2297" w:type="dxa"/>
            <w:tcBorders>
              <w:top w:val="single" w:color="auto" w:sz="4" w:space="0"/>
              <w:left w:val="single" w:color="auto" w:sz="8" w:space="0"/>
              <w:bottom w:val="single" w:color="auto" w:sz="4" w:space="0"/>
              <w:right w:val="single" w:color="auto" w:sz="8" w:space="0"/>
            </w:tcBorders>
            <w:shd w:val="clear" w:color="auto" w:fill="auto"/>
            <w:vAlign w:val="center"/>
          </w:tcPr>
          <w:p>
            <w:pPr>
              <w:spacing w:line="0" w:lineRule="atLeast"/>
              <w:jc w:val="center"/>
              <w:rPr>
                <w:rFonts w:ascii="黑体" w:hAnsi="黑体" w:eastAsia="黑体" w:cs="宋体"/>
                <w:b/>
                <w:w w:val="99"/>
                <w:sz w:val="24"/>
              </w:rPr>
            </w:pPr>
            <w:r>
              <w:rPr>
                <w:rFonts w:hint="eastAsia" w:ascii="黑体" w:hAnsi="黑体" w:eastAsia="黑体" w:cs="宋体"/>
                <w:b/>
                <w:w w:val="99"/>
                <w:sz w:val="24"/>
              </w:rPr>
              <w:t>危险经营许可证及危险运输许可证</w:t>
            </w:r>
          </w:p>
        </w:tc>
        <w:tc>
          <w:tcPr>
            <w:tcW w:w="7123" w:type="dxa"/>
            <w:gridSpan w:val="5"/>
            <w:tcBorders>
              <w:bottom w:val="single" w:color="auto" w:sz="8" w:space="0"/>
              <w:right w:val="single" w:color="auto" w:sz="8" w:space="0"/>
            </w:tcBorders>
            <w:shd w:val="clear" w:color="auto" w:fill="auto"/>
            <w:vAlign w:val="center"/>
          </w:tcPr>
          <w:p>
            <w:pPr>
              <w:spacing w:line="0" w:lineRule="atLeast"/>
              <w:jc w:val="center"/>
              <w:rPr>
                <w:rFonts w:ascii="黑体" w:hAnsi="黑体" w:eastAsia="黑体" w:cs="宋体"/>
                <w:b/>
                <w:sz w:val="24"/>
              </w:rPr>
            </w:pPr>
          </w:p>
        </w:tc>
      </w:tr>
      <w:tr>
        <w:tblPrEx>
          <w:tblCellMar>
            <w:top w:w="0" w:type="dxa"/>
            <w:left w:w="0" w:type="dxa"/>
            <w:bottom w:w="0" w:type="dxa"/>
            <w:right w:w="0" w:type="dxa"/>
          </w:tblCellMar>
        </w:tblPrEx>
        <w:trPr>
          <w:trHeight w:val="420" w:hRule="atLeast"/>
        </w:trPr>
        <w:tc>
          <w:tcPr>
            <w:tcW w:w="2297" w:type="dxa"/>
            <w:tcBorders>
              <w:top w:val="single" w:color="auto" w:sz="4" w:space="0"/>
              <w:left w:val="single" w:color="auto" w:sz="8" w:space="0"/>
              <w:bottom w:val="single" w:color="auto" w:sz="4" w:space="0"/>
              <w:right w:val="single" w:color="auto" w:sz="8" w:space="0"/>
            </w:tcBorders>
            <w:shd w:val="clear" w:color="auto" w:fill="auto"/>
            <w:vAlign w:val="bottom"/>
          </w:tcPr>
          <w:p>
            <w:pPr>
              <w:spacing w:line="0" w:lineRule="atLeast"/>
              <w:jc w:val="center"/>
              <w:rPr>
                <w:rFonts w:ascii="黑体" w:hAnsi="黑体" w:eastAsia="黑体" w:cs="宋体"/>
                <w:b/>
                <w:w w:val="99"/>
                <w:sz w:val="24"/>
              </w:rPr>
            </w:pPr>
            <w:r>
              <w:rPr>
                <w:rFonts w:hint="eastAsia" w:ascii="黑体" w:hAnsi="黑体" w:eastAsia="黑体" w:cs="宋体"/>
                <w:b/>
                <w:sz w:val="24"/>
              </w:rPr>
              <w:t>备注</w:t>
            </w:r>
          </w:p>
        </w:tc>
        <w:tc>
          <w:tcPr>
            <w:tcW w:w="1012" w:type="dxa"/>
            <w:tcBorders>
              <w:bottom w:val="single" w:color="auto" w:sz="4" w:space="0"/>
            </w:tcBorders>
            <w:shd w:val="clear" w:color="auto" w:fill="auto"/>
            <w:vAlign w:val="bottom"/>
          </w:tcPr>
          <w:p>
            <w:pPr>
              <w:spacing w:line="0" w:lineRule="atLeast"/>
              <w:rPr>
                <w:rFonts w:ascii="黑体" w:hAnsi="黑体" w:eastAsia="黑体" w:cs="宋体"/>
                <w:b/>
                <w:sz w:val="24"/>
              </w:rPr>
            </w:pPr>
          </w:p>
        </w:tc>
        <w:tc>
          <w:tcPr>
            <w:tcW w:w="2528" w:type="dxa"/>
            <w:tcBorders>
              <w:bottom w:val="single" w:color="auto" w:sz="4" w:space="0"/>
            </w:tcBorders>
            <w:shd w:val="clear" w:color="auto" w:fill="auto"/>
            <w:vAlign w:val="bottom"/>
          </w:tcPr>
          <w:p>
            <w:pPr>
              <w:spacing w:line="0" w:lineRule="atLeast"/>
              <w:rPr>
                <w:rFonts w:ascii="黑体" w:hAnsi="黑体" w:eastAsia="黑体" w:cs="宋体"/>
                <w:b/>
                <w:sz w:val="24"/>
              </w:rPr>
            </w:pPr>
          </w:p>
        </w:tc>
        <w:tc>
          <w:tcPr>
            <w:tcW w:w="1075" w:type="dxa"/>
            <w:tcBorders>
              <w:bottom w:val="single" w:color="auto" w:sz="4" w:space="0"/>
            </w:tcBorders>
            <w:shd w:val="clear" w:color="auto" w:fill="auto"/>
            <w:vAlign w:val="bottom"/>
          </w:tcPr>
          <w:p>
            <w:pPr>
              <w:spacing w:line="0" w:lineRule="atLeast"/>
              <w:rPr>
                <w:rFonts w:ascii="黑体" w:hAnsi="黑体" w:eastAsia="黑体" w:cs="宋体"/>
                <w:b/>
                <w:sz w:val="24"/>
              </w:rPr>
            </w:pPr>
          </w:p>
        </w:tc>
        <w:tc>
          <w:tcPr>
            <w:tcW w:w="127" w:type="dxa"/>
            <w:tcBorders>
              <w:bottom w:val="single" w:color="auto" w:sz="4" w:space="0"/>
            </w:tcBorders>
            <w:shd w:val="clear" w:color="auto" w:fill="auto"/>
            <w:vAlign w:val="bottom"/>
          </w:tcPr>
          <w:p>
            <w:pPr>
              <w:spacing w:line="0" w:lineRule="atLeast"/>
              <w:rPr>
                <w:rFonts w:ascii="黑体" w:hAnsi="黑体" w:eastAsia="黑体" w:cs="宋体"/>
                <w:b/>
                <w:sz w:val="24"/>
              </w:rPr>
            </w:pPr>
          </w:p>
        </w:tc>
        <w:tc>
          <w:tcPr>
            <w:tcW w:w="2381" w:type="dxa"/>
            <w:tcBorders>
              <w:bottom w:val="single" w:color="auto" w:sz="4" w:space="0"/>
              <w:right w:val="single" w:color="auto" w:sz="8" w:space="0"/>
            </w:tcBorders>
            <w:shd w:val="clear" w:color="auto" w:fill="auto"/>
            <w:vAlign w:val="bottom"/>
          </w:tcPr>
          <w:p>
            <w:pPr>
              <w:spacing w:line="0" w:lineRule="atLeast"/>
              <w:rPr>
                <w:rFonts w:ascii="黑体" w:hAnsi="黑体" w:eastAsia="黑体" w:cs="宋体"/>
                <w:b/>
                <w:sz w:val="24"/>
              </w:rPr>
            </w:pPr>
          </w:p>
        </w:tc>
      </w:tr>
    </w:tbl>
    <w:p>
      <w:pPr>
        <w:pStyle w:val="2"/>
        <w:spacing w:line="480" w:lineRule="exact"/>
        <w:rPr>
          <w:rFonts w:ascii="黑体" w:hAnsi="黑体" w:cs="宋体"/>
          <w:b/>
          <w:bCs/>
          <w:sz w:val="24"/>
          <w:szCs w:val="24"/>
        </w:rPr>
      </w:pPr>
      <w:r>
        <w:rPr>
          <w:rFonts w:hint="eastAsia" w:ascii="黑体" w:hAnsi="黑体" w:cs="宋体"/>
          <w:b/>
          <w:bCs/>
          <w:sz w:val="24"/>
          <w:szCs w:val="24"/>
        </w:rPr>
        <w:t>（</w:t>
      </w:r>
      <w:r>
        <w:rPr>
          <w:rFonts w:hint="eastAsia" w:ascii="黑体" w:hAnsi="黑体" w:cs="宋体"/>
          <w:b/>
          <w:sz w:val="24"/>
          <w:szCs w:val="24"/>
        </w:rPr>
        <w:t>注：后附营业执照、开户行许可证、通过的各种资质证书等。</w:t>
      </w:r>
      <w:r>
        <w:rPr>
          <w:rFonts w:hint="eastAsia" w:ascii="黑体" w:hAnsi="黑体" w:cs="宋体"/>
          <w:b/>
          <w:bCs/>
          <w:sz w:val="24"/>
          <w:szCs w:val="24"/>
        </w:rPr>
        <w:t>）</w:t>
      </w:r>
    </w:p>
    <w:p>
      <w:pPr>
        <w:pStyle w:val="2"/>
        <w:spacing w:line="480" w:lineRule="exact"/>
        <w:rPr>
          <w:rFonts w:ascii="黑体" w:hAnsi="黑体" w:cs="宋体"/>
          <w:b/>
          <w:bCs/>
          <w:sz w:val="24"/>
          <w:szCs w:val="24"/>
        </w:rPr>
      </w:pPr>
      <w:r>
        <w:rPr>
          <w:rFonts w:hint="eastAsia" w:ascii="黑体" w:hAnsi="黑体" w:cs="宋体"/>
          <w:b/>
          <w:bCs/>
          <w:sz w:val="24"/>
          <w:szCs w:val="24"/>
        </w:rPr>
        <w:br w:type="page"/>
      </w:r>
    </w:p>
    <w:p>
      <w:pPr>
        <w:pStyle w:val="2"/>
        <w:numPr>
          <w:ilvl w:val="0"/>
          <w:numId w:val="5"/>
        </w:numPr>
        <w:spacing w:line="480" w:lineRule="exact"/>
        <w:jc w:val="center"/>
        <w:rPr>
          <w:rFonts w:ascii="黑体" w:hAnsi="黑体"/>
          <w:b/>
          <w:bCs/>
          <w:sz w:val="28"/>
          <w:szCs w:val="28"/>
        </w:rPr>
      </w:pPr>
      <w:bookmarkStart w:id="235" w:name="_Toc9743_WPSOffice_Level1"/>
      <w:r>
        <w:rPr>
          <w:rFonts w:hint="eastAsia" w:ascii="黑体" w:hAnsi="黑体"/>
          <w:b/>
          <w:bCs/>
          <w:sz w:val="28"/>
          <w:szCs w:val="28"/>
        </w:rPr>
        <w:t>近3年产品应用业绩情况表</w:t>
      </w:r>
      <w:bookmarkEnd w:id="235"/>
    </w:p>
    <w:tbl>
      <w:tblPr>
        <w:tblStyle w:val="18"/>
        <w:tblW w:w="8970"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bCs/>
                <w:color w:val="000000"/>
                <w:kern w:val="0"/>
                <w:szCs w:val="21"/>
              </w:rPr>
            </w:pPr>
            <w:r>
              <w:rPr>
                <w:rFonts w:ascii="黑体" w:hAnsi="黑体" w:eastAsia="黑体"/>
                <w:b/>
                <w:bCs/>
                <w:color w:val="000000"/>
                <w:kern w:val="0"/>
                <w:szCs w:val="21"/>
              </w:rPr>
              <w:t>项目名称</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bCs/>
                <w:color w:val="000000"/>
                <w:kern w:val="0"/>
                <w:szCs w:val="21"/>
              </w:rPr>
            </w:pPr>
            <w:r>
              <w:rPr>
                <w:rFonts w:ascii="黑体" w:hAnsi="黑体" w:eastAsia="黑体"/>
                <w:b/>
                <w:bCs/>
                <w:color w:val="000000"/>
                <w:kern w:val="0"/>
                <w:szCs w:val="21"/>
              </w:rPr>
              <w:t>项目所在地</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bCs/>
                <w:color w:val="000000"/>
                <w:kern w:val="0"/>
                <w:szCs w:val="21"/>
              </w:rPr>
            </w:pPr>
            <w:r>
              <w:rPr>
                <w:rFonts w:hint="eastAsia" w:ascii="黑体" w:hAnsi="黑体" w:eastAsia="黑体"/>
                <w:b/>
                <w:bCs/>
                <w:color w:val="000000"/>
                <w:kern w:val="0"/>
                <w:szCs w:val="21"/>
              </w:rPr>
              <w:t>需方</w:t>
            </w:r>
            <w:r>
              <w:rPr>
                <w:rFonts w:ascii="黑体" w:hAnsi="黑体" w:eastAsia="黑体"/>
                <w:b/>
                <w:bCs/>
                <w:color w:val="000000"/>
                <w:kern w:val="0"/>
                <w:szCs w:val="21"/>
              </w:rPr>
              <w:t>名称</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r>
              <w:rPr>
                <w:rFonts w:hint="eastAsia" w:ascii="黑体" w:hAnsi="黑体" w:eastAsia="黑体"/>
                <w:b/>
                <w:bCs/>
                <w:color w:val="000000"/>
                <w:kern w:val="0"/>
                <w:szCs w:val="21"/>
              </w:rPr>
              <w:t>需方</w:t>
            </w:r>
            <w:r>
              <w:rPr>
                <w:rFonts w:ascii="黑体" w:hAnsi="黑体" w:eastAsia="黑体"/>
                <w:b/>
                <w:bCs/>
                <w:color w:val="000000"/>
                <w:kern w:val="0"/>
                <w:szCs w:val="21"/>
              </w:rPr>
              <w:t>地址</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r>
              <w:rPr>
                <w:rFonts w:hint="eastAsia" w:ascii="黑体" w:hAnsi="黑体" w:eastAsia="黑体"/>
                <w:b/>
                <w:bCs/>
                <w:color w:val="000000"/>
                <w:kern w:val="0"/>
                <w:szCs w:val="21"/>
              </w:rPr>
              <w:t>需方联系人</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r>
              <w:rPr>
                <w:rFonts w:ascii="黑体" w:hAnsi="黑体" w:eastAsia="黑体"/>
                <w:b/>
                <w:bCs/>
                <w:color w:val="000000"/>
                <w:kern w:val="0"/>
                <w:szCs w:val="21"/>
              </w:rPr>
              <w:t>合同价格</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r>
              <w:rPr>
                <w:rFonts w:ascii="黑体" w:hAnsi="黑体" w:eastAsia="黑体"/>
                <w:b/>
                <w:bCs/>
                <w:color w:val="000000"/>
                <w:kern w:val="0"/>
                <w:szCs w:val="21"/>
              </w:rPr>
              <w:t>承担的工作</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r>
              <w:rPr>
                <w:rFonts w:hint="eastAsia" w:ascii="黑体" w:hAnsi="黑体" w:eastAsia="黑体"/>
                <w:b/>
                <w:bCs/>
                <w:color w:val="000000"/>
                <w:kern w:val="0"/>
                <w:szCs w:val="21"/>
              </w:rPr>
              <w:t>产品</w:t>
            </w:r>
            <w:r>
              <w:rPr>
                <w:rFonts w:ascii="黑体" w:hAnsi="黑体" w:eastAsia="黑体"/>
                <w:b/>
                <w:bCs/>
                <w:color w:val="000000"/>
                <w:kern w:val="0"/>
                <w:szCs w:val="21"/>
              </w:rPr>
              <w:t>质量</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r>
              <w:rPr>
                <w:rFonts w:ascii="黑体" w:hAnsi="黑体" w:eastAsia="黑体"/>
                <w:b/>
                <w:bCs/>
                <w:color w:val="000000"/>
                <w:kern w:val="0"/>
                <w:szCs w:val="21"/>
              </w:rPr>
              <w:t>项目描述</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r>
              <w:rPr>
                <w:rFonts w:ascii="黑体" w:hAnsi="黑体" w:eastAsia="黑体"/>
                <w:b/>
                <w:bCs/>
                <w:color w:val="000000"/>
                <w:kern w:val="0"/>
                <w:szCs w:val="21"/>
              </w:rPr>
              <w:t>备注</w:t>
            </w:r>
          </w:p>
        </w:tc>
        <w:tc>
          <w:tcPr>
            <w:tcW w:w="64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
                <w:color w:val="000000"/>
                <w:szCs w:val="21"/>
              </w:rPr>
            </w:pPr>
          </w:p>
        </w:tc>
      </w:tr>
    </w:tbl>
    <w:p>
      <w:pPr>
        <w:pStyle w:val="2"/>
        <w:spacing w:line="480" w:lineRule="exact"/>
        <w:rPr>
          <w:rFonts w:ascii="黑体" w:hAnsi="黑体"/>
          <w:b/>
          <w:bCs/>
          <w:sz w:val="28"/>
          <w:szCs w:val="28"/>
        </w:rPr>
      </w:pPr>
    </w:p>
    <w:p>
      <w:pPr>
        <w:pStyle w:val="2"/>
        <w:rPr>
          <w:rFonts w:ascii="黑体" w:hAnsi="黑体"/>
          <w:b/>
        </w:rPr>
      </w:pPr>
    </w:p>
    <w:p>
      <w:pPr>
        <w:spacing w:after="240" w:afterLines="100" w:line="360" w:lineRule="auto"/>
        <w:rPr>
          <w:rFonts w:ascii="黑体" w:hAnsi="黑体" w:eastAsia="黑体" w:cs="宋体"/>
          <w:b/>
          <w:sz w:val="24"/>
        </w:rPr>
      </w:pPr>
    </w:p>
    <w:p>
      <w:pPr>
        <w:pStyle w:val="2"/>
        <w:rPr>
          <w:rFonts w:ascii="黑体" w:hAnsi="黑体"/>
          <w:b/>
          <w:lang w:bidi="ar-SA"/>
        </w:rPr>
      </w:pPr>
    </w:p>
    <w:p>
      <w:pPr>
        <w:pStyle w:val="2"/>
        <w:rPr>
          <w:rFonts w:ascii="黑体" w:hAnsi="黑体"/>
          <w:b/>
          <w:lang w:bidi="ar-SA"/>
        </w:rPr>
      </w:pPr>
    </w:p>
    <w:p>
      <w:pPr>
        <w:pStyle w:val="2"/>
        <w:rPr>
          <w:rFonts w:ascii="黑体" w:hAnsi="黑体"/>
          <w:b/>
          <w:lang w:bidi="ar-SA"/>
        </w:rPr>
      </w:pPr>
    </w:p>
    <w:p>
      <w:pPr>
        <w:pStyle w:val="2"/>
        <w:rPr>
          <w:rFonts w:ascii="黑体" w:hAnsi="黑体"/>
          <w:b/>
          <w:lang w:bidi="ar-SA"/>
        </w:rPr>
      </w:pPr>
    </w:p>
    <w:p>
      <w:pPr>
        <w:pStyle w:val="2"/>
        <w:rPr>
          <w:rFonts w:ascii="黑体" w:hAnsi="黑体"/>
          <w:b/>
          <w:lang w:bidi="ar-SA"/>
        </w:rPr>
      </w:pPr>
    </w:p>
    <w:p>
      <w:pPr>
        <w:pStyle w:val="2"/>
        <w:rPr>
          <w:rFonts w:ascii="黑体" w:hAnsi="黑体"/>
          <w:b/>
          <w:lang w:bidi="ar-SA"/>
        </w:rPr>
      </w:pPr>
    </w:p>
    <w:p>
      <w:pPr>
        <w:pStyle w:val="2"/>
        <w:numPr>
          <w:ilvl w:val="0"/>
          <w:numId w:val="5"/>
        </w:numPr>
        <w:spacing w:line="480" w:lineRule="exact"/>
        <w:jc w:val="center"/>
        <w:rPr>
          <w:rFonts w:ascii="黑体" w:hAnsi="黑体"/>
          <w:b/>
          <w:bCs/>
          <w:sz w:val="28"/>
          <w:szCs w:val="28"/>
        </w:rPr>
      </w:pPr>
      <w:bookmarkStart w:id="236" w:name="_Toc8368_WPSOffice_Level1"/>
      <w:r>
        <w:rPr>
          <w:rFonts w:hint="eastAsia" w:ascii="黑体" w:hAnsi="黑体"/>
          <w:b/>
          <w:bCs/>
          <w:sz w:val="28"/>
          <w:szCs w:val="28"/>
        </w:rPr>
        <w:t>承诺书</w:t>
      </w:r>
      <w:bookmarkEnd w:id="236"/>
    </w:p>
    <w:p>
      <w:pPr>
        <w:pStyle w:val="2"/>
        <w:spacing w:line="480" w:lineRule="exact"/>
        <w:rPr>
          <w:rFonts w:ascii="黑体" w:hAnsi="黑体"/>
          <w:b/>
          <w:bCs/>
          <w:sz w:val="28"/>
          <w:szCs w:val="28"/>
        </w:rPr>
      </w:pPr>
      <w:r>
        <w:rPr>
          <w:rFonts w:hint="eastAsia" w:ascii="黑体" w:hAnsi="黑体"/>
          <w:b/>
          <w:bCs/>
          <w:sz w:val="28"/>
          <w:szCs w:val="28"/>
        </w:rPr>
        <w:t>（</w:t>
      </w:r>
      <w:r>
        <w:rPr>
          <w:rFonts w:ascii="黑体" w:hAnsi="黑体"/>
          <w:b/>
          <w:color w:val="000000"/>
          <w:sz w:val="24"/>
          <w:szCs w:val="24"/>
        </w:rPr>
        <w:t>投标人近三年没有骗取中标和严重违约及重大项目质量、安全问题。在经营活动中没有重大违法记录，没有处于被责令停业、投标资格被取消、财产被接管、冻结、破产状态。投标人自制承诺书</w:t>
      </w:r>
      <w:r>
        <w:rPr>
          <w:rFonts w:hint="eastAsia" w:ascii="黑体" w:hAnsi="黑体"/>
          <w:b/>
          <w:bCs/>
          <w:sz w:val="28"/>
          <w:szCs w:val="28"/>
        </w:rPr>
        <w:t>）</w:t>
      </w:r>
    </w:p>
    <w:p>
      <w:pPr>
        <w:pStyle w:val="2"/>
        <w:spacing w:line="480" w:lineRule="exact"/>
        <w:rPr>
          <w:rFonts w:ascii="黑体" w:hAnsi="黑体"/>
          <w:b/>
          <w:bCs/>
          <w:sz w:val="28"/>
          <w:szCs w:val="28"/>
        </w:rPr>
      </w:pPr>
      <w:r>
        <w:rPr>
          <w:rFonts w:hint="eastAsia" w:ascii="黑体" w:hAnsi="黑体"/>
          <w:b/>
          <w:bCs/>
          <w:sz w:val="28"/>
          <w:szCs w:val="28"/>
        </w:rPr>
        <w:br w:type="page"/>
      </w:r>
    </w:p>
    <w:p>
      <w:pPr>
        <w:pStyle w:val="2"/>
        <w:numPr>
          <w:ilvl w:val="0"/>
          <w:numId w:val="5"/>
        </w:numPr>
        <w:spacing w:line="480" w:lineRule="exact"/>
        <w:jc w:val="center"/>
        <w:rPr>
          <w:rFonts w:ascii="黑体" w:hAnsi="黑体"/>
          <w:b/>
          <w:bCs/>
          <w:sz w:val="28"/>
          <w:szCs w:val="28"/>
        </w:rPr>
      </w:pPr>
      <w:bookmarkStart w:id="237" w:name="_Toc27713_WPSOffice_Level1"/>
      <w:r>
        <w:rPr>
          <w:rFonts w:hint="eastAsia" w:ascii="黑体" w:hAnsi="黑体"/>
          <w:b/>
          <w:bCs/>
          <w:sz w:val="28"/>
          <w:szCs w:val="28"/>
        </w:rPr>
        <w:t>投标人认为需要提供的其它资质资料</w:t>
      </w:r>
      <w:bookmarkEnd w:id="237"/>
    </w:p>
    <w:p>
      <w:pPr>
        <w:pStyle w:val="2"/>
        <w:numPr>
          <w:ilvl w:val="0"/>
          <w:numId w:val="5"/>
        </w:numPr>
        <w:spacing w:line="480" w:lineRule="exact"/>
        <w:jc w:val="center"/>
        <w:rPr>
          <w:rFonts w:ascii="黑体" w:hAnsi="黑体"/>
          <w:b/>
          <w:bCs/>
          <w:sz w:val="28"/>
          <w:szCs w:val="28"/>
        </w:rPr>
      </w:pPr>
      <w:r>
        <w:rPr>
          <w:rFonts w:hint="eastAsia" w:ascii="黑体" w:hAnsi="黑体"/>
          <w:b/>
          <w:bCs/>
          <w:sz w:val="28"/>
          <w:szCs w:val="28"/>
        </w:rPr>
        <w:br w:type="page"/>
      </w:r>
    </w:p>
    <w:p>
      <w:pPr>
        <w:pStyle w:val="2"/>
        <w:spacing w:line="480" w:lineRule="exact"/>
        <w:jc w:val="center"/>
        <w:rPr>
          <w:rFonts w:ascii="黑体" w:hAnsi="黑体"/>
          <w:b/>
          <w:bCs/>
          <w:sz w:val="28"/>
          <w:szCs w:val="28"/>
        </w:rPr>
      </w:pPr>
      <w:bookmarkStart w:id="238" w:name="_Toc6117_WPSOffice_Level1"/>
      <w:r>
        <w:rPr>
          <w:rFonts w:hint="eastAsia" w:ascii="黑体" w:hAnsi="黑体"/>
          <w:b/>
          <w:bCs/>
          <w:sz w:val="28"/>
          <w:szCs w:val="28"/>
        </w:rPr>
        <w:t>（九）售后服务及培训计划</w:t>
      </w:r>
      <w:bookmarkEnd w:id="238"/>
    </w:p>
    <w:p>
      <w:pPr>
        <w:pStyle w:val="2"/>
        <w:spacing w:line="480" w:lineRule="exact"/>
        <w:rPr>
          <w:rFonts w:ascii="黑体" w:hAnsi="黑体" w:cs="宋体"/>
          <w:b/>
          <w:bCs/>
          <w:sz w:val="24"/>
          <w:szCs w:val="24"/>
        </w:rPr>
      </w:pPr>
      <w:r>
        <w:rPr>
          <w:rFonts w:hint="eastAsia" w:ascii="黑体" w:hAnsi="黑体" w:cs="宋体"/>
          <w:b/>
          <w:bCs/>
          <w:sz w:val="24"/>
          <w:szCs w:val="24"/>
        </w:rPr>
        <w:t>（格式自拟）</w:t>
      </w: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pStyle w:val="2"/>
        <w:spacing w:line="480" w:lineRule="exact"/>
        <w:rPr>
          <w:rFonts w:ascii="黑体" w:hAnsi="黑体" w:cs="宋体"/>
          <w:b/>
          <w:bCs/>
          <w:sz w:val="24"/>
          <w:szCs w:val="24"/>
        </w:rPr>
      </w:pPr>
    </w:p>
    <w:p>
      <w:pPr>
        <w:jc w:val="center"/>
        <w:rPr>
          <w:rFonts w:ascii="黑体" w:hAnsi="黑体" w:eastAsia="黑体"/>
          <w:b/>
          <w:bCs/>
          <w:sz w:val="36"/>
        </w:rPr>
      </w:pPr>
      <w:r>
        <w:rPr>
          <w:rFonts w:hint="eastAsia" w:ascii="黑体" w:hAnsi="黑体" w:eastAsia="黑体"/>
          <w:b/>
          <w:bCs/>
          <w:sz w:val="36"/>
        </w:rPr>
        <w:t>第五章 评标方法和标准</w:t>
      </w:r>
    </w:p>
    <w:p>
      <w:pPr>
        <w:spacing w:line="360" w:lineRule="auto"/>
        <w:rPr>
          <w:rFonts w:ascii="黑体" w:hAnsi="黑体" w:eastAsia="黑体"/>
          <w:sz w:val="24"/>
        </w:rPr>
      </w:pPr>
      <w:r>
        <w:rPr>
          <w:rFonts w:hint="eastAsia" w:ascii="黑体" w:hAnsi="黑体" w:eastAsia="黑体"/>
          <w:sz w:val="24"/>
        </w:rPr>
        <w:t>一、评标定标原则</w:t>
      </w:r>
    </w:p>
    <w:p>
      <w:pPr>
        <w:spacing w:line="360" w:lineRule="auto"/>
        <w:ind w:firstLine="480" w:firstLineChars="200"/>
        <w:rPr>
          <w:rFonts w:ascii="黑体" w:hAnsi="黑体" w:eastAsia="黑体"/>
          <w:sz w:val="24"/>
        </w:rPr>
      </w:pPr>
      <w:r>
        <w:rPr>
          <w:rFonts w:hint="eastAsia" w:ascii="黑体" w:hAnsi="黑体" w:eastAsia="黑体"/>
          <w:sz w:val="24"/>
        </w:rPr>
        <w:t>根据《中华人民共和国民法典》及有关规定，坚持公开、公平和科学合理的原则。</w:t>
      </w:r>
    </w:p>
    <w:p>
      <w:pPr>
        <w:spacing w:line="360" w:lineRule="auto"/>
        <w:rPr>
          <w:rFonts w:ascii="黑体" w:hAnsi="黑体" w:eastAsia="黑体"/>
          <w:sz w:val="24"/>
        </w:rPr>
      </w:pPr>
      <w:r>
        <w:rPr>
          <w:rFonts w:hint="eastAsia" w:ascii="黑体" w:hAnsi="黑体" w:eastAsia="黑体"/>
          <w:sz w:val="24"/>
        </w:rPr>
        <w:t>二、评标组织</w:t>
      </w:r>
    </w:p>
    <w:p>
      <w:pPr>
        <w:spacing w:line="360" w:lineRule="auto"/>
        <w:ind w:firstLine="480" w:firstLineChars="200"/>
        <w:rPr>
          <w:rFonts w:ascii="黑体" w:hAnsi="黑体" w:eastAsia="黑体"/>
          <w:sz w:val="24"/>
        </w:rPr>
      </w:pPr>
      <w:r>
        <w:rPr>
          <w:rFonts w:hint="eastAsia" w:ascii="黑体" w:hAnsi="黑体" w:eastAsia="黑体"/>
          <w:sz w:val="24"/>
        </w:rPr>
        <w:t>评标由招标人依法组建的评标委员会负责，评标委员会由招标人组织招标人本厂的评标专家库中有关的技术、经济等方面的专家组成，成员人数为5人及以上单数，其中技术、经济等方面的专家不得少于成员总数的三分之二，与投标人有利益或隶属关系的专家不能担任评委。</w:t>
      </w:r>
    </w:p>
    <w:p>
      <w:pPr>
        <w:spacing w:line="360" w:lineRule="auto"/>
        <w:rPr>
          <w:rFonts w:ascii="黑体" w:hAnsi="黑体" w:eastAsia="黑体"/>
          <w:sz w:val="24"/>
        </w:rPr>
      </w:pPr>
      <w:r>
        <w:rPr>
          <w:rFonts w:hint="eastAsia" w:ascii="黑体" w:hAnsi="黑体" w:eastAsia="黑体"/>
          <w:sz w:val="24"/>
        </w:rPr>
        <w:t>三、评标内容</w:t>
      </w:r>
    </w:p>
    <w:p>
      <w:pPr>
        <w:spacing w:line="360" w:lineRule="auto"/>
        <w:ind w:firstLine="480" w:firstLineChars="200"/>
        <w:rPr>
          <w:rFonts w:ascii="黑体" w:hAnsi="黑体" w:eastAsia="黑体"/>
          <w:sz w:val="24"/>
        </w:rPr>
      </w:pPr>
      <w:r>
        <w:rPr>
          <w:rFonts w:hint="eastAsia" w:ascii="黑体" w:hAnsi="黑体" w:eastAsia="黑体"/>
          <w:sz w:val="24"/>
          <w:highlight w:val="yellow"/>
        </w:rPr>
        <w:t>评标内容包括：（1）投标报价（100分）</w:t>
      </w:r>
    </w:p>
    <w:p>
      <w:pPr>
        <w:spacing w:line="360" w:lineRule="auto"/>
        <w:rPr>
          <w:rFonts w:ascii="黑体" w:hAnsi="黑体" w:eastAsia="黑体"/>
          <w:sz w:val="24"/>
        </w:rPr>
      </w:pPr>
      <w:r>
        <w:rPr>
          <w:rFonts w:hint="eastAsia" w:ascii="黑体" w:hAnsi="黑体" w:eastAsia="黑体"/>
          <w:sz w:val="24"/>
        </w:rPr>
        <w:t>四、评审程序</w:t>
      </w:r>
    </w:p>
    <w:p>
      <w:pPr>
        <w:spacing w:line="360" w:lineRule="auto"/>
        <w:ind w:firstLine="480" w:firstLineChars="200"/>
        <w:rPr>
          <w:rFonts w:ascii="黑体" w:hAnsi="黑体" w:eastAsia="黑体"/>
          <w:sz w:val="24"/>
        </w:rPr>
      </w:pPr>
      <w:r>
        <w:rPr>
          <w:rFonts w:hint="eastAsia" w:ascii="黑体" w:hAnsi="黑体" w:eastAsia="黑体"/>
          <w:sz w:val="24"/>
        </w:rPr>
        <w:t>（一）、按招标文件的要求对各投标单位进行资格审查，对投标文件进行符合性评审，剔除实质上未响应招标文件要求的投标文件。</w:t>
      </w:r>
    </w:p>
    <w:p>
      <w:pPr>
        <w:spacing w:line="360" w:lineRule="auto"/>
        <w:ind w:firstLine="480" w:firstLineChars="200"/>
        <w:rPr>
          <w:rFonts w:ascii="黑体" w:hAnsi="黑体" w:eastAsia="黑体"/>
          <w:sz w:val="24"/>
        </w:rPr>
      </w:pPr>
      <w:r>
        <w:rPr>
          <w:rFonts w:hint="eastAsia" w:ascii="黑体" w:hAnsi="黑体" w:eastAsia="黑体"/>
          <w:sz w:val="24"/>
        </w:rPr>
        <w:t>（二）、评标委员会成员分别对投标人投标文件技术部分进行评审评分。主要内容如下：</w:t>
      </w:r>
    </w:p>
    <w:p>
      <w:pPr>
        <w:spacing w:line="360" w:lineRule="auto"/>
        <w:ind w:firstLine="720" w:firstLineChars="300"/>
        <w:rPr>
          <w:rFonts w:ascii="黑体" w:hAnsi="黑体" w:eastAsia="黑体"/>
          <w:sz w:val="24"/>
        </w:rPr>
      </w:pPr>
      <w:r>
        <w:rPr>
          <w:rFonts w:hint="eastAsia" w:ascii="黑体" w:hAnsi="黑体" w:eastAsia="黑体"/>
          <w:sz w:val="24"/>
        </w:rPr>
        <w:t>1、请购规范；</w:t>
      </w:r>
    </w:p>
    <w:p>
      <w:pPr>
        <w:spacing w:line="360" w:lineRule="auto"/>
        <w:ind w:firstLine="600" w:firstLineChars="250"/>
        <w:rPr>
          <w:rFonts w:ascii="黑体" w:hAnsi="黑体" w:eastAsia="黑体"/>
          <w:sz w:val="24"/>
        </w:rPr>
      </w:pPr>
      <w:r>
        <w:rPr>
          <w:rFonts w:hint="eastAsia" w:ascii="黑体" w:hAnsi="黑体" w:eastAsia="黑体"/>
          <w:sz w:val="24"/>
        </w:rPr>
        <w:t>通过阅审，将每份投标文件中上述各子项先进、合理性及存在问题根据具体的评分标准对各子项进行评分，记入评分记分表的相应栏目中。</w:t>
      </w:r>
    </w:p>
    <w:p>
      <w:pPr>
        <w:spacing w:line="360" w:lineRule="auto"/>
        <w:ind w:firstLine="600" w:firstLineChars="250"/>
        <w:rPr>
          <w:rFonts w:ascii="黑体" w:hAnsi="黑体" w:eastAsia="黑体"/>
          <w:sz w:val="24"/>
        </w:rPr>
      </w:pPr>
      <w:r>
        <w:rPr>
          <w:rFonts w:hint="eastAsia" w:ascii="黑体" w:hAnsi="黑体" w:eastAsia="黑体"/>
          <w:sz w:val="24"/>
        </w:rPr>
        <w:t>评委打分计算算术平均值即为该投标人的技术标得分。</w:t>
      </w:r>
    </w:p>
    <w:p>
      <w:pPr>
        <w:spacing w:line="360" w:lineRule="auto"/>
        <w:ind w:firstLine="480" w:firstLineChars="200"/>
        <w:rPr>
          <w:rFonts w:ascii="黑体" w:hAnsi="黑体" w:eastAsia="黑体"/>
          <w:sz w:val="24"/>
        </w:rPr>
      </w:pPr>
      <w:r>
        <w:rPr>
          <w:rFonts w:hint="eastAsia" w:ascii="黑体" w:hAnsi="黑体" w:eastAsia="黑体"/>
          <w:sz w:val="24"/>
        </w:rPr>
        <w:t>（三）、评标委员会成员对投标人的商务部分（即投标报价）进行评审评分。</w:t>
      </w:r>
    </w:p>
    <w:p>
      <w:pPr>
        <w:spacing w:line="360" w:lineRule="auto"/>
        <w:ind w:firstLine="600" w:firstLineChars="250"/>
        <w:rPr>
          <w:rFonts w:ascii="黑体" w:hAnsi="黑体" w:eastAsia="黑体"/>
          <w:sz w:val="24"/>
        </w:rPr>
      </w:pPr>
      <w:r>
        <w:rPr>
          <w:rFonts w:hint="eastAsia" w:ascii="黑体" w:hAnsi="黑体" w:eastAsia="黑体"/>
          <w:sz w:val="24"/>
        </w:rPr>
        <w:t>1对投标人的投标报价进行校核、修正，确定评标价。对需要澄清、说明、修正的问题，评标委员会成员以书面形式进行询问。</w:t>
      </w:r>
    </w:p>
    <w:p>
      <w:pPr>
        <w:spacing w:line="360" w:lineRule="auto"/>
        <w:ind w:firstLine="600" w:firstLineChars="250"/>
        <w:rPr>
          <w:rFonts w:ascii="黑体" w:hAnsi="黑体" w:eastAsia="黑体"/>
          <w:sz w:val="24"/>
        </w:rPr>
      </w:pPr>
      <w:r>
        <w:rPr>
          <w:rFonts w:hint="eastAsia" w:ascii="黑体" w:hAnsi="黑体" w:eastAsia="黑体"/>
          <w:sz w:val="24"/>
        </w:rPr>
        <w:t>2评标委员会对投标人的投标报价进行评审，评出各投标人的商务标得分。</w:t>
      </w:r>
      <w:r>
        <w:rPr>
          <w:rFonts w:hint="eastAsia" w:ascii="黑体" w:hAnsi="黑体" w:eastAsia="黑体"/>
          <w:color w:val="FF0000"/>
          <w:sz w:val="24"/>
        </w:rPr>
        <w:t>本次采取金隅冀东阳光平台网上报价，采用网上平台一次报价为准，不再现场二次澄清报价。</w:t>
      </w:r>
    </w:p>
    <w:p>
      <w:pPr>
        <w:spacing w:line="360" w:lineRule="auto"/>
        <w:ind w:firstLine="600" w:firstLineChars="250"/>
        <w:rPr>
          <w:rFonts w:ascii="黑体" w:hAnsi="黑体" w:eastAsia="黑体"/>
          <w:sz w:val="24"/>
        </w:rPr>
      </w:pPr>
      <w:r>
        <w:rPr>
          <w:rFonts w:hint="eastAsia" w:ascii="黑体" w:hAnsi="黑体" w:eastAsia="黑体"/>
          <w:sz w:val="24"/>
        </w:rPr>
        <w:t>3根据评分计分标准将各投标单位的报价得分记入评分记分表相应栏目。</w:t>
      </w:r>
    </w:p>
    <w:p>
      <w:pPr>
        <w:spacing w:line="360" w:lineRule="auto"/>
        <w:ind w:firstLine="360" w:firstLineChars="150"/>
        <w:rPr>
          <w:rFonts w:ascii="黑体" w:hAnsi="黑体" w:eastAsia="黑体"/>
          <w:sz w:val="24"/>
        </w:rPr>
      </w:pPr>
      <w:r>
        <w:rPr>
          <w:rFonts w:hint="eastAsia" w:ascii="黑体" w:hAnsi="黑体" w:eastAsia="黑体"/>
          <w:sz w:val="24"/>
        </w:rPr>
        <w:t>（四）评标委员会成员对投标人的企业同类项目业绩进行评审评分</w:t>
      </w:r>
    </w:p>
    <w:p>
      <w:pPr>
        <w:spacing w:line="360" w:lineRule="auto"/>
        <w:ind w:firstLine="360" w:firstLineChars="150"/>
        <w:rPr>
          <w:rFonts w:ascii="黑体" w:hAnsi="黑体" w:eastAsia="黑体"/>
          <w:sz w:val="24"/>
        </w:rPr>
      </w:pPr>
      <w:r>
        <w:rPr>
          <w:rFonts w:hint="eastAsia" w:ascii="黑体" w:hAnsi="黑体" w:eastAsia="黑体"/>
          <w:sz w:val="24"/>
        </w:rPr>
        <w:t>（五）确定投标人总得分。</w:t>
      </w:r>
    </w:p>
    <w:p>
      <w:pPr>
        <w:spacing w:line="360" w:lineRule="auto"/>
        <w:ind w:firstLine="480" w:firstLineChars="200"/>
        <w:rPr>
          <w:rFonts w:ascii="黑体" w:hAnsi="黑体" w:eastAsia="黑体"/>
          <w:sz w:val="24"/>
        </w:rPr>
      </w:pPr>
      <w:r>
        <w:rPr>
          <w:rFonts w:hint="eastAsia" w:ascii="黑体" w:hAnsi="黑体" w:eastAsia="黑体"/>
          <w:sz w:val="24"/>
          <w:highlight w:val="yellow"/>
        </w:rPr>
        <w:t>投标人总得分=投标报价</w:t>
      </w:r>
    </w:p>
    <w:p>
      <w:pPr>
        <w:spacing w:line="360" w:lineRule="auto"/>
        <w:ind w:firstLine="360" w:firstLineChars="150"/>
        <w:rPr>
          <w:rFonts w:ascii="黑体" w:hAnsi="黑体" w:eastAsia="黑体"/>
          <w:sz w:val="24"/>
        </w:rPr>
      </w:pPr>
      <w:r>
        <w:rPr>
          <w:rFonts w:hint="eastAsia" w:ascii="黑体" w:hAnsi="黑体" w:eastAsia="黑体"/>
          <w:sz w:val="24"/>
        </w:rPr>
        <w:t>（六）确定中标候选人。</w:t>
      </w:r>
    </w:p>
    <w:p>
      <w:pPr>
        <w:spacing w:line="360" w:lineRule="auto"/>
        <w:ind w:firstLine="480" w:firstLineChars="200"/>
        <w:rPr>
          <w:rFonts w:ascii="黑体" w:hAnsi="黑体" w:eastAsia="黑体"/>
          <w:sz w:val="24"/>
        </w:rPr>
      </w:pPr>
      <w:r>
        <w:rPr>
          <w:rFonts w:hint="eastAsia" w:ascii="黑体" w:hAnsi="黑体" w:eastAsia="黑体"/>
          <w:sz w:val="24"/>
        </w:rPr>
        <w:t xml:space="preserve">评标委员会按照得分高低顺序确定得分最高者为第一中标侯选人，如果第一名放弃中标，则将其列为黑名单后，确定第二名为中标候选人，如果第二名再放弃中标，则将其列为黑名单后确定此次招标失败，依法重新组织招标。 </w:t>
      </w:r>
    </w:p>
    <w:tbl>
      <w:tblPr>
        <w:tblStyle w:val="17"/>
        <w:tblW w:w="10020" w:type="dxa"/>
        <w:jc w:val="center"/>
        <w:tblLayout w:type="autofit"/>
        <w:tblCellMar>
          <w:top w:w="0" w:type="dxa"/>
          <w:left w:w="108" w:type="dxa"/>
          <w:bottom w:w="0" w:type="dxa"/>
          <w:right w:w="108" w:type="dxa"/>
        </w:tblCellMar>
      </w:tblPr>
      <w:tblGrid>
        <w:gridCol w:w="680"/>
        <w:gridCol w:w="1080"/>
        <w:gridCol w:w="880"/>
        <w:gridCol w:w="6100"/>
        <w:gridCol w:w="1280"/>
      </w:tblGrid>
      <w:tr>
        <w:tblPrEx>
          <w:tblCellMar>
            <w:top w:w="0" w:type="dxa"/>
            <w:left w:w="108" w:type="dxa"/>
            <w:bottom w:w="0" w:type="dxa"/>
            <w:right w:w="108" w:type="dxa"/>
          </w:tblCellMar>
        </w:tblPrEx>
        <w:trPr>
          <w:trHeight w:val="285" w:hRule="atLeast"/>
          <w:jc w:val="center"/>
        </w:trPr>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编号</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项别</w:t>
            </w:r>
          </w:p>
        </w:tc>
        <w:tc>
          <w:tcPr>
            <w:tcW w:w="8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最高分</w:t>
            </w:r>
          </w:p>
        </w:tc>
        <w:tc>
          <w:tcPr>
            <w:tcW w:w="61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评分标准</w:t>
            </w:r>
          </w:p>
        </w:tc>
        <w:tc>
          <w:tcPr>
            <w:tcW w:w="12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打分范围</w:t>
            </w:r>
          </w:p>
        </w:tc>
      </w:tr>
      <w:tr>
        <w:tblPrEx>
          <w:tblCellMar>
            <w:top w:w="0" w:type="dxa"/>
            <w:left w:w="108" w:type="dxa"/>
            <w:bottom w:w="0" w:type="dxa"/>
            <w:right w:w="108" w:type="dxa"/>
          </w:tblCellMar>
        </w:tblPrEx>
        <w:trPr>
          <w:trHeight w:val="272" w:hRule="atLeast"/>
          <w:jc w:val="center"/>
        </w:trPr>
        <w:tc>
          <w:tcPr>
            <w:tcW w:w="6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投标报价</w:t>
            </w:r>
          </w:p>
        </w:tc>
        <w:tc>
          <w:tcPr>
            <w:tcW w:w="8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100</w:t>
            </w:r>
          </w:p>
        </w:tc>
        <w:tc>
          <w:tcPr>
            <w:tcW w:w="738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所有投标人的有效报价的</w:t>
            </w:r>
            <w:r>
              <w:rPr>
                <w:rFonts w:hint="eastAsia" w:ascii="黑体" w:hAnsi="黑体" w:eastAsia="黑体" w:cs="宋体"/>
                <w:color w:val="000000"/>
                <w:kern w:val="0"/>
                <w:szCs w:val="21"/>
                <w:highlight w:val="yellow"/>
              </w:rPr>
              <w:t>最低值为评标基准价</w:t>
            </w:r>
            <w:r>
              <w:rPr>
                <w:rFonts w:hint="eastAsia" w:ascii="黑体" w:hAnsi="黑体" w:eastAsia="黑体" w:cs="宋体"/>
                <w:color w:val="000000"/>
                <w:kern w:val="0"/>
                <w:szCs w:val="21"/>
              </w:rPr>
              <w:t>，</w:t>
            </w:r>
            <w:r>
              <w:rPr>
                <w:rFonts w:hint="eastAsia" w:ascii="黑体" w:hAnsi="黑体" w:eastAsia="黑体" w:cs="宋体"/>
                <w:color w:val="000000"/>
                <w:kern w:val="0"/>
                <w:szCs w:val="21"/>
                <w:highlight w:val="yellow"/>
              </w:rPr>
              <w:t>得标准分100分</w:t>
            </w:r>
            <w:r>
              <w:rPr>
                <w:rFonts w:hint="eastAsia" w:ascii="黑体" w:hAnsi="黑体" w:eastAsia="黑体" w:cs="宋体"/>
                <w:color w:val="000000"/>
                <w:kern w:val="0"/>
                <w:szCs w:val="21"/>
              </w:rPr>
              <w:t>，投标报价得分=（评标基准价/投标报价）×分值（计算保留两位小数）</w:t>
            </w:r>
          </w:p>
        </w:tc>
      </w:tr>
      <w:tr>
        <w:tblPrEx>
          <w:tblCellMar>
            <w:top w:w="0" w:type="dxa"/>
            <w:left w:w="108" w:type="dxa"/>
            <w:bottom w:w="0" w:type="dxa"/>
            <w:right w:w="108" w:type="dxa"/>
          </w:tblCellMar>
        </w:tblPrEx>
        <w:trPr>
          <w:trHeight w:val="272" w:hRule="atLeast"/>
          <w:jc w:val="center"/>
        </w:trPr>
        <w:tc>
          <w:tcPr>
            <w:tcW w:w="680"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Cs w:val="21"/>
              </w:rPr>
            </w:pPr>
          </w:p>
        </w:tc>
        <w:tc>
          <w:tcPr>
            <w:tcW w:w="880"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Cs w:val="21"/>
              </w:rPr>
            </w:pPr>
          </w:p>
        </w:tc>
        <w:tc>
          <w:tcPr>
            <w:tcW w:w="7380"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黑体" w:hAnsi="黑体" w:eastAsia="黑体" w:cs="宋体"/>
                <w:color w:val="000000"/>
                <w:kern w:val="0"/>
                <w:szCs w:val="21"/>
              </w:rPr>
            </w:pPr>
          </w:p>
        </w:tc>
      </w:tr>
      <w:tr>
        <w:tblPrEx>
          <w:tblCellMar>
            <w:top w:w="0" w:type="dxa"/>
            <w:left w:w="108" w:type="dxa"/>
            <w:bottom w:w="0" w:type="dxa"/>
            <w:right w:w="108" w:type="dxa"/>
          </w:tblCellMar>
        </w:tblPrEx>
        <w:trPr>
          <w:trHeight w:val="285" w:hRule="atLeast"/>
          <w:jc w:val="center"/>
        </w:trPr>
        <w:tc>
          <w:tcPr>
            <w:tcW w:w="680"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Cs w:val="21"/>
              </w:rPr>
            </w:pPr>
          </w:p>
        </w:tc>
        <w:tc>
          <w:tcPr>
            <w:tcW w:w="880"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Cs w:val="21"/>
              </w:rPr>
            </w:pPr>
          </w:p>
        </w:tc>
        <w:tc>
          <w:tcPr>
            <w:tcW w:w="7380"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黑体" w:hAnsi="黑体" w:eastAsia="黑体" w:cs="宋体"/>
                <w:color w:val="000000"/>
                <w:kern w:val="0"/>
                <w:szCs w:val="21"/>
              </w:rPr>
            </w:pPr>
          </w:p>
        </w:tc>
      </w:tr>
    </w:tbl>
    <w:p>
      <w:pPr>
        <w:spacing w:line="360" w:lineRule="auto"/>
        <w:ind w:firstLine="480" w:firstLineChars="200"/>
        <w:rPr>
          <w:rFonts w:ascii="黑体" w:hAnsi="黑体" w:eastAsia="黑体"/>
          <w:sz w:val="24"/>
        </w:rPr>
      </w:pPr>
    </w:p>
    <w:p>
      <w:pPr>
        <w:pStyle w:val="2"/>
        <w:spacing w:line="480" w:lineRule="exact"/>
        <w:rPr>
          <w:rFonts w:ascii="黑体" w:hAnsi="黑体" w:cs="宋体"/>
          <w:b/>
          <w:bCs/>
          <w:sz w:val="24"/>
          <w:szCs w:val="24"/>
        </w:rPr>
      </w:pPr>
    </w:p>
    <w:sectPr>
      <w:headerReference r:id="rId3" w:type="default"/>
      <w:footerReference r:id="rId5" w:type="default"/>
      <w:headerReference r:id="rId4" w:type="even"/>
      <w:pgSz w:w="11906" w:h="16838"/>
      <w:pgMar w:top="1417" w:right="1134" w:bottom="1134" w:left="1417" w:header="851" w:footer="850" w:gutter="0"/>
      <w:pgNumType w:chapStyle="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003F01FF"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tabs>
        <w:tab w:val="left" w:pos="2304"/>
      </w:tabs>
      <w:rPr>
        <w:sz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209085"/>
      <w:docPartObj>
        <w:docPartGallery w:val="AutoText"/>
      </w:docPartObj>
    </w:sdtPr>
    <w:sdtContent>
      <w:p>
        <w:pPr>
          <w:pStyle w:val="13"/>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25</w:t>
        </w:r>
        <w:r>
          <w:rPr>
            <w:b/>
            <w:bCs/>
            <w:sz w:val="24"/>
            <w:szCs w:val="24"/>
          </w:rPr>
          <w:fldChar w:fldCharType="end"/>
        </w:r>
      </w:p>
    </w:sdtContent>
  </w:sdt>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B5F95"/>
    <w:multiLevelType w:val="multilevel"/>
    <w:tmpl w:val="182B5F95"/>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A5B0FEE"/>
    <w:multiLevelType w:val="multilevel"/>
    <w:tmpl w:val="2A5B0FEE"/>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EBF1068"/>
    <w:multiLevelType w:val="multilevel"/>
    <w:tmpl w:val="5EBF106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935CCE"/>
    <w:multiLevelType w:val="singleLevel"/>
    <w:tmpl w:val="66935CCE"/>
    <w:lvl w:ilvl="0" w:tentative="0">
      <w:start w:val="6"/>
      <w:numFmt w:val="chineseCounting"/>
      <w:suff w:val="nothing"/>
      <w:lvlText w:val="（%1）"/>
      <w:lvlJc w:val="left"/>
      <w:rPr>
        <w:rFonts w:hint="eastAsia"/>
      </w:rPr>
    </w:lvl>
  </w:abstractNum>
  <w:abstractNum w:abstractNumId="4">
    <w:nsid w:val="66B154B3"/>
    <w:multiLevelType w:val="multilevel"/>
    <w:tmpl w:val="66B154B3"/>
    <w:lvl w:ilvl="0" w:tentative="0">
      <w:start w:val="6"/>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0"/>
  </w:num>
  <w:num w:numId="3">
    <w:abstractNumId w:val="4"/>
    <w:lvlOverride w:ilvl="1">
      <w:lvl w:ilvl="1" w:tentative="1">
        <w:start w:val="1"/>
        <w:numFmt w:val="decimal"/>
        <w:lvlText w:val="%1.%2"/>
        <w:lvlJc w:val="left"/>
        <w:pPr>
          <w:ind w:left="992" w:hanging="567"/>
        </w:p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E246C"/>
    <w:rsid w:val="00007667"/>
    <w:rsid w:val="00013603"/>
    <w:rsid w:val="00014111"/>
    <w:rsid w:val="00032C52"/>
    <w:rsid w:val="000363D8"/>
    <w:rsid w:val="00041977"/>
    <w:rsid w:val="00050E1A"/>
    <w:rsid w:val="00051947"/>
    <w:rsid w:val="0005403F"/>
    <w:rsid w:val="00097BB0"/>
    <w:rsid w:val="000A3CF3"/>
    <w:rsid w:val="000A4892"/>
    <w:rsid w:val="000B404F"/>
    <w:rsid w:val="000C2098"/>
    <w:rsid w:val="000D2AE7"/>
    <w:rsid w:val="000D2F0C"/>
    <w:rsid w:val="000D5C87"/>
    <w:rsid w:val="000D6C60"/>
    <w:rsid w:val="000E5709"/>
    <w:rsid w:val="00116D99"/>
    <w:rsid w:val="00120F44"/>
    <w:rsid w:val="00127DA4"/>
    <w:rsid w:val="00133FCA"/>
    <w:rsid w:val="00135C64"/>
    <w:rsid w:val="00151F47"/>
    <w:rsid w:val="00156CDC"/>
    <w:rsid w:val="001631FA"/>
    <w:rsid w:val="0016610B"/>
    <w:rsid w:val="00183D20"/>
    <w:rsid w:val="0019018B"/>
    <w:rsid w:val="0019325A"/>
    <w:rsid w:val="001A01AA"/>
    <w:rsid w:val="001A37EA"/>
    <w:rsid w:val="001A628B"/>
    <w:rsid w:val="001B6927"/>
    <w:rsid w:val="001C4042"/>
    <w:rsid w:val="001C52CF"/>
    <w:rsid w:val="001C6CD9"/>
    <w:rsid w:val="00202DB5"/>
    <w:rsid w:val="0020356C"/>
    <w:rsid w:val="0021222D"/>
    <w:rsid w:val="00222092"/>
    <w:rsid w:val="0022472F"/>
    <w:rsid w:val="00226839"/>
    <w:rsid w:val="00232002"/>
    <w:rsid w:val="00233586"/>
    <w:rsid w:val="002379E7"/>
    <w:rsid w:val="00237A96"/>
    <w:rsid w:val="00252186"/>
    <w:rsid w:val="00270037"/>
    <w:rsid w:val="0027691C"/>
    <w:rsid w:val="002827F5"/>
    <w:rsid w:val="002D3229"/>
    <w:rsid w:val="002E0B48"/>
    <w:rsid w:val="002E28E3"/>
    <w:rsid w:val="002E7A4B"/>
    <w:rsid w:val="002F26A3"/>
    <w:rsid w:val="002F5865"/>
    <w:rsid w:val="002F6E35"/>
    <w:rsid w:val="0030465E"/>
    <w:rsid w:val="00307CC9"/>
    <w:rsid w:val="0031288A"/>
    <w:rsid w:val="003244BA"/>
    <w:rsid w:val="00327467"/>
    <w:rsid w:val="00336A0F"/>
    <w:rsid w:val="00342A59"/>
    <w:rsid w:val="003437CE"/>
    <w:rsid w:val="00357B6A"/>
    <w:rsid w:val="00360852"/>
    <w:rsid w:val="00361EA0"/>
    <w:rsid w:val="00362534"/>
    <w:rsid w:val="00363E9F"/>
    <w:rsid w:val="00366D6E"/>
    <w:rsid w:val="00371431"/>
    <w:rsid w:val="0037406F"/>
    <w:rsid w:val="0037508E"/>
    <w:rsid w:val="00376B94"/>
    <w:rsid w:val="00377395"/>
    <w:rsid w:val="0038736F"/>
    <w:rsid w:val="0039041D"/>
    <w:rsid w:val="00391115"/>
    <w:rsid w:val="003A6AA6"/>
    <w:rsid w:val="003B485D"/>
    <w:rsid w:val="003C07CA"/>
    <w:rsid w:val="003D0B2B"/>
    <w:rsid w:val="003D344F"/>
    <w:rsid w:val="003D456D"/>
    <w:rsid w:val="003E439A"/>
    <w:rsid w:val="003E47D3"/>
    <w:rsid w:val="003E69C4"/>
    <w:rsid w:val="003F79DC"/>
    <w:rsid w:val="00420E8D"/>
    <w:rsid w:val="004245F6"/>
    <w:rsid w:val="00424876"/>
    <w:rsid w:val="00427604"/>
    <w:rsid w:val="00437CE6"/>
    <w:rsid w:val="00437E10"/>
    <w:rsid w:val="004459F4"/>
    <w:rsid w:val="004502CF"/>
    <w:rsid w:val="004711A5"/>
    <w:rsid w:val="0047291A"/>
    <w:rsid w:val="0048365D"/>
    <w:rsid w:val="00496BAD"/>
    <w:rsid w:val="004A05AC"/>
    <w:rsid w:val="004D0181"/>
    <w:rsid w:val="004D03F2"/>
    <w:rsid w:val="004E10A7"/>
    <w:rsid w:val="004E28E4"/>
    <w:rsid w:val="004F6A85"/>
    <w:rsid w:val="00501708"/>
    <w:rsid w:val="00510906"/>
    <w:rsid w:val="00515BD0"/>
    <w:rsid w:val="00516DF1"/>
    <w:rsid w:val="00524751"/>
    <w:rsid w:val="00535C54"/>
    <w:rsid w:val="005377A7"/>
    <w:rsid w:val="00540B81"/>
    <w:rsid w:val="00542CCA"/>
    <w:rsid w:val="00553BB8"/>
    <w:rsid w:val="005560D4"/>
    <w:rsid w:val="00557D8B"/>
    <w:rsid w:val="005667CC"/>
    <w:rsid w:val="00566A88"/>
    <w:rsid w:val="00575A76"/>
    <w:rsid w:val="00575C3A"/>
    <w:rsid w:val="005838A2"/>
    <w:rsid w:val="005863DD"/>
    <w:rsid w:val="00590530"/>
    <w:rsid w:val="00593061"/>
    <w:rsid w:val="00595B11"/>
    <w:rsid w:val="005A043B"/>
    <w:rsid w:val="005D1CF9"/>
    <w:rsid w:val="005E48C6"/>
    <w:rsid w:val="005F051F"/>
    <w:rsid w:val="005F189B"/>
    <w:rsid w:val="005F6FF8"/>
    <w:rsid w:val="00600F0D"/>
    <w:rsid w:val="00604FB6"/>
    <w:rsid w:val="00605623"/>
    <w:rsid w:val="0060736B"/>
    <w:rsid w:val="0061713E"/>
    <w:rsid w:val="00621DE3"/>
    <w:rsid w:val="00624CCB"/>
    <w:rsid w:val="00634EDA"/>
    <w:rsid w:val="00635FE7"/>
    <w:rsid w:val="0063753F"/>
    <w:rsid w:val="00646D09"/>
    <w:rsid w:val="00653C61"/>
    <w:rsid w:val="00654A7C"/>
    <w:rsid w:val="00655BBF"/>
    <w:rsid w:val="00676B33"/>
    <w:rsid w:val="0068559C"/>
    <w:rsid w:val="00695862"/>
    <w:rsid w:val="006A0DCC"/>
    <w:rsid w:val="006A78DD"/>
    <w:rsid w:val="006C5E9F"/>
    <w:rsid w:val="006D5B0E"/>
    <w:rsid w:val="006E1C43"/>
    <w:rsid w:val="006E1CEE"/>
    <w:rsid w:val="006E2400"/>
    <w:rsid w:val="006E360A"/>
    <w:rsid w:val="006E3CF7"/>
    <w:rsid w:val="006E63EE"/>
    <w:rsid w:val="00736A8E"/>
    <w:rsid w:val="0073771C"/>
    <w:rsid w:val="00740A6B"/>
    <w:rsid w:val="00774B52"/>
    <w:rsid w:val="007832A5"/>
    <w:rsid w:val="00785142"/>
    <w:rsid w:val="00790DFD"/>
    <w:rsid w:val="007A1684"/>
    <w:rsid w:val="007B4195"/>
    <w:rsid w:val="007B4AEE"/>
    <w:rsid w:val="007B5C78"/>
    <w:rsid w:val="007C614F"/>
    <w:rsid w:val="007C70E5"/>
    <w:rsid w:val="007C7D78"/>
    <w:rsid w:val="007D6CD1"/>
    <w:rsid w:val="007E03C6"/>
    <w:rsid w:val="008043BB"/>
    <w:rsid w:val="00804D18"/>
    <w:rsid w:val="0081038F"/>
    <w:rsid w:val="008111D0"/>
    <w:rsid w:val="0081268B"/>
    <w:rsid w:val="00820E0E"/>
    <w:rsid w:val="0082172D"/>
    <w:rsid w:val="0082435A"/>
    <w:rsid w:val="00832C27"/>
    <w:rsid w:val="00843468"/>
    <w:rsid w:val="00844DE5"/>
    <w:rsid w:val="008515A9"/>
    <w:rsid w:val="00855ED1"/>
    <w:rsid w:val="00857435"/>
    <w:rsid w:val="00865A73"/>
    <w:rsid w:val="0086648D"/>
    <w:rsid w:val="00866829"/>
    <w:rsid w:val="00872BC9"/>
    <w:rsid w:val="00882B80"/>
    <w:rsid w:val="00884642"/>
    <w:rsid w:val="008869E0"/>
    <w:rsid w:val="00891D90"/>
    <w:rsid w:val="00893127"/>
    <w:rsid w:val="008A65FF"/>
    <w:rsid w:val="008B27AD"/>
    <w:rsid w:val="008D11D3"/>
    <w:rsid w:val="008D7F2C"/>
    <w:rsid w:val="008E0A52"/>
    <w:rsid w:val="008E255D"/>
    <w:rsid w:val="008E3349"/>
    <w:rsid w:val="008E6402"/>
    <w:rsid w:val="008F2D70"/>
    <w:rsid w:val="008F5945"/>
    <w:rsid w:val="00901F2A"/>
    <w:rsid w:val="00903393"/>
    <w:rsid w:val="0090416F"/>
    <w:rsid w:val="00904D4F"/>
    <w:rsid w:val="0092527F"/>
    <w:rsid w:val="00925B12"/>
    <w:rsid w:val="0093363D"/>
    <w:rsid w:val="00937597"/>
    <w:rsid w:val="009412E0"/>
    <w:rsid w:val="00943209"/>
    <w:rsid w:val="0094479D"/>
    <w:rsid w:val="00972216"/>
    <w:rsid w:val="00984EB5"/>
    <w:rsid w:val="00991C75"/>
    <w:rsid w:val="009B21D6"/>
    <w:rsid w:val="009B3350"/>
    <w:rsid w:val="009B4C21"/>
    <w:rsid w:val="009C158E"/>
    <w:rsid w:val="009C7CCF"/>
    <w:rsid w:val="009D2ED8"/>
    <w:rsid w:val="009D74E7"/>
    <w:rsid w:val="009E0A06"/>
    <w:rsid w:val="009E1790"/>
    <w:rsid w:val="009E42F3"/>
    <w:rsid w:val="00A1404E"/>
    <w:rsid w:val="00A35EF0"/>
    <w:rsid w:val="00A375F3"/>
    <w:rsid w:val="00A43EA3"/>
    <w:rsid w:val="00A52BD7"/>
    <w:rsid w:val="00A537EE"/>
    <w:rsid w:val="00A601AF"/>
    <w:rsid w:val="00A615EE"/>
    <w:rsid w:val="00A64CAC"/>
    <w:rsid w:val="00A94530"/>
    <w:rsid w:val="00AB2A8B"/>
    <w:rsid w:val="00AB3914"/>
    <w:rsid w:val="00AB5C79"/>
    <w:rsid w:val="00AB64D5"/>
    <w:rsid w:val="00AB722F"/>
    <w:rsid w:val="00AD4E03"/>
    <w:rsid w:val="00AD6A92"/>
    <w:rsid w:val="00AE4883"/>
    <w:rsid w:val="00AF3A41"/>
    <w:rsid w:val="00AF485E"/>
    <w:rsid w:val="00B10B0E"/>
    <w:rsid w:val="00B125E2"/>
    <w:rsid w:val="00B1577C"/>
    <w:rsid w:val="00B2555C"/>
    <w:rsid w:val="00B363FB"/>
    <w:rsid w:val="00B416F7"/>
    <w:rsid w:val="00B43AA0"/>
    <w:rsid w:val="00B47A78"/>
    <w:rsid w:val="00B64488"/>
    <w:rsid w:val="00B7227F"/>
    <w:rsid w:val="00B82FF0"/>
    <w:rsid w:val="00B831B8"/>
    <w:rsid w:val="00B93C63"/>
    <w:rsid w:val="00BA2F0E"/>
    <w:rsid w:val="00BA35DF"/>
    <w:rsid w:val="00BA61E2"/>
    <w:rsid w:val="00BA736F"/>
    <w:rsid w:val="00BB053C"/>
    <w:rsid w:val="00BB2BD7"/>
    <w:rsid w:val="00BC2AA8"/>
    <w:rsid w:val="00BC37E7"/>
    <w:rsid w:val="00BD0109"/>
    <w:rsid w:val="00BE0B69"/>
    <w:rsid w:val="00BE4A67"/>
    <w:rsid w:val="00BF3391"/>
    <w:rsid w:val="00BF3F9C"/>
    <w:rsid w:val="00BF5C72"/>
    <w:rsid w:val="00C0057E"/>
    <w:rsid w:val="00C00BA2"/>
    <w:rsid w:val="00C05E56"/>
    <w:rsid w:val="00C13204"/>
    <w:rsid w:val="00C1488A"/>
    <w:rsid w:val="00C20030"/>
    <w:rsid w:val="00C30364"/>
    <w:rsid w:val="00C410C0"/>
    <w:rsid w:val="00C41AB4"/>
    <w:rsid w:val="00C423FA"/>
    <w:rsid w:val="00C44C80"/>
    <w:rsid w:val="00C54366"/>
    <w:rsid w:val="00C569F9"/>
    <w:rsid w:val="00C60317"/>
    <w:rsid w:val="00C67035"/>
    <w:rsid w:val="00C74EA1"/>
    <w:rsid w:val="00C76F15"/>
    <w:rsid w:val="00C82F81"/>
    <w:rsid w:val="00C8420A"/>
    <w:rsid w:val="00C97531"/>
    <w:rsid w:val="00C97C9C"/>
    <w:rsid w:val="00CA0046"/>
    <w:rsid w:val="00CA2BFD"/>
    <w:rsid w:val="00CA3E42"/>
    <w:rsid w:val="00CA4109"/>
    <w:rsid w:val="00CB5A70"/>
    <w:rsid w:val="00CC7F7A"/>
    <w:rsid w:val="00CD0155"/>
    <w:rsid w:val="00CD28A9"/>
    <w:rsid w:val="00CF5A5C"/>
    <w:rsid w:val="00D01DF4"/>
    <w:rsid w:val="00D027E1"/>
    <w:rsid w:val="00D03747"/>
    <w:rsid w:val="00D23CBB"/>
    <w:rsid w:val="00D31047"/>
    <w:rsid w:val="00D33982"/>
    <w:rsid w:val="00D70019"/>
    <w:rsid w:val="00D776AA"/>
    <w:rsid w:val="00D81797"/>
    <w:rsid w:val="00D951A0"/>
    <w:rsid w:val="00DA05A1"/>
    <w:rsid w:val="00DB68D5"/>
    <w:rsid w:val="00DC3103"/>
    <w:rsid w:val="00DD0DA8"/>
    <w:rsid w:val="00DD2043"/>
    <w:rsid w:val="00DE2920"/>
    <w:rsid w:val="00DE2A50"/>
    <w:rsid w:val="00DE61F7"/>
    <w:rsid w:val="00DF559F"/>
    <w:rsid w:val="00E0305D"/>
    <w:rsid w:val="00E10169"/>
    <w:rsid w:val="00E115C3"/>
    <w:rsid w:val="00E232C1"/>
    <w:rsid w:val="00E2762B"/>
    <w:rsid w:val="00E446A3"/>
    <w:rsid w:val="00E45D5E"/>
    <w:rsid w:val="00E6075B"/>
    <w:rsid w:val="00E618AF"/>
    <w:rsid w:val="00E6742F"/>
    <w:rsid w:val="00E70956"/>
    <w:rsid w:val="00E824AD"/>
    <w:rsid w:val="00E87C72"/>
    <w:rsid w:val="00E96AAD"/>
    <w:rsid w:val="00EA0F4A"/>
    <w:rsid w:val="00EB73E6"/>
    <w:rsid w:val="00EC54A1"/>
    <w:rsid w:val="00EC74F9"/>
    <w:rsid w:val="00ED35DA"/>
    <w:rsid w:val="00ED4336"/>
    <w:rsid w:val="00ED4982"/>
    <w:rsid w:val="00EE3AF8"/>
    <w:rsid w:val="00EE7855"/>
    <w:rsid w:val="00F213BE"/>
    <w:rsid w:val="00F24A1B"/>
    <w:rsid w:val="00F24A90"/>
    <w:rsid w:val="00F24C2C"/>
    <w:rsid w:val="00F315A7"/>
    <w:rsid w:val="00F36C72"/>
    <w:rsid w:val="00F4208D"/>
    <w:rsid w:val="00F4714F"/>
    <w:rsid w:val="00F47268"/>
    <w:rsid w:val="00F530AD"/>
    <w:rsid w:val="00F62DF8"/>
    <w:rsid w:val="00F82AC7"/>
    <w:rsid w:val="00F90D42"/>
    <w:rsid w:val="00FA4219"/>
    <w:rsid w:val="00FA53BA"/>
    <w:rsid w:val="00FA615F"/>
    <w:rsid w:val="00FC57DF"/>
    <w:rsid w:val="00FE20F6"/>
    <w:rsid w:val="00FE2196"/>
    <w:rsid w:val="00FE695C"/>
    <w:rsid w:val="00FE6FB6"/>
    <w:rsid w:val="09005175"/>
    <w:rsid w:val="0BE76115"/>
    <w:rsid w:val="0EA633CF"/>
    <w:rsid w:val="106E23A5"/>
    <w:rsid w:val="17226C52"/>
    <w:rsid w:val="1D4809E5"/>
    <w:rsid w:val="29CD6BDC"/>
    <w:rsid w:val="2A684655"/>
    <w:rsid w:val="32CD3B2B"/>
    <w:rsid w:val="34E80747"/>
    <w:rsid w:val="355A6315"/>
    <w:rsid w:val="36795742"/>
    <w:rsid w:val="3E5E7EDC"/>
    <w:rsid w:val="475C2719"/>
    <w:rsid w:val="50163CE6"/>
    <w:rsid w:val="6D7E246C"/>
    <w:rsid w:val="6DD52AFE"/>
    <w:rsid w:val="7E93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rFonts w:eastAsia="黑体"/>
      <w:bCs/>
      <w:kern w:val="0"/>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customStyle="1" w:styleId="2">
    <w:name w:val="四级标题"/>
    <w:basedOn w:val="3"/>
    <w:qFormat/>
    <w:uiPriority w:val="0"/>
    <w:rPr>
      <w:rFonts w:eastAsia="黑体"/>
      <w:szCs w:val="22"/>
    </w:rPr>
  </w:style>
  <w:style w:type="paragraph" w:styleId="3">
    <w:name w:val="Date"/>
    <w:basedOn w:val="1"/>
    <w:next w:val="1"/>
    <w:qFormat/>
    <w:uiPriority w:val="0"/>
    <w:rPr>
      <w:rFonts w:ascii="仿宋_GB2312" w:eastAsia="仿宋_GB2312"/>
      <w:sz w:val="30"/>
      <w:lang w:bidi="he-IL"/>
    </w:rPr>
  </w:style>
  <w:style w:type="paragraph" w:styleId="6">
    <w:name w:val="annotation text"/>
    <w:basedOn w:val="1"/>
    <w:link w:val="27"/>
    <w:qFormat/>
    <w:uiPriority w:val="0"/>
    <w:pPr>
      <w:jc w:val="left"/>
    </w:pPr>
  </w:style>
  <w:style w:type="paragraph" w:styleId="7">
    <w:name w:val="Body Text"/>
    <w:basedOn w:val="1"/>
    <w:next w:val="3"/>
    <w:unhideWhenUsed/>
    <w:qFormat/>
    <w:uiPriority w:val="99"/>
    <w:pPr>
      <w:spacing w:after="120"/>
    </w:pPr>
  </w:style>
  <w:style w:type="paragraph" w:styleId="8">
    <w:name w:val="Body Text Indent"/>
    <w:basedOn w:val="1"/>
    <w:next w:val="7"/>
    <w:qFormat/>
    <w:uiPriority w:val="0"/>
    <w:pPr>
      <w:spacing w:after="120"/>
      <w:ind w:left="200" w:leftChars="200"/>
    </w:pPr>
    <w:rPr>
      <w:kern w:val="0"/>
      <w:sz w:val="20"/>
      <w:szCs w:val="20"/>
    </w:rPr>
  </w:style>
  <w:style w:type="paragraph" w:styleId="9">
    <w:name w:val="toc 3"/>
    <w:basedOn w:val="1"/>
    <w:next w:val="1"/>
    <w:unhideWhenUsed/>
    <w:uiPriority w:val="39"/>
    <w:pPr>
      <w:ind w:left="840" w:leftChars="400"/>
    </w:pPr>
  </w:style>
  <w:style w:type="paragraph" w:styleId="10">
    <w:name w:val="Plain Text"/>
    <w:basedOn w:val="1"/>
    <w:qFormat/>
    <w:uiPriority w:val="0"/>
    <w:rPr>
      <w:rFonts w:ascii="宋体" w:hAnsi="Courier New"/>
      <w:szCs w:val="21"/>
    </w:rPr>
  </w:style>
  <w:style w:type="paragraph" w:styleId="11">
    <w:name w:val="Balloon Text"/>
    <w:basedOn w:val="1"/>
    <w:link w:val="29"/>
    <w:semiHidden/>
    <w:unhideWhenUsed/>
    <w:uiPriority w:val="0"/>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uiPriority w:val="39"/>
  </w:style>
  <w:style w:type="paragraph" w:styleId="15">
    <w:name w:val="toc 2"/>
    <w:basedOn w:val="1"/>
    <w:next w:val="1"/>
    <w:unhideWhenUsed/>
    <w:uiPriority w:val="39"/>
    <w:pPr>
      <w:ind w:left="420" w:leftChars="200"/>
    </w:pPr>
  </w:style>
  <w:style w:type="paragraph" w:styleId="16">
    <w:name w:val="annotation subject"/>
    <w:basedOn w:val="6"/>
    <w:next w:val="6"/>
    <w:link w:val="28"/>
    <w:semiHidden/>
    <w:unhideWhenUsed/>
    <w:uiPriority w:val="0"/>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rPr>
      <w:rFonts w:cs="Times New Roman"/>
    </w:rPr>
  </w:style>
  <w:style w:type="character" w:styleId="21">
    <w:name w:val="Hyperlink"/>
    <w:basedOn w:val="19"/>
    <w:unhideWhenUsed/>
    <w:uiPriority w:val="99"/>
    <w:rPr>
      <w:color w:val="0563C1"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paragraph" w:customStyle="1" w:styleId="23">
    <w:name w:val="Table Paragraph"/>
    <w:basedOn w:val="1"/>
    <w:qFormat/>
    <w:uiPriority w:val="1"/>
    <w:pPr>
      <w:jc w:val="left"/>
    </w:pPr>
    <w:rPr>
      <w:rFonts w:ascii="Calibri" w:hAnsi="Calibri"/>
      <w:kern w:val="0"/>
      <w:sz w:val="22"/>
      <w:szCs w:val="22"/>
      <w:lang w:eastAsia="en-US"/>
    </w:rPr>
  </w:style>
  <w:style w:type="paragraph" w:styleId="24">
    <w:name w:val="List Paragraph"/>
    <w:basedOn w:val="1"/>
    <w:unhideWhenUsed/>
    <w:qFormat/>
    <w:uiPriority w:val="34"/>
    <w:pPr>
      <w:ind w:firstLine="420" w:firstLineChars="200"/>
    </w:pPr>
  </w:style>
  <w:style w:type="paragraph" w:customStyle="1" w:styleId="25">
    <w:name w:val="样式 标题 3 + (中文) 黑体 小四 非加粗 段前: 7.8 磅 段后: 0 磅 行距: 固定值 20 磅"/>
    <w:basedOn w:val="5"/>
    <w:qFormat/>
    <w:uiPriority w:val="0"/>
    <w:pPr>
      <w:spacing w:before="0" w:after="0" w:line="400" w:lineRule="exact"/>
    </w:pPr>
    <w:rPr>
      <w:bCs w:val="0"/>
      <w:sz w:val="24"/>
      <w:szCs w:val="24"/>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character" w:customStyle="1" w:styleId="27">
    <w:name w:val="批注文字 Char"/>
    <w:basedOn w:val="19"/>
    <w:link w:val="6"/>
    <w:qFormat/>
    <w:uiPriority w:val="0"/>
    <w:rPr>
      <w:rFonts w:ascii="Times New Roman" w:hAnsi="Times New Roman" w:eastAsia="宋体" w:cs="Times New Roman"/>
      <w:kern w:val="2"/>
      <w:sz w:val="21"/>
      <w:szCs w:val="24"/>
    </w:rPr>
  </w:style>
  <w:style w:type="character" w:customStyle="1" w:styleId="28">
    <w:name w:val="批注主题 Char"/>
    <w:basedOn w:val="27"/>
    <w:link w:val="16"/>
    <w:semiHidden/>
    <w:qFormat/>
    <w:uiPriority w:val="0"/>
    <w:rPr>
      <w:rFonts w:ascii="Times New Roman" w:hAnsi="Times New Roman" w:eastAsia="宋体" w:cs="Times New Roman"/>
      <w:b/>
      <w:bCs/>
      <w:kern w:val="2"/>
      <w:sz w:val="21"/>
      <w:szCs w:val="24"/>
    </w:rPr>
  </w:style>
  <w:style w:type="character" w:customStyle="1" w:styleId="29">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0">
    <w:name w:val="页眉 Char"/>
    <w:basedOn w:val="19"/>
    <w:link w:val="13"/>
    <w:uiPriority w:val="99"/>
    <w:rPr>
      <w:rFonts w:ascii="Times New Roman" w:hAnsi="Times New Roman" w:eastAsia="宋体" w:cs="Times New Roman"/>
      <w:kern w:val="2"/>
      <w:sz w:val="18"/>
      <w:szCs w:val="18"/>
    </w:rPr>
  </w:style>
  <w:style w:type="character" w:customStyle="1" w:styleId="31">
    <w:name w:val="页脚 Char"/>
    <w:basedOn w:val="19"/>
    <w:link w:val="12"/>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6CAC7-257E-419A-A849-059B50AD3DF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1776</Words>
  <Characters>10124</Characters>
  <Lines>84</Lines>
  <Paragraphs>23</Paragraphs>
  <TotalTime>2423</TotalTime>
  <ScaleCrop>false</ScaleCrop>
  <LinksUpToDate>false</LinksUpToDate>
  <CharactersWithSpaces>11877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2020-07-06T00:31:00Z</dcterms:created>
  <dc:creator>00</dc:creator>
  <cp:lastModifiedBy>风起水涟漪</cp:lastModifiedBy>
  <cp:lastPrinted>2021-07-10T08:31:00Z</cp:lastPrinted>
  <dcterms:modified xsi:type="dcterms:W3CDTF">2021-07-10T12:36:38Z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B2011F577E634D21BCA4AE69FB06342D</vt:lpwstr>
  </property>
</Properties>
</file>