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C46" w:rsidRPr="00047770" w:rsidRDefault="00BF62F3" w:rsidP="00BB7C46">
      <w:pPr>
        <w:rPr>
          <w:b/>
          <w:sz w:val="36"/>
          <w:szCs w:val="36"/>
        </w:rPr>
      </w:pPr>
      <w:r w:rsidRPr="00BF62F3">
        <w:rPr>
          <w:rFonts w:hint="eastAsia"/>
          <w:b/>
          <w:sz w:val="36"/>
          <w:szCs w:val="36"/>
        </w:rPr>
        <w:t>文字部分替换为</w:t>
      </w:r>
      <w:r w:rsidR="00BB7C46" w:rsidRPr="00047770">
        <w:rPr>
          <w:rFonts w:hint="eastAsia"/>
          <w:b/>
          <w:sz w:val="36"/>
          <w:szCs w:val="36"/>
        </w:rPr>
        <w:t>：</w:t>
      </w:r>
    </w:p>
    <w:p w:rsidR="00B9066B" w:rsidRDefault="00B9066B" w:rsidP="00B9066B">
      <w:r>
        <w:rPr>
          <w:rFonts w:hint="eastAsia"/>
        </w:rPr>
        <w:t>变电所设备缺陷管理制度</w:t>
      </w:r>
    </w:p>
    <w:p w:rsidR="00B9066B" w:rsidRDefault="00B9066B" w:rsidP="00B9066B">
      <w:r>
        <w:rPr>
          <w:rFonts w:hint="eastAsia"/>
        </w:rPr>
        <w:t>1</w:t>
      </w:r>
      <w:r>
        <w:rPr>
          <w:rFonts w:hint="eastAsia"/>
        </w:rPr>
        <w:t>、在额定条件下运行或备用的设备上发生了影响安全的异常现象或达不到一类设备条件的问题，均叫做设备缺陷，设备缺陷可分为重大缺陷和一般缺陷重大缺陷：设备缺陷严重威胁设备安全运行或人身安全，不及时处理，可能造成事故者；一般缺陷：设备缺陷不及时处理尚能保持安全运行者。</w:t>
      </w:r>
    </w:p>
    <w:p w:rsidR="00B9066B" w:rsidRDefault="00B9066B" w:rsidP="00B9066B">
      <w:r>
        <w:rPr>
          <w:rFonts w:hint="eastAsia"/>
        </w:rPr>
        <w:t>2</w:t>
      </w:r>
      <w:r>
        <w:rPr>
          <w:rFonts w:hint="eastAsia"/>
        </w:rPr>
        <w:t>、发现设备重大缺陷，当班值班负责人应立即组织消除或采取可靠措施，当班不能消除的缺陷，应由所长组织力量予以消除，所长无力消除的缺陷，应及时向上一级领导汇报，上级领导应制定专人及时消除，并由值班人员监督执行。</w:t>
      </w:r>
    </w:p>
    <w:p w:rsidR="00B9066B" w:rsidRDefault="00B9066B" w:rsidP="00B9066B">
      <w:r>
        <w:rPr>
          <w:rFonts w:hint="eastAsia"/>
        </w:rPr>
        <w:t>3</w:t>
      </w:r>
      <w:r>
        <w:rPr>
          <w:rFonts w:hint="eastAsia"/>
        </w:rPr>
        <w:t>、发现设备一般缺陷，可列入正常维修计划进行处理。</w:t>
      </w:r>
    </w:p>
    <w:p w:rsidR="00B9066B" w:rsidRDefault="00B9066B" w:rsidP="00B9066B">
      <w:r>
        <w:rPr>
          <w:rFonts w:hint="eastAsia"/>
        </w:rPr>
        <w:t>4</w:t>
      </w:r>
      <w:r>
        <w:rPr>
          <w:rFonts w:hint="eastAsia"/>
        </w:rPr>
        <w:t>、设备缺陷无论消除与否均应由值班员记入设备缺陷记录簿，并向上一级领导汇报。</w:t>
      </w:r>
    </w:p>
    <w:p w:rsidR="00B9066B" w:rsidRDefault="00B9066B" w:rsidP="00B9066B">
      <w:r>
        <w:rPr>
          <w:rFonts w:hint="eastAsia"/>
        </w:rPr>
        <w:t>5</w:t>
      </w:r>
      <w:r>
        <w:rPr>
          <w:rFonts w:hint="eastAsia"/>
        </w:rPr>
        <w:t>、值班人员在运行中应加强设备缺陷的监视，在交接班时应详细进行交待。</w:t>
      </w:r>
    </w:p>
    <w:p w:rsidR="00B9066B" w:rsidRDefault="00B9066B" w:rsidP="00B9066B">
      <w:r>
        <w:rPr>
          <w:rFonts w:hint="eastAsia"/>
        </w:rPr>
        <w:t>6</w:t>
      </w:r>
      <w:r>
        <w:rPr>
          <w:rFonts w:hint="eastAsia"/>
        </w:rPr>
        <w:t>、变电所所长应经常查阅设备缺陷记录簿，了解设备缺陷内容和处理情况，对未消除者应尽快安排处理。</w:t>
      </w:r>
    </w:p>
    <w:p w:rsidR="00340148" w:rsidRDefault="00B9066B" w:rsidP="00B9066B">
      <w:r>
        <w:rPr>
          <w:rFonts w:hint="eastAsia"/>
        </w:rPr>
        <w:t>7</w:t>
      </w:r>
      <w:r>
        <w:rPr>
          <w:rFonts w:hint="eastAsia"/>
        </w:rPr>
        <w:t>、消除重大设备缺陷遇有困难时，应及时同当地电业部门联系，请求支助，以避免造成更大的损失。</w:t>
      </w:r>
    </w:p>
    <w:p w:rsidR="002A4C16" w:rsidRDefault="002A4C16" w:rsidP="002A4C16">
      <w:pPr>
        <w:rPr>
          <w:noProof/>
        </w:rPr>
      </w:pPr>
      <w:r w:rsidRPr="00047770">
        <w:rPr>
          <w:rFonts w:hint="eastAsia"/>
          <w:b/>
          <w:sz w:val="36"/>
          <w:szCs w:val="36"/>
        </w:rPr>
        <w:t>参考样图：</w:t>
      </w:r>
    </w:p>
    <w:p w:rsidR="002A4C16" w:rsidRPr="00047770" w:rsidRDefault="002A4C16" w:rsidP="002A4C16">
      <w:pPr>
        <w:rPr>
          <w:b/>
          <w:sz w:val="36"/>
          <w:szCs w:val="36"/>
        </w:rPr>
      </w:pPr>
      <w:r>
        <w:rPr>
          <w:noProof/>
        </w:rPr>
        <w:drawing>
          <wp:inline distT="0" distB="0" distL="0" distR="0" wp14:anchorId="0826309C" wp14:editId="3C237A7C">
            <wp:extent cx="2990850" cy="4581552"/>
            <wp:effectExtent l="0" t="0" r="0" b="9525"/>
            <wp:docPr id="1" name="图片 1" descr="0db36ef3e81be14eb11172ca5b6ce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db36ef3e81be14eb11172ca5b6ce0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272" r="4244" b="11149"/>
                    <a:stretch/>
                  </pic:blipFill>
                  <pic:spPr bwMode="auto">
                    <a:xfrm>
                      <a:off x="0" y="0"/>
                      <a:ext cx="2993280" cy="4585275"/>
                    </a:xfrm>
                    <a:prstGeom prst="rect">
                      <a:avLst/>
                    </a:prstGeom>
                    <a:noFill/>
                    <a:ln>
                      <a:noFill/>
                    </a:ln>
                    <a:extLst>
                      <a:ext uri="{53640926-AAD7-44D8-BBD7-CCE9431645EC}">
                        <a14:shadowObscured xmlns:a14="http://schemas.microsoft.com/office/drawing/2010/main"/>
                      </a:ext>
                    </a:extLst>
                  </pic:spPr>
                </pic:pic>
              </a:graphicData>
            </a:graphic>
          </wp:inline>
        </w:drawing>
      </w:r>
    </w:p>
    <w:p w:rsidR="002A4C16" w:rsidRDefault="002A4C16" w:rsidP="002A4C16"/>
    <w:p w:rsidR="002A4C16" w:rsidRPr="00047770" w:rsidRDefault="002A4C16" w:rsidP="002A4C16">
      <w:pPr>
        <w:rPr>
          <w:b/>
          <w:sz w:val="36"/>
          <w:szCs w:val="36"/>
        </w:rPr>
      </w:pPr>
      <w:r w:rsidRPr="00047770">
        <w:rPr>
          <w:rFonts w:hint="eastAsia"/>
          <w:b/>
          <w:sz w:val="36"/>
          <w:szCs w:val="36"/>
        </w:rPr>
        <w:lastRenderedPageBreak/>
        <w:t>尺寸要求</w:t>
      </w:r>
      <w:r w:rsidRPr="00047770">
        <w:rPr>
          <w:rFonts w:hint="eastAsia"/>
          <w:b/>
          <w:sz w:val="36"/>
          <w:szCs w:val="36"/>
        </w:rPr>
        <w:t>:</w:t>
      </w:r>
    </w:p>
    <w:p w:rsidR="002A4C16" w:rsidRDefault="002A4C16" w:rsidP="002A4C16">
      <w:pPr>
        <w:pStyle w:val="a7"/>
        <w:numPr>
          <w:ilvl w:val="0"/>
          <w:numId w:val="1"/>
        </w:numPr>
        <w:ind w:firstLineChars="0"/>
      </w:pPr>
      <w:r>
        <w:rPr>
          <w:rFonts w:hint="eastAsia"/>
        </w:rPr>
        <w:t>把左上角金隅冀东的标志替换为台泥</w:t>
      </w:r>
      <w:r>
        <w:rPr>
          <w:rFonts w:hint="eastAsia"/>
        </w:rPr>
        <w:t>L</w:t>
      </w:r>
      <w:r>
        <w:t xml:space="preserve">OGO </w:t>
      </w:r>
      <w:r>
        <w:rPr>
          <w:noProof/>
        </w:rPr>
        <w:drawing>
          <wp:inline distT="0" distB="0" distL="0" distR="0" wp14:anchorId="381EA829" wp14:editId="0B2600D1">
            <wp:extent cx="828675" cy="335280"/>
            <wp:effectExtent l="0" t="0" r="9525" b="7620"/>
            <wp:docPr id="37" name="图片 1" descr="l1.jpg">
              <a:extLst xmlns:a="http://schemas.openxmlformats.org/drawingml/2006/main">
                <a:ext uri="{FF2B5EF4-FFF2-40B4-BE49-F238E27FC236}">
                  <a16:creationId xmlns:a16="http://schemas.microsoft.com/office/drawing/2014/main" id="{00000000-0008-0000-1700-000002000000}"/>
                </a:ext>
              </a:extLst>
            </wp:docPr>
            <wp:cNvGraphicFramePr/>
            <a:graphic xmlns:a="http://schemas.openxmlformats.org/drawingml/2006/main">
              <a:graphicData uri="http://schemas.openxmlformats.org/drawingml/2006/picture">
                <pic:pic xmlns:pic="http://schemas.openxmlformats.org/drawingml/2006/picture">
                  <pic:nvPicPr>
                    <pic:cNvPr id="2" name="图片 1" descr="l1.jpg">
                      <a:extLst>
                        <a:ext uri="{FF2B5EF4-FFF2-40B4-BE49-F238E27FC236}">
                          <a16:creationId xmlns:a16="http://schemas.microsoft.com/office/drawing/2014/main" id="{00000000-0008-0000-1700-000002000000}"/>
                        </a:ext>
                      </a:extLst>
                    </pic:cNvPr>
                    <pic:cNvPicPr/>
                  </pic:nvPicPr>
                  <pic:blipFill>
                    <a:blip r:embed="rId8"/>
                    <a:stretch>
                      <a:fillRect/>
                    </a:stretch>
                  </pic:blipFill>
                  <pic:spPr>
                    <a:xfrm>
                      <a:off x="0" y="0"/>
                      <a:ext cx="829795" cy="335733"/>
                    </a:xfrm>
                    <a:prstGeom prst="rect">
                      <a:avLst/>
                    </a:prstGeom>
                  </pic:spPr>
                </pic:pic>
              </a:graphicData>
            </a:graphic>
          </wp:inline>
        </w:drawing>
      </w:r>
    </w:p>
    <w:p w:rsidR="002A4C16" w:rsidRDefault="002A4C16" w:rsidP="002A4C16">
      <w:pPr>
        <w:pStyle w:val="a7"/>
        <w:numPr>
          <w:ilvl w:val="0"/>
          <w:numId w:val="1"/>
        </w:numPr>
        <w:ind w:firstLineChars="0"/>
      </w:pPr>
      <w:r>
        <w:rPr>
          <w:rFonts w:hint="eastAsia"/>
        </w:rPr>
        <w:t>结尾落款处更改为：台泥（辽宁）水泥有限公司</w:t>
      </w:r>
    </w:p>
    <w:p w:rsidR="002A4C16" w:rsidRPr="00047770" w:rsidRDefault="002A4C16" w:rsidP="00D02682">
      <w:pPr>
        <w:pStyle w:val="a7"/>
        <w:numPr>
          <w:ilvl w:val="0"/>
          <w:numId w:val="1"/>
        </w:numPr>
        <w:ind w:firstLineChars="0"/>
      </w:pPr>
      <w:r>
        <w:rPr>
          <w:rFonts w:hint="eastAsia"/>
        </w:rPr>
        <w:t>材质为</w:t>
      </w:r>
      <w:r w:rsidR="00B865FD" w:rsidRPr="00A501E1">
        <w:rPr>
          <w:rFonts w:ascii="宋体" w:eastAsia="宋体" w:hAnsi="宋体" w:hint="eastAsia"/>
          <w:spacing w:val="26"/>
          <w:szCs w:val="20"/>
        </w:rPr>
        <w:t xml:space="preserve">铝塑板 覆车贴 </w:t>
      </w:r>
      <w:r w:rsidR="00B865FD" w:rsidRPr="00A501E1">
        <w:rPr>
          <w:rFonts w:ascii="宋体" w:eastAsia="宋体" w:hAnsi="宋体" w:hint="eastAsia"/>
          <w:spacing w:val="26"/>
          <w:szCs w:val="20"/>
          <w:lang w:eastAsia="zh-TW"/>
        </w:rPr>
        <w:t>尺寸</w:t>
      </w:r>
      <w:r w:rsidR="00B865FD" w:rsidRPr="00A501E1">
        <w:rPr>
          <w:rFonts w:ascii="宋体" w:eastAsia="宋体" w:hAnsi="宋体" w:hint="eastAsia"/>
          <w:spacing w:val="26"/>
          <w:szCs w:val="20"/>
        </w:rPr>
        <w:t>高</w:t>
      </w:r>
      <w:r w:rsidR="00B865FD" w:rsidRPr="00A501E1">
        <w:rPr>
          <w:rFonts w:ascii="宋体" w:eastAsia="宋体" w:hAnsi="宋体" w:hint="eastAsia"/>
          <w:spacing w:val="26"/>
          <w:szCs w:val="20"/>
          <w:lang w:eastAsia="zh-TW"/>
        </w:rPr>
        <w:t>9</w:t>
      </w:r>
      <w:r w:rsidR="00B865FD" w:rsidRPr="00A501E1">
        <w:rPr>
          <w:rFonts w:ascii="宋体" w:eastAsia="宋体" w:hAnsi="宋体"/>
          <w:spacing w:val="26"/>
          <w:szCs w:val="20"/>
          <w:lang w:eastAsia="zh-TW"/>
        </w:rPr>
        <w:t>0</w:t>
      </w:r>
      <w:r w:rsidR="00B865FD" w:rsidRPr="00A501E1">
        <w:rPr>
          <w:rFonts w:ascii="宋体" w:eastAsia="宋体" w:hAnsi="宋体" w:hint="eastAsia"/>
          <w:spacing w:val="26"/>
          <w:szCs w:val="20"/>
          <w:lang w:eastAsia="zh-TW"/>
        </w:rPr>
        <w:t>cm</w:t>
      </w:r>
      <w:r w:rsidR="00B865FD" w:rsidRPr="00A501E1">
        <w:rPr>
          <w:rFonts w:ascii="宋体" w:eastAsia="宋体" w:hAnsi="宋体"/>
          <w:spacing w:val="26"/>
          <w:szCs w:val="20"/>
          <w:lang w:eastAsia="zh-TW"/>
        </w:rPr>
        <w:t>*</w:t>
      </w:r>
      <w:r w:rsidR="00B865FD" w:rsidRPr="00A501E1">
        <w:rPr>
          <w:rFonts w:ascii="宋体" w:eastAsia="宋体" w:hAnsi="宋体" w:hint="eastAsia"/>
          <w:spacing w:val="26"/>
          <w:szCs w:val="20"/>
        </w:rPr>
        <w:t>长</w:t>
      </w:r>
      <w:r w:rsidR="00B865FD" w:rsidRPr="00A501E1">
        <w:rPr>
          <w:rFonts w:ascii="宋体" w:eastAsia="宋体" w:hAnsi="宋体"/>
          <w:spacing w:val="26"/>
          <w:szCs w:val="20"/>
          <w:lang w:eastAsia="zh-TW"/>
        </w:rPr>
        <w:t>60</w:t>
      </w:r>
      <w:r w:rsidR="00B865FD" w:rsidRPr="00A501E1">
        <w:rPr>
          <w:rFonts w:ascii="宋体" w:eastAsia="宋体" w:hAnsi="宋体" w:hint="eastAsia"/>
          <w:spacing w:val="26"/>
          <w:szCs w:val="20"/>
          <w:lang w:eastAsia="zh-TW"/>
        </w:rPr>
        <w:t>cm</w:t>
      </w:r>
      <w:bookmarkStart w:id="0" w:name="_GoBack"/>
      <w:bookmarkEnd w:id="0"/>
    </w:p>
    <w:p w:rsidR="002A4C16" w:rsidRPr="002A4C16" w:rsidRDefault="002A4C16" w:rsidP="00B9066B"/>
    <w:sectPr w:rsidR="002A4C16" w:rsidRPr="002A4C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480" w:rsidRDefault="00BA2480" w:rsidP="002A4C16">
      <w:r>
        <w:separator/>
      </w:r>
    </w:p>
  </w:endnote>
  <w:endnote w:type="continuationSeparator" w:id="0">
    <w:p w:rsidR="00BA2480" w:rsidRDefault="00BA2480" w:rsidP="002A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480" w:rsidRDefault="00BA2480" w:rsidP="002A4C16">
      <w:r>
        <w:separator/>
      </w:r>
    </w:p>
  </w:footnote>
  <w:footnote w:type="continuationSeparator" w:id="0">
    <w:p w:rsidR="00BA2480" w:rsidRDefault="00BA2480" w:rsidP="002A4C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B4D06"/>
    <w:multiLevelType w:val="hybridMultilevel"/>
    <w:tmpl w:val="392A4C18"/>
    <w:lvl w:ilvl="0" w:tplc="CDB88B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3F"/>
    <w:rsid w:val="002A4C16"/>
    <w:rsid w:val="00340148"/>
    <w:rsid w:val="003609AB"/>
    <w:rsid w:val="0052573F"/>
    <w:rsid w:val="00B865FD"/>
    <w:rsid w:val="00B9066B"/>
    <w:rsid w:val="00BA2480"/>
    <w:rsid w:val="00BB7C46"/>
    <w:rsid w:val="00BF62F3"/>
    <w:rsid w:val="00F14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D1F961-D917-4E3C-BEF9-09DE41C8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C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4C16"/>
    <w:rPr>
      <w:sz w:val="18"/>
      <w:szCs w:val="18"/>
    </w:rPr>
  </w:style>
  <w:style w:type="paragraph" w:styleId="a5">
    <w:name w:val="footer"/>
    <w:basedOn w:val="a"/>
    <w:link w:val="a6"/>
    <w:uiPriority w:val="99"/>
    <w:unhideWhenUsed/>
    <w:rsid w:val="002A4C16"/>
    <w:pPr>
      <w:tabs>
        <w:tab w:val="center" w:pos="4153"/>
        <w:tab w:val="right" w:pos="8306"/>
      </w:tabs>
      <w:snapToGrid w:val="0"/>
      <w:jc w:val="left"/>
    </w:pPr>
    <w:rPr>
      <w:sz w:val="18"/>
      <w:szCs w:val="18"/>
    </w:rPr>
  </w:style>
  <w:style w:type="character" w:customStyle="1" w:styleId="a6">
    <w:name w:val="页脚 字符"/>
    <w:basedOn w:val="a0"/>
    <w:link w:val="a5"/>
    <w:uiPriority w:val="99"/>
    <w:rsid w:val="002A4C16"/>
    <w:rPr>
      <w:sz w:val="18"/>
      <w:szCs w:val="18"/>
    </w:rPr>
  </w:style>
  <w:style w:type="paragraph" w:styleId="a7">
    <w:name w:val="List Paragraph"/>
    <w:basedOn w:val="a"/>
    <w:uiPriority w:val="34"/>
    <w:qFormat/>
    <w:rsid w:val="002A4C16"/>
    <w:pPr>
      <w:ind w:firstLineChars="200" w:firstLine="420"/>
    </w:pPr>
  </w:style>
  <w:style w:type="paragraph" w:styleId="a8">
    <w:name w:val="Balloon Text"/>
    <w:basedOn w:val="a"/>
    <w:link w:val="a9"/>
    <w:uiPriority w:val="99"/>
    <w:semiHidden/>
    <w:unhideWhenUsed/>
    <w:rsid w:val="002A4C16"/>
    <w:rPr>
      <w:sz w:val="18"/>
      <w:szCs w:val="18"/>
    </w:rPr>
  </w:style>
  <w:style w:type="character" w:customStyle="1" w:styleId="a9">
    <w:name w:val="批注框文本 字符"/>
    <w:basedOn w:val="a0"/>
    <w:link w:val="a8"/>
    <w:uiPriority w:val="99"/>
    <w:semiHidden/>
    <w:rsid w:val="002A4C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李卓超(李卓超)</dc:creator>
  <cp:keywords/>
  <dc:description/>
  <cp:lastModifiedBy>祝壮(祝壯)</cp:lastModifiedBy>
  <cp:revision>6</cp:revision>
  <dcterms:created xsi:type="dcterms:W3CDTF">2021-05-07T08:28:00Z</dcterms:created>
  <dcterms:modified xsi:type="dcterms:W3CDTF">2021-05-12T01:11:00Z</dcterms:modified>
</cp:coreProperties>
</file>