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rPr>
        <w:t>方案要求</w:t>
      </w:r>
    </w:p>
    <w:p>
      <w:pPr>
        <w:ind w:firstLine="2249" w:firstLineChars="700"/>
        <w:rPr>
          <w:b/>
          <w:bCs/>
          <w:sz w:val="32"/>
          <w:szCs w:val="32"/>
        </w:rPr>
      </w:pPr>
    </w:p>
    <w:p>
      <w:pPr>
        <w:numPr>
          <w:ilvl w:val="0"/>
          <w:numId w:val="1"/>
        </w:numPr>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服务名称：测绘及编制开采规划调整调查报告</w:t>
      </w:r>
    </w:p>
    <w:p>
      <w:pPr>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二、工期要求：自合同签订后30个工作日</w:t>
      </w:r>
    </w:p>
    <w:p>
      <w:pPr>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三、针对此外委施工供应商需要提供的资质：营业范围工程勘察专业类。</w:t>
      </w:r>
    </w:p>
    <w:p>
      <w:pPr>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四、是否需勘踏现场：否。如需了解现场情况请联系：</w:t>
      </w:r>
    </w:p>
    <w:p>
      <w:pPr>
        <w:ind w:firstLine="643" w:firstLineChars="200"/>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闫建军    15530390119</w:t>
      </w:r>
    </w:p>
    <w:p>
      <w:pPr>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五、施工内容：</w:t>
      </w:r>
    </w:p>
    <w:tbl>
      <w:tblPr>
        <w:tblStyle w:val="2"/>
        <w:tblpPr w:leftFromText="180" w:rightFromText="180" w:vertAnchor="text" w:horzAnchor="page" w:tblpX="1431" w:tblpY="208"/>
        <w:tblOverlap w:val="never"/>
        <w:tblW w:w="10331" w:type="dxa"/>
        <w:tblInd w:w="0" w:type="dxa"/>
        <w:tblLayout w:type="fixed"/>
        <w:tblCellMar>
          <w:top w:w="0" w:type="dxa"/>
          <w:left w:w="108" w:type="dxa"/>
          <w:bottom w:w="0" w:type="dxa"/>
          <w:right w:w="108" w:type="dxa"/>
        </w:tblCellMar>
      </w:tblPr>
      <w:tblGrid>
        <w:gridCol w:w="742"/>
        <w:gridCol w:w="3873"/>
        <w:gridCol w:w="883"/>
        <w:gridCol w:w="764"/>
        <w:gridCol w:w="1484"/>
        <w:gridCol w:w="2585"/>
      </w:tblGrid>
      <w:tr>
        <w:tblPrEx>
          <w:tblCellMar>
            <w:top w:w="0" w:type="dxa"/>
            <w:left w:w="108" w:type="dxa"/>
            <w:bottom w:w="0" w:type="dxa"/>
            <w:right w:w="108" w:type="dxa"/>
          </w:tblCellMar>
        </w:tblPrEx>
        <w:trPr>
          <w:trHeight w:val="74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2312" w:hAnsi="方正仿宋_GB2312" w:eastAsia="方正仿宋_GB2312" w:cs="方正仿宋_GB2312"/>
                <w:b/>
                <w:bCs/>
                <w:color w:val="000000"/>
                <w:sz w:val="24"/>
              </w:rPr>
            </w:pPr>
            <w:r>
              <w:rPr>
                <w:rFonts w:hint="eastAsia"/>
                <w:szCs w:val="21"/>
              </w:rPr>
              <w:t>序号</w:t>
            </w:r>
          </w:p>
        </w:tc>
        <w:tc>
          <w:tcPr>
            <w:tcW w:w="38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2312" w:hAnsi="方正仿宋_GB2312" w:eastAsia="方正仿宋_GB2312" w:cs="方正仿宋_GB2312"/>
                <w:b/>
                <w:bCs/>
                <w:color w:val="000000"/>
                <w:sz w:val="24"/>
              </w:rPr>
            </w:pPr>
            <w:r>
              <w:rPr>
                <w:rFonts w:hint="eastAsia"/>
                <w:szCs w:val="21"/>
              </w:rPr>
              <w:t>服务内容</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2312" w:hAnsi="方正仿宋_GB2312" w:eastAsia="方正仿宋_GB2312" w:cs="方正仿宋_GB2312"/>
                <w:b/>
                <w:bCs/>
                <w:color w:val="000000"/>
                <w:sz w:val="24"/>
              </w:rPr>
            </w:pPr>
            <w:r>
              <w:rPr>
                <w:rFonts w:hint="eastAsia"/>
                <w:szCs w:val="21"/>
              </w:rPr>
              <w:t>数量</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2312" w:hAnsi="方正仿宋_GB2312" w:eastAsia="方正仿宋_GB2312" w:cs="方正仿宋_GB2312"/>
                <w:b/>
                <w:bCs/>
                <w:color w:val="000000"/>
                <w:sz w:val="24"/>
              </w:rPr>
            </w:pPr>
            <w:r>
              <w:rPr>
                <w:rFonts w:hint="eastAsia"/>
                <w:szCs w:val="21"/>
              </w:rPr>
              <w:t>单位</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2312" w:hAnsi="方正仿宋_GB2312" w:eastAsia="方正仿宋_GB2312" w:cs="方正仿宋_GB2312"/>
                <w:b/>
                <w:bCs/>
                <w:color w:val="000000"/>
                <w:sz w:val="24"/>
              </w:rPr>
            </w:pPr>
            <w:r>
              <w:rPr>
                <w:rFonts w:hint="eastAsia"/>
                <w:szCs w:val="21"/>
              </w:rPr>
              <w:t>金额上限</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2312" w:hAnsi="方正仿宋_GB2312" w:eastAsia="方正仿宋_GB2312" w:cs="方正仿宋_GB2312"/>
                <w:b/>
                <w:bCs/>
                <w:color w:val="000000"/>
                <w:sz w:val="24"/>
              </w:rPr>
            </w:pPr>
            <w:r>
              <w:rPr>
                <w:rFonts w:hint="eastAsia"/>
                <w:szCs w:val="21"/>
              </w:rPr>
              <w:t>验收标准</w:t>
            </w:r>
          </w:p>
        </w:tc>
      </w:tr>
      <w:tr>
        <w:tblPrEx>
          <w:tblCellMar>
            <w:top w:w="0" w:type="dxa"/>
            <w:left w:w="108" w:type="dxa"/>
            <w:bottom w:w="0" w:type="dxa"/>
            <w:right w:w="108" w:type="dxa"/>
          </w:tblCellMar>
        </w:tblPrEx>
        <w:trPr>
          <w:trHeight w:val="2789"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2312" w:hAnsi="方正仿宋_GB2312" w:eastAsia="方正仿宋_GB2312" w:cs="方正仿宋_GB2312"/>
                <w:b/>
                <w:bCs/>
                <w:color w:val="000000"/>
                <w:sz w:val="24"/>
              </w:rPr>
            </w:pPr>
            <w:r>
              <w:rPr>
                <w:rFonts w:hint="eastAsia" w:ascii="方正仿宋_GB2312" w:hAnsi="方正仿宋_GB2312" w:eastAsia="方正仿宋_GB2312" w:cs="方正仿宋_GB2312"/>
                <w:b/>
                <w:bCs/>
                <w:color w:val="000000"/>
                <w:kern w:val="0"/>
                <w:sz w:val="24"/>
                <w:lang w:bidi="ar"/>
              </w:rPr>
              <w:t>1</w:t>
            </w:r>
          </w:p>
        </w:tc>
        <w:tc>
          <w:tcPr>
            <w:tcW w:w="387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rPr>
                <w:rFonts w:ascii="仿宋_GB2312" w:hAnsi="宋体" w:eastAsia="仿宋_GB2312"/>
                <w:sz w:val="24"/>
              </w:rPr>
            </w:pPr>
            <w:r>
              <w:rPr>
                <w:rFonts w:hint="eastAsia" w:ascii="仿宋_GB2312" w:hAnsi="宋体" w:eastAsia="仿宋_GB2312"/>
                <w:sz w:val="24"/>
              </w:rPr>
              <w:t>布设控制点，完成测区碎步测量2.对矿山原有开采范围根据地形、地貌、形态、界线、标高进行地形图扩大实测工作</w:t>
            </w:r>
          </w:p>
          <w:p>
            <w:pPr>
              <w:rPr>
                <w:rFonts w:ascii="仿宋_GB2312" w:hAnsi="宋体" w:eastAsia="仿宋_GB2312"/>
                <w:sz w:val="24"/>
              </w:rPr>
            </w:pPr>
            <w:r>
              <w:rPr>
                <w:rFonts w:hint="eastAsia" w:ascii="仿宋_GB2312" w:hAnsi="宋体" w:eastAsia="仿宋_GB2312"/>
                <w:sz w:val="24"/>
              </w:rPr>
              <w:t>3.根据测量成果制做三维模型，计算矿区资源量</w:t>
            </w:r>
          </w:p>
          <w:p>
            <w:pPr>
              <w:rPr>
                <w:rFonts w:ascii="方正仿宋_GB2312" w:hAnsi="方正仿宋_GB2312" w:eastAsia="宋体" w:cs="方正仿宋_GB2312"/>
                <w:color w:val="FF0000"/>
                <w:sz w:val="24"/>
              </w:rPr>
            </w:pPr>
            <w:r>
              <w:rPr>
                <w:rFonts w:hint="eastAsia" w:ascii="仿宋_GB2312" w:hAnsi="宋体" w:eastAsia="仿宋_GB2312"/>
                <w:sz w:val="24"/>
              </w:rPr>
              <w:t>4.编写“横切”式开采规划调整摸底调查报告，填写省厅规划调整摸底调查报告</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项</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20000</w:t>
            </w:r>
          </w:p>
        </w:tc>
        <w:tc>
          <w:tcPr>
            <w:tcW w:w="2585"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取得报告并获得相关部门审批通过</w:t>
            </w:r>
          </w:p>
        </w:tc>
      </w:tr>
      <w:tr>
        <w:tblPrEx>
          <w:tblCellMar>
            <w:top w:w="0" w:type="dxa"/>
            <w:left w:w="108" w:type="dxa"/>
            <w:bottom w:w="0" w:type="dxa"/>
            <w:right w:w="108" w:type="dxa"/>
          </w:tblCellMar>
        </w:tblPrEx>
        <w:trPr>
          <w:trHeight w:val="620" w:hRule="atLeast"/>
        </w:trPr>
        <w:tc>
          <w:tcPr>
            <w:tcW w:w="103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480" w:lineRule="exact"/>
              <w:jc w:val="left"/>
              <w:textAlignment w:val="center"/>
              <w:rPr>
                <w:rStyle w:val="6"/>
                <w:rFonts w:hint="default"/>
              </w:rPr>
            </w:pPr>
            <w:r>
              <w:rPr>
                <w:rFonts w:hint="eastAsia" w:ascii="方正仿宋_GB2312" w:hAnsi="方正仿宋_GB2312" w:eastAsia="方正仿宋_GB2312" w:cs="方正仿宋_GB2312"/>
                <w:color w:val="000000"/>
                <w:kern w:val="0"/>
                <w:sz w:val="24"/>
              </w:rPr>
              <w:t>结算方式:</w:t>
            </w:r>
            <w:r>
              <w:rPr>
                <w:rFonts w:ascii="方正仿宋_GB2312" w:hAnsi="方正仿宋_GB2312" w:eastAsia="方正仿宋_GB2312" w:cs="方正仿宋_GB2312"/>
                <w:color w:val="000000"/>
                <w:kern w:val="0"/>
                <w:sz w:val="24"/>
              </w:rPr>
              <w:t xml:space="preserve"> </w:t>
            </w:r>
            <w:r>
              <w:rPr>
                <w:rFonts w:hint="eastAsia" w:ascii="方正仿宋_GB2312" w:hAnsi="方正仿宋_GB2312" w:eastAsia="方正仿宋_GB2312" w:cs="方正仿宋_GB2312"/>
                <w:color w:val="000000"/>
                <w:kern w:val="0"/>
                <w:sz w:val="24"/>
                <w:u w:val="single"/>
              </w:rPr>
              <w:t>出具报告</w:t>
            </w:r>
            <w:r>
              <w:rPr>
                <w:rStyle w:val="5"/>
                <w:rFonts w:ascii="方正仿宋_GB2312" w:hAnsi="方正仿宋_GB2312" w:eastAsia="方正仿宋_GB2312" w:cs="方正仿宋_GB2312"/>
                <w:sz w:val="24"/>
                <w:szCs w:val="24"/>
              </w:rPr>
              <w:t>后</w:t>
            </w:r>
            <w:r>
              <w:rPr>
                <w:rStyle w:val="5"/>
                <w:rFonts w:hint="default" w:ascii="方正仿宋_GB2312" w:hAnsi="方正仿宋_GB2312" w:eastAsia="方正仿宋_GB2312" w:cs="方正仿宋_GB2312"/>
                <w:sz w:val="24"/>
                <w:szCs w:val="24"/>
              </w:rPr>
              <w:t>，服务方开具增值税发票我方财务发票入账后，我方按付款计划付款。</w:t>
            </w:r>
          </w:p>
          <w:p>
            <w:pPr>
              <w:widowControl/>
              <w:textAlignment w:val="center"/>
              <w:rPr>
                <w:rStyle w:val="6"/>
                <w:rFonts w:hint="default" w:ascii="方正仿宋_GB2312" w:hAnsi="方正仿宋_GB2312" w:eastAsia="方正仿宋_GB2312" w:cs="方正仿宋_GB2312"/>
                <w:sz w:val="24"/>
                <w:szCs w:val="24"/>
              </w:rPr>
            </w:pPr>
            <w:r>
              <w:rPr>
                <w:rStyle w:val="6"/>
                <w:rFonts w:hint="default" w:ascii="方正仿宋_GB2312" w:hAnsi="方正仿宋_GB2312" w:eastAsia="方正仿宋_GB2312" w:cs="方正仿宋_GB2312"/>
                <w:sz w:val="24"/>
                <w:szCs w:val="24"/>
              </w:rPr>
              <w:t>付款方式：</w:t>
            </w:r>
            <w:r>
              <w:rPr>
                <w:rStyle w:val="6"/>
                <w:rFonts w:ascii="方正仿宋_GB2312" w:hAnsi="方正仿宋_GB2312" w:eastAsia="方正仿宋_GB2312" w:cs="方正仿宋_GB2312"/>
                <w:sz w:val="24"/>
                <w:szCs w:val="24"/>
              </w:rPr>
              <w:t>电汇</w:t>
            </w:r>
          </w:p>
          <w:p>
            <w:pPr>
              <w:widowControl/>
              <w:textAlignment w:val="center"/>
              <w:rPr>
                <w:rFonts w:ascii="方正仿宋_GB2312" w:hAnsi="方正仿宋_GB2312" w:eastAsia="方正仿宋_GB2312" w:cs="方正仿宋_GB2312"/>
                <w:color w:val="000000"/>
                <w:szCs w:val="21"/>
              </w:rPr>
            </w:pPr>
            <w:r>
              <w:rPr>
                <w:rStyle w:val="6"/>
                <w:rFonts w:hint="default" w:ascii="方正仿宋_GB2312" w:hAnsi="方正仿宋_GB2312" w:eastAsia="方正仿宋_GB2312" w:cs="方正仿宋_GB2312"/>
                <w:sz w:val="24"/>
                <w:szCs w:val="24"/>
              </w:rPr>
              <w:t>承包方式：含</w:t>
            </w:r>
            <w:r>
              <w:rPr>
                <w:rStyle w:val="6"/>
                <w:rFonts w:ascii="方正仿宋_GB2312" w:hAnsi="方正仿宋_GB2312" w:eastAsia="方正仿宋_GB2312" w:cs="方正仿宋_GB2312"/>
                <w:sz w:val="24"/>
                <w:szCs w:val="24"/>
              </w:rPr>
              <w:t>服务</w:t>
            </w:r>
            <w:r>
              <w:rPr>
                <w:rStyle w:val="6"/>
                <w:rFonts w:hint="default" w:ascii="方正仿宋_GB2312" w:hAnsi="方正仿宋_GB2312" w:eastAsia="方正仿宋_GB2312" w:cs="方正仿宋_GB2312"/>
                <w:sz w:val="24"/>
                <w:szCs w:val="24"/>
              </w:rPr>
              <w:t>中所有产生的费用。</w:t>
            </w:r>
          </w:p>
        </w:tc>
      </w:tr>
    </w:tbl>
    <w:p>
      <w:pPr>
        <w:rPr>
          <w:rFonts w:ascii="方正仿宋_GB2312" w:hAnsi="方正仿宋_GB2312" w:eastAsia="方正仿宋_GB2312" w:cs="方正仿宋_GB2312"/>
          <w:b/>
          <w:bCs/>
          <w:szCs w:val="21"/>
        </w:rPr>
      </w:pPr>
    </w:p>
    <w:p>
      <w:pPr>
        <w:numPr>
          <w:ilvl w:val="0"/>
          <w:numId w:val="3"/>
        </w:numPr>
        <w:rPr>
          <w:rFonts w:ascii="仿宋" w:hAnsi="仿宋" w:eastAsia="仿宋"/>
          <w:sz w:val="28"/>
          <w:szCs w:val="28"/>
        </w:rPr>
      </w:pPr>
      <w:r>
        <w:rPr>
          <w:rFonts w:hint="eastAsia" w:ascii="方正仿宋_GB2312" w:hAnsi="方正仿宋_GB2312" w:eastAsia="方正仿宋_GB2312" w:cs="方正仿宋_GB2312"/>
          <w:b/>
          <w:bCs/>
          <w:sz w:val="32"/>
          <w:szCs w:val="32"/>
        </w:rPr>
        <w:t>技术要求、规范、说明：</w:t>
      </w:r>
      <w:r>
        <w:rPr>
          <w:rFonts w:hint="eastAsia" w:ascii="方正仿宋_GB2312" w:hAnsi="方正仿宋_GB2312" w:eastAsia="方正仿宋_GB2312" w:cs="方正仿宋_GB2312"/>
          <w:b/>
          <w:bCs/>
          <w:sz w:val="32"/>
          <w:szCs w:val="32"/>
        </w:rPr>
        <w:br w:type="textWrapping"/>
      </w:r>
      <w:r>
        <w:rPr>
          <w:rFonts w:hint="eastAsia" w:ascii="方正仿宋_GB2312" w:hAnsi="方正仿宋_GB2312" w:eastAsia="方正仿宋_GB2312" w:cs="方正仿宋_GB2312"/>
          <w:b/>
          <w:bCs/>
          <w:sz w:val="32"/>
          <w:szCs w:val="32"/>
        </w:rPr>
        <w:t xml:space="preserve">   </w:t>
      </w:r>
      <w:r>
        <w:rPr>
          <w:rFonts w:hint="eastAsia" w:ascii="仿宋" w:hAnsi="仿宋" w:eastAsia="仿宋"/>
          <w:sz w:val="28"/>
          <w:szCs w:val="28"/>
        </w:rPr>
        <w:t>根据河北省自然资源厅关于印发河北省非金属露天矿山分类处置方案《冀自然资字〔2023〕84号》要求，按照国家相关要求完成原有矿山扩大实测工作：</w:t>
      </w:r>
    </w:p>
    <w:p>
      <w:pPr>
        <w:ind w:firstLine="560" w:firstLineChars="200"/>
        <w:rPr>
          <w:rFonts w:ascii="仿宋" w:hAnsi="仿宋" w:eastAsia="仿宋"/>
          <w:sz w:val="28"/>
          <w:szCs w:val="28"/>
        </w:rPr>
      </w:pPr>
      <w:r>
        <w:rPr>
          <w:rFonts w:hint="eastAsia" w:ascii="仿宋" w:hAnsi="仿宋" w:eastAsia="仿宋"/>
          <w:sz w:val="28"/>
          <w:szCs w:val="28"/>
        </w:rPr>
        <w:t>1.布设控制点</w:t>
      </w:r>
      <w:r>
        <w:rPr>
          <w:rFonts w:hint="eastAsia" w:ascii="仿宋" w:hAnsi="仿宋" w:eastAsia="仿宋"/>
          <w:sz w:val="28"/>
          <w:szCs w:val="28"/>
          <w:lang w:eastAsia="zh-CN"/>
        </w:rPr>
        <w:t>，</w:t>
      </w:r>
      <w:bookmarkStart w:id="0" w:name="_GoBack"/>
      <w:bookmarkEnd w:id="0"/>
      <w:r>
        <w:rPr>
          <w:rFonts w:hint="eastAsia" w:ascii="仿宋" w:hAnsi="仿宋" w:eastAsia="仿宋"/>
          <w:sz w:val="28"/>
          <w:szCs w:val="28"/>
        </w:rPr>
        <w:t>使用GPS拟合高程；</w:t>
      </w:r>
    </w:p>
    <w:p>
      <w:pPr>
        <w:ind w:firstLine="560" w:firstLineChars="200"/>
        <w:rPr>
          <w:rFonts w:ascii="仿宋" w:hAnsi="仿宋" w:eastAsia="仿宋"/>
          <w:sz w:val="28"/>
          <w:szCs w:val="28"/>
        </w:rPr>
      </w:pPr>
      <w:r>
        <w:rPr>
          <w:rFonts w:hint="eastAsia" w:ascii="仿宋" w:hAnsi="仿宋" w:eastAsia="仿宋"/>
          <w:sz w:val="28"/>
          <w:szCs w:val="28"/>
        </w:rPr>
        <w:t>2.测区测量：采用全站仪完成；</w:t>
      </w:r>
    </w:p>
    <w:p>
      <w:pPr>
        <w:ind w:firstLine="560" w:firstLineChars="200"/>
        <w:rPr>
          <w:rFonts w:ascii="仿宋" w:hAnsi="仿宋" w:eastAsia="仿宋"/>
          <w:sz w:val="28"/>
          <w:szCs w:val="28"/>
        </w:rPr>
      </w:pPr>
      <w:r>
        <w:rPr>
          <w:rFonts w:hint="eastAsia" w:ascii="仿宋" w:hAnsi="仿宋" w:eastAsia="仿宋"/>
          <w:sz w:val="28"/>
          <w:szCs w:val="28"/>
        </w:rPr>
        <w:t>3.根据需要对区域内现有地形、地貌、形态、界线、标高进行地形图实测工作</w:t>
      </w:r>
    </w:p>
    <w:p>
      <w:pPr>
        <w:ind w:firstLine="560" w:firstLineChars="200"/>
        <w:rPr>
          <w:rFonts w:ascii="仿宋" w:hAnsi="仿宋" w:eastAsia="仿宋"/>
          <w:sz w:val="28"/>
          <w:szCs w:val="28"/>
        </w:rPr>
      </w:pPr>
      <w:r>
        <w:rPr>
          <w:rFonts w:hint="eastAsia" w:ascii="仿宋" w:hAnsi="仿宋" w:eastAsia="仿宋"/>
          <w:sz w:val="28"/>
          <w:szCs w:val="28"/>
        </w:rPr>
        <w:t>4.根据测量成果完成原矿区范围与调整后矿区范围对照图；同时运用3DMine软件制做三维模型，计算矿区资源量；</w:t>
      </w:r>
    </w:p>
    <w:p>
      <w:pPr>
        <w:ind w:firstLine="560" w:firstLineChars="200"/>
        <w:rPr>
          <w:rFonts w:ascii="仿宋" w:hAnsi="仿宋" w:eastAsia="仿宋"/>
          <w:sz w:val="28"/>
          <w:szCs w:val="28"/>
        </w:rPr>
      </w:pPr>
      <w:r>
        <w:rPr>
          <w:rFonts w:hint="eastAsia" w:ascii="仿宋" w:hAnsi="仿宋" w:eastAsia="仿宋"/>
          <w:sz w:val="28"/>
          <w:szCs w:val="28"/>
        </w:rPr>
        <w:t>5.并根据实测数据编写“横切”式开采规划调整摸底调查报告，上报县、市、省相关部门。</w:t>
      </w:r>
    </w:p>
    <w:p>
      <w:pPr>
        <w:ind w:firstLine="560" w:firstLineChars="200"/>
        <w:rPr>
          <w:rFonts w:ascii="仿宋" w:hAnsi="仿宋" w:eastAsia="仿宋"/>
          <w:sz w:val="28"/>
          <w:szCs w:val="28"/>
        </w:rPr>
      </w:pPr>
      <w:r>
        <w:rPr>
          <w:rFonts w:hint="eastAsia" w:ascii="仿宋" w:hAnsi="仿宋" w:eastAsia="仿宋"/>
          <w:sz w:val="28"/>
          <w:szCs w:val="28"/>
        </w:rPr>
        <w:t>6.如需更改报告资料，服务方无偿更改不收取任何费用。</w:t>
      </w:r>
    </w:p>
    <w:p>
      <w:pPr>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七、签订合同需提供的资料</w:t>
      </w:r>
    </w:p>
    <w:tbl>
      <w:tblPr>
        <w:tblStyle w:val="3"/>
        <w:tblW w:w="8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
        <w:gridCol w:w="1380"/>
        <w:gridCol w:w="6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widowControl/>
              <w:jc w:val="center"/>
              <w:rPr>
                <w:rFonts w:ascii="方正仿宋_GB2312" w:hAnsi="方正仿宋_GB2312" w:eastAsia="方正仿宋_GB2312" w:cs="方正仿宋_GB2312"/>
                <w:b/>
                <w:bCs/>
                <w:color w:val="000000"/>
                <w:kern w:val="0"/>
                <w:szCs w:val="21"/>
              </w:rPr>
            </w:pPr>
            <w:r>
              <w:rPr>
                <w:rFonts w:hint="eastAsia" w:ascii="仿宋" w:hAnsi="仿宋" w:eastAsia="仿宋" w:cs="仿宋"/>
                <w:b/>
                <w:bCs/>
                <w:color w:val="000000"/>
                <w:kern w:val="0"/>
                <w:szCs w:val="21"/>
                <w:lang w:bidi="ar"/>
              </w:rPr>
              <w:t>序号</w:t>
            </w:r>
          </w:p>
        </w:tc>
        <w:tc>
          <w:tcPr>
            <w:tcW w:w="1380" w:type="dxa"/>
            <w:vAlign w:val="center"/>
          </w:tcPr>
          <w:p>
            <w:pPr>
              <w:widowControl/>
              <w:jc w:val="center"/>
              <w:rPr>
                <w:rFonts w:ascii="方正仿宋_GB2312" w:hAnsi="方正仿宋_GB2312" w:eastAsia="方正仿宋_GB2312" w:cs="方正仿宋_GB2312"/>
                <w:b/>
                <w:bCs/>
                <w:color w:val="000000"/>
                <w:kern w:val="0"/>
                <w:szCs w:val="21"/>
              </w:rPr>
            </w:pPr>
            <w:r>
              <w:rPr>
                <w:rFonts w:hint="eastAsia" w:ascii="仿宋" w:hAnsi="仿宋" w:eastAsia="仿宋" w:cs="仿宋"/>
                <w:b/>
                <w:bCs/>
                <w:color w:val="000000"/>
                <w:kern w:val="0"/>
                <w:szCs w:val="21"/>
                <w:lang w:bidi="ar"/>
              </w:rPr>
              <w:t>审查内容</w:t>
            </w:r>
          </w:p>
        </w:tc>
        <w:tc>
          <w:tcPr>
            <w:tcW w:w="6852" w:type="dxa"/>
            <w:vAlign w:val="center"/>
          </w:tcPr>
          <w:p>
            <w:pPr>
              <w:widowControl/>
              <w:jc w:val="center"/>
              <w:rPr>
                <w:rFonts w:ascii="方正仿宋_GB2312" w:hAnsi="方正仿宋_GB2312" w:eastAsia="方正仿宋_GB2312" w:cs="方正仿宋_GB2312"/>
                <w:b/>
                <w:bCs/>
                <w:color w:val="000000"/>
                <w:kern w:val="0"/>
                <w:szCs w:val="21"/>
              </w:rPr>
            </w:pPr>
            <w:r>
              <w:rPr>
                <w:rFonts w:hint="eastAsia" w:ascii="仿宋" w:hAnsi="仿宋" w:eastAsia="仿宋" w:cs="仿宋"/>
                <w:b/>
                <w:bCs/>
                <w:color w:val="000000"/>
                <w:kern w:val="0"/>
                <w:szCs w:val="21"/>
                <w:lang w:bidi="ar"/>
              </w:rPr>
              <w:t>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widowControl/>
              <w:jc w:val="center"/>
              <w:rPr>
                <w:rFonts w:ascii="方正仿宋_GB2312" w:hAnsi="方正仿宋_GB2312" w:eastAsia="方正仿宋_GB2312" w:cs="方正仿宋_GB2312"/>
                <w:b/>
                <w:bCs/>
                <w:color w:val="000000"/>
                <w:kern w:val="0"/>
                <w:szCs w:val="21"/>
              </w:rPr>
            </w:pPr>
            <w:r>
              <w:rPr>
                <w:rFonts w:hint="eastAsia" w:ascii="宋体" w:hAnsi="宋体" w:eastAsia="宋体" w:cs="宋体"/>
                <w:b/>
                <w:bCs/>
                <w:color w:val="000000"/>
                <w:kern w:val="0"/>
                <w:szCs w:val="21"/>
                <w:lang w:bidi="ar"/>
              </w:rPr>
              <w:t>1</w:t>
            </w:r>
          </w:p>
        </w:tc>
        <w:tc>
          <w:tcPr>
            <w:tcW w:w="1380" w:type="dxa"/>
            <w:vAlign w:val="center"/>
          </w:tcPr>
          <w:p>
            <w:pPr>
              <w:widowControl/>
              <w:jc w:val="center"/>
              <w:rPr>
                <w:rFonts w:ascii="方正仿宋_GB2312" w:hAnsi="方正仿宋_GB2312" w:eastAsia="方正仿宋_GB2312" w:cs="方正仿宋_GB2312"/>
                <w:b/>
                <w:bCs/>
                <w:color w:val="000000"/>
                <w:kern w:val="0"/>
                <w:szCs w:val="21"/>
              </w:rPr>
            </w:pPr>
            <w:r>
              <w:rPr>
                <w:rFonts w:hint="eastAsia" w:ascii="宋体" w:hAnsi="宋体" w:eastAsia="宋体" w:cs="宋体"/>
                <w:bCs/>
                <w:szCs w:val="21"/>
                <w:lang w:bidi="ar"/>
              </w:rPr>
              <w:t>营业执照</w:t>
            </w:r>
          </w:p>
        </w:tc>
        <w:tc>
          <w:tcPr>
            <w:tcW w:w="6852" w:type="dxa"/>
          </w:tcPr>
          <w:p>
            <w:pPr>
              <w:widowControl/>
              <w:rPr>
                <w:rFonts w:ascii="方正仿宋_GB2312" w:hAnsi="方正仿宋_GB2312" w:eastAsia="方正仿宋_GB2312" w:cs="方正仿宋_GB2312"/>
                <w:b/>
                <w:bCs/>
                <w:color w:val="000000"/>
                <w:kern w:val="0"/>
                <w:szCs w:val="21"/>
              </w:rPr>
            </w:pPr>
            <w:r>
              <w:rPr>
                <w:rFonts w:hint="eastAsia" w:ascii="宋体" w:hAnsi="宋体" w:eastAsia="宋体" w:cs="宋体"/>
                <w:bCs/>
                <w:szCs w:val="21"/>
                <w:lang w:bidi="ar"/>
              </w:rPr>
              <w:t>提供原件及复印件，复印件加盖公章。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widowControl/>
              <w:jc w:val="center"/>
              <w:rPr>
                <w:rFonts w:ascii="方正仿宋_GB2312" w:hAnsi="方正仿宋_GB2312" w:eastAsia="方正仿宋_GB2312" w:cs="方正仿宋_GB2312"/>
                <w:b/>
                <w:bCs/>
                <w:color w:val="000000"/>
                <w:kern w:val="0"/>
                <w:szCs w:val="21"/>
              </w:rPr>
            </w:pPr>
            <w:r>
              <w:rPr>
                <w:rFonts w:hint="eastAsia" w:ascii="宋体" w:hAnsi="宋体" w:eastAsia="宋体" w:cs="宋体"/>
                <w:b/>
                <w:bCs/>
                <w:color w:val="000000"/>
                <w:kern w:val="0"/>
                <w:szCs w:val="21"/>
                <w:lang w:bidi="ar"/>
              </w:rPr>
              <w:t>2</w:t>
            </w:r>
          </w:p>
        </w:tc>
        <w:tc>
          <w:tcPr>
            <w:tcW w:w="1380" w:type="dxa"/>
            <w:vAlign w:val="center"/>
          </w:tcPr>
          <w:p>
            <w:pPr>
              <w:widowControl/>
              <w:jc w:val="center"/>
              <w:rPr>
                <w:rFonts w:ascii="方正仿宋_GB2312" w:hAnsi="方正仿宋_GB2312" w:eastAsia="方正仿宋_GB2312" w:cs="方正仿宋_GB2312"/>
                <w:b/>
                <w:bCs/>
                <w:color w:val="000000"/>
                <w:kern w:val="0"/>
                <w:szCs w:val="21"/>
              </w:rPr>
            </w:pPr>
            <w:r>
              <w:rPr>
                <w:rFonts w:hint="eastAsia" w:ascii="宋体" w:hAnsi="宋体" w:eastAsia="宋体" w:cs="宋体"/>
                <w:bCs/>
                <w:szCs w:val="21"/>
                <w:lang w:bidi="ar"/>
              </w:rPr>
              <w:t>法定代表人身份证</w:t>
            </w:r>
          </w:p>
        </w:tc>
        <w:tc>
          <w:tcPr>
            <w:tcW w:w="6852" w:type="dxa"/>
          </w:tcPr>
          <w:p>
            <w:pPr>
              <w:widowControl/>
              <w:rPr>
                <w:rFonts w:ascii="方正仿宋_GB2312" w:hAnsi="方正仿宋_GB2312" w:eastAsia="方正仿宋_GB2312" w:cs="方正仿宋_GB2312"/>
                <w:b/>
                <w:bCs/>
                <w:color w:val="000000"/>
                <w:kern w:val="0"/>
                <w:szCs w:val="21"/>
              </w:rPr>
            </w:pPr>
            <w:r>
              <w:rPr>
                <w:rFonts w:hint="eastAsia" w:ascii="宋体" w:hAnsi="宋体" w:eastAsia="宋体" w:cs="宋体"/>
                <w:bCs/>
                <w:szCs w:val="21"/>
                <w:lang w:bidi="ar"/>
              </w:rPr>
              <w:t>合同或安全协议签订人为法定代表人时，需提供身份证复印件。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3</w:t>
            </w:r>
          </w:p>
        </w:tc>
        <w:tc>
          <w:tcPr>
            <w:tcW w:w="1380" w:type="dxa"/>
            <w:vAlign w:val="center"/>
          </w:tcPr>
          <w:p>
            <w:pPr>
              <w:widowControl/>
              <w:jc w:val="center"/>
              <w:rPr>
                <w:rFonts w:ascii="宋体" w:hAnsi="宋体" w:eastAsia="宋体" w:cs="宋体"/>
                <w:bCs/>
                <w:szCs w:val="21"/>
                <w:lang w:bidi="ar"/>
              </w:rPr>
            </w:pPr>
            <w:r>
              <w:rPr>
                <w:rFonts w:hint="eastAsia" w:ascii="宋体" w:hAnsi="宋体" w:eastAsia="宋体" w:cs="宋体"/>
                <w:bCs/>
                <w:szCs w:val="21"/>
                <w:lang w:bidi="ar"/>
              </w:rPr>
              <w:t>法定代表人授权委托书及身份证</w:t>
            </w:r>
          </w:p>
        </w:tc>
        <w:tc>
          <w:tcPr>
            <w:tcW w:w="6852" w:type="dxa"/>
          </w:tcPr>
          <w:p>
            <w:pPr>
              <w:widowControl/>
              <w:rPr>
                <w:rFonts w:ascii="宋体" w:hAnsi="宋体" w:eastAsia="宋体" w:cs="宋体"/>
                <w:bCs/>
                <w:szCs w:val="21"/>
                <w:lang w:bidi="ar"/>
              </w:rPr>
            </w:pPr>
            <w:r>
              <w:rPr>
                <w:rFonts w:hint="eastAsia" w:ascii="宋体" w:hAnsi="宋体" w:eastAsia="宋体" w:cs="宋体"/>
                <w:bCs/>
                <w:szCs w:val="21"/>
                <w:lang w:bidi="ar"/>
              </w:rPr>
              <w:t>合同或安全协议签订人不是法人代表本人时，须提供授权委托书（由法定代表人签字或签章，有身份证照片并加盖公司公章。）及委托代理人身份证。</w:t>
            </w:r>
          </w:p>
        </w:tc>
      </w:tr>
    </w:tbl>
    <w:p>
      <w:pPr>
        <w:rPr>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auto"/>
    <w:pitch w:val="default"/>
    <w:sig w:usb0="00000000" w:usb1="00000000" w:usb2="00082016" w:usb3="00000000" w:csb0="00040001" w:csb1="00000000"/>
  </w:font>
  <w:font w:name="方正仿宋_GB2312">
    <w:altName w:val="仿宋"/>
    <w:panose1 w:val="00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8E0E63"/>
    <w:multiLevelType w:val="singleLevel"/>
    <w:tmpl w:val="848E0E63"/>
    <w:lvl w:ilvl="0" w:tentative="0">
      <w:start w:val="1"/>
      <w:numFmt w:val="chineseCounting"/>
      <w:suff w:val="nothing"/>
      <w:lvlText w:val="%1、"/>
      <w:lvlJc w:val="left"/>
      <w:rPr>
        <w:rFonts w:hint="eastAsia"/>
      </w:rPr>
    </w:lvl>
  </w:abstractNum>
  <w:abstractNum w:abstractNumId="1">
    <w:nsid w:val="87D32F71"/>
    <w:multiLevelType w:val="singleLevel"/>
    <w:tmpl w:val="87D32F71"/>
    <w:lvl w:ilvl="0" w:tentative="0">
      <w:start w:val="6"/>
      <w:numFmt w:val="chineseCounting"/>
      <w:suff w:val="nothing"/>
      <w:lvlText w:val="%1、"/>
      <w:lvlJc w:val="left"/>
      <w:rPr>
        <w:rFonts w:hint="eastAsia"/>
      </w:rPr>
    </w:lvl>
  </w:abstractNum>
  <w:abstractNum w:abstractNumId="2">
    <w:nsid w:val="BD4E789D"/>
    <w:multiLevelType w:val="singleLevel"/>
    <w:tmpl w:val="BD4E789D"/>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wNGZmODlhMzQ5YWIzYzBjZGM0YzZkY2U0Y2EzZTgifQ=="/>
  </w:docVars>
  <w:rsids>
    <w:rsidRoot w:val="00036872"/>
    <w:rsid w:val="00036872"/>
    <w:rsid w:val="00566EE3"/>
    <w:rsid w:val="02215D8A"/>
    <w:rsid w:val="03C74A1A"/>
    <w:rsid w:val="056A2CD6"/>
    <w:rsid w:val="06BE2099"/>
    <w:rsid w:val="083C7FA9"/>
    <w:rsid w:val="0ADD70A1"/>
    <w:rsid w:val="0B117111"/>
    <w:rsid w:val="0D242FBE"/>
    <w:rsid w:val="0F384FDB"/>
    <w:rsid w:val="10950403"/>
    <w:rsid w:val="139A36D1"/>
    <w:rsid w:val="13A50343"/>
    <w:rsid w:val="1686347A"/>
    <w:rsid w:val="17A0779F"/>
    <w:rsid w:val="19A10C8B"/>
    <w:rsid w:val="19C5529B"/>
    <w:rsid w:val="1E2451C6"/>
    <w:rsid w:val="1F176958"/>
    <w:rsid w:val="1F526469"/>
    <w:rsid w:val="20642D3C"/>
    <w:rsid w:val="21F71B33"/>
    <w:rsid w:val="222B63E9"/>
    <w:rsid w:val="225B42AA"/>
    <w:rsid w:val="22B97967"/>
    <w:rsid w:val="22F978D9"/>
    <w:rsid w:val="236551CB"/>
    <w:rsid w:val="23DF51AB"/>
    <w:rsid w:val="259D0E7A"/>
    <w:rsid w:val="26B75F6B"/>
    <w:rsid w:val="27E03A8E"/>
    <w:rsid w:val="298E507F"/>
    <w:rsid w:val="29A064F7"/>
    <w:rsid w:val="2A0C27E3"/>
    <w:rsid w:val="2AB8774E"/>
    <w:rsid w:val="2B716D3A"/>
    <w:rsid w:val="2C5C4A4E"/>
    <w:rsid w:val="2C770676"/>
    <w:rsid w:val="2CDA6E57"/>
    <w:rsid w:val="2DB5564D"/>
    <w:rsid w:val="2EF53AD4"/>
    <w:rsid w:val="31BB465F"/>
    <w:rsid w:val="320C46A7"/>
    <w:rsid w:val="32A47CEB"/>
    <w:rsid w:val="33232E68"/>
    <w:rsid w:val="352007AE"/>
    <w:rsid w:val="35F62095"/>
    <w:rsid w:val="37EA43F2"/>
    <w:rsid w:val="381F1478"/>
    <w:rsid w:val="38312021"/>
    <w:rsid w:val="3A667F7C"/>
    <w:rsid w:val="3D8A3F82"/>
    <w:rsid w:val="400E57C9"/>
    <w:rsid w:val="406D5BC1"/>
    <w:rsid w:val="42F01738"/>
    <w:rsid w:val="44BD30D4"/>
    <w:rsid w:val="45350C77"/>
    <w:rsid w:val="46001285"/>
    <w:rsid w:val="464C44CA"/>
    <w:rsid w:val="468A4BA0"/>
    <w:rsid w:val="47AA4E6D"/>
    <w:rsid w:val="47B24801"/>
    <w:rsid w:val="48A0196F"/>
    <w:rsid w:val="49D15412"/>
    <w:rsid w:val="4D267823"/>
    <w:rsid w:val="4D7F33D7"/>
    <w:rsid w:val="4E8931DE"/>
    <w:rsid w:val="4F732AC8"/>
    <w:rsid w:val="50CE0A3A"/>
    <w:rsid w:val="52370124"/>
    <w:rsid w:val="52862B12"/>
    <w:rsid w:val="53DF24DA"/>
    <w:rsid w:val="55320FCC"/>
    <w:rsid w:val="55A21A11"/>
    <w:rsid w:val="56905D0D"/>
    <w:rsid w:val="58361C6D"/>
    <w:rsid w:val="59023BBF"/>
    <w:rsid w:val="591B2C7A"/>
    <w:rsid w:val="59EE791A"/>
    <w:rsid w:val="5AC1121E"/>
    <w:rsid w:val="5B1E61E9"/>
    <w:rsid w:val="5CAB1AF3"/>
    <w:rsid w:val="5CDC6150"/>
    <w:rsid w:val="5D360CD0"/>
    <w:rsid w:val="5D5D552D"/>
    <w:rsid w:val="5E2416BE"/>
    <w:rsid w:val="612754C0"/>
    <w:rsid w:val="6138723E"/>
    <w:rsid w:val="61DB4C28"/>
    <w:rsid w:val="6237065A"/>
    <w:rsid w:val="64265F03"/>
    <w:rsid w:val="660C769A"/>
    <w:rsid w:val="66B94E0C"/>
    <w:rsid w:val="68490412"/>
    <w:rsid w:val="6A2A540E"/>
    <w:rsid w:val="6A6B28C1"/>
    <w:rsid w:val="6C176256"/>
    <w:rsid w:val="6DD46DC7"/>
    <w:rsid w:val="6EF55F86"/>
    <w:rsid w:val="73076EFF"/>
    <w:rsid w:val="73C117A4"/>
    <w:rsid w:val="746B6C03"/>
    <w:rsid w:val="76006297"/>
    <w:rsid w:val="77764653"/>
    <w:rsid w:val="77C8358B"/>
    <w:rsid w:val="7BE2675B"/>
    <w:rsid w:val="7CD34BEF"/>
    <w:rsid w:val="7E8152D2"/>
    <w:rsid w:val="7F594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51"/>
    <w:basedOn w:val="4"/>
    <w:qFormat/>
    <w:uiPriority w:val="0"/>
    <w:rPr>
      <w:rFonts w:hint="eastAsia" w:ascii="等线" w:hAnsi="等线" w:eastAsia="等线" w:cs="等线"/>
      <w:color w:val="000000"/>
      <w:sz w:val="22"/>
      <w:szCs w:val="22"/>
      <w:u w:val="single"/>
    </w:rPr>
  </w:style>
  <w:style w:type="character" w:customStyle="1" w:styleId="6">
    <w:name w:val="font01"/>
    <w:basedOn w:val="4"/>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733</Words>
  <Characters>768</Characters>
  <Lines>5</Lines>
  <Paragraphs>1</Paragraphs>
  <TotalTime>0</TotalTime>
  <ScaleCrop>false</ScaleCrop>
  <LinksUpToDate>false</LinksUpToDate>
  <CharactersWithSpaces>776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2023-05-24T03:46:00Z</dcterms:created>
  <dc:creator>94572</dc:creator>
  <cp:lastModifiedBy>葛鹏飞</cp:lastModifiedBy>
  <dcterms:modified xsi:type="dcterms:W3CDTF">2023-05-24T03:51:33Z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8854DA5CB71440EB9F6C447D40807A50</vt:lpwstr>
  </property>
</Properties>
</file>