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设备部招标申请文件</w:t>
      </w:r>
    </w:p>
    <w:p>
      <w:pPr>
        <w:spacing w:line="560" w:lineRule="exact"/>
        <w:outlineLvl w:val="1"/>
        <w:rPr>
          <w:rFonts w:hint="eastAsia" w:ascii="仿宋_GB2312" w:eastAsia="仿宋_GB2312"/>
          <w:b/>
          <w:color w:val="000000"/>
          <w:sz w:val="32"/>
          <w:szCs w:val="32"/>
        </w:rPr>
      </w:pPr>
      <w:r>
        <w:rPr>
          <w:rFonts w:hint="eastAsia" w:ascii="仿宋_GB2312" w:eastAsia="仿宋_GB2312"/>
          <w:b/>
          <w:color w:val="000000"/>
          <w:sz w:val="32"/>
          <w:szCs w:val="32"/>
        </w:rPr>
        <w:t>项目名称：</w:t>
      </w:r>
      <w:r>
        <w:rPr>
          <w:rFonts w:hint="eastAsia" w:ascii="仿宋_GB2312" w:eastAsia="仿宋_GB2312"/>
          <w:b/>
          <w:color w:val="000000"/>
          <w:sz w:val="32"/>
          <w:szCs w:val="32"/>
          <w:lang w:val="en-US" w:eastAsia="zh-CN"/>
        </w:rPr>
        <w:t>皮带通廊照明安</w:t>
      </w:r>
      <w:r>
        <w:rPr>
          <w:rFonts w:hint="eastAsia" w:ascii="仿宋_GB2312" w:eastAsia="仿宋_GB2312"/>
          <w:b/>
          <w:color w:val="000000"/>
          <w:sz w:val="32"/>
          <w:szCs w:val="32"/>
        </w:rPr>
        <w:t>装施工</w:t>
      </w:r>
    </w:p>
    <w:p>
      <w:pPr>
        <w:spacing w:line="560" w:lineRule="exact"/>
        <w:jc w:val="both"/>
        <w:outlineLvl w:val="1"/>
        <w:rPr>
          <w:rFonts w:ascii="仿宋_GB2312" w:eastAsia="仿宋_GB2312"/>
          <w:sz w:val="32"/>
          <w:szCs w:val="32"/>
        </w:rPr>
      </w:pPr>
      <w:bookmarkStart w:id="0" w:name="_GoBack"/>
      <w:bookmarkEnd w:id="0"/>
      <w:r>
        <w:rPr>
          <w:rFonts w:hint="eastAsia" w:ascii="仿宋_GB2312" w:eastAsia="仿宋_GB2312"/>
          <w:color w:val="000000"/>
          <w:sz w:val="32"/>
          <w:szCs w:val="32"/>
        </w:rPr>
        <w:t>一、招标项目需实现的功能或目标：满足甲方设备使用要求 具体：</w:t>
      </w:r>
      <w:r>
        <w:rPr>
          <w:rFonts w:hint="eastAsia" w:ascii="仿宋_GB2312" w:eastAsia="仿宋_GB2312"/>
          <w:sz w:val="32"/>
          <w:szCs w:val="32"/>
        </w:rPr>
        <w:t>见附件1</w:t>
      </w:r>
    </w:p>
    <w:p>
      <w:pPr>
        <w:spacing w:line="560" w:lineRule="exact"/>
        <w:jc w:val="both"/>
        <w:outlineLvl w:val="1"/>
        <w:rPr>
          <w:rFonts w:ascii="仿宋_GB2312" w:eastAsia="仿宋_GB2312"/>
          <w:sz w:val="32"/>
          <w:szCs w:val="32"/>
        </w:rPr>
      </w:pPr>
      <w:r>
        <w:rPr>
          <w:rFonts w:hint="eastAsia" w:ascii="仿宋_GB2312" w:eastAsia="仿宋_GB2312"/>
          <w:sz w:val="32"/>
          <w:szCs w:val="32"/>
        </w:rPr>
        <w:t>二、招标项目需执行的相关标准（国标、行业标准、地方标准或者股东双方标准）规范；</w:t>
      </w:r>
    </w:p>
    <w:p>
      <w:pPr>
        <w:spacing w:line="560" w:lineRule="exact"/>
        <w:jc w:val="both"/>
        <w:outlineLvl w:val="1"/>
        <w:rPr>
          <w:rFonts w:hint="eastAsia" w:ascii="仿宋_GB2312" w:eastAsia="仿宋_GB2312"/>
          <w:sz w:val="32"/>
          <w:szCs w:val="32"/>
        </w:rPr>
      </w:pPr>
      <w:r>
        <w:rPr>
          <w:rFonts w:hint="eastAsia" w:ascii="仿宋_GB2312" w:eastAsia="仿宋_GB2312"/>
          <w:sz w:val="32"/>
          <w:szCs w:val="32"/>
        </w:rPr>
        <w:t>IEC 60079-14: 2007 《爆炸性环境第14部分:电气装置的设计、选型和安装)</w:t>
      </w:r>
    </w:p>
    <w:p>
      <w:pPr>
        <w:pStyle w:val="18"/>
        <w:ind w:left="0" w:leftChars="0" w:firstLine="0" w:firstLineChars="0"/>
        <w:rPr>
          <w:rFonts w:hint="eastAsia" w:ascii="仿宋_GB2312" w:hAnsi="Tahoma" w:eastAsia="仿宋_GB2312" w:cstheme="minorBidi"/>
          <w:sz w:val="32"/>
          <w:szCs w:val="32"/>
          <w:lang w:val="en-US" w:eastAsia="zh-CN" w:bidi="ar-SA"/>
        </w:rPr>
      </w:pPr>
      <w:r>
        <w:rPr>
          <w:rFonts w:hint="eastAsia" w:ascii="仿宋_GB2312" w:hAnsi="Tahoma" w:eastAsia="仿宋_GB2312" w:cstheme="minorBidi"/>
          <w:sz w:val="32"/>
          <w:szCs w:val="32"/>
          <w:lang w:val="en-US" w:eastAsia="zh-CN" w:bidi="ar-SA"/>
        </w:rPr>
        <w:t>GB50257《电气装置安装工程爆炸和火灾危险环境电气装置施工及验收规范》</w:t>
      </w:r>
    </w:p>
    <w:p>
      <w:pPr>
        <w:numPr>
          <w:ilvl w:val="0"/>
          <w:numId w:val="2"/>
        </w:numPr>
        <w:spacing w:line="560" w:lineRule="exact"/>
        <w:jc w:val="both"/>
        <w:outlineLvl w:val="1"/>
        <w:rPr>
          <w:rFonts w:ascii="仿宋_GB2312" w:eastAsia="仿宋_GB2312"/>
          <w:sz w:val="32"/>
          <w:szCs w:val="32"/>
        </w:rPr>
      </w:pPr>
      <w:r>
        <w:rPr>
          <w:rFonts w:hint="eastAsia" w:ascii="仿宋_GB2312" w:eastAsia="仿宋_GB2312"/>
          <w:sz w:val="32"/>
          <w:szCs w:val="32"/>
        </w:rPr>
        <w:t>招标项目需满足的质量、安全等要求；</w:t>
      </w:r>
    </w:p>
    <w:p>
      <w:pPr>
        <w:spacing w:line="560" w:lineRule="exact"/>
        <w:jc w:val="both"/>
        <w:outlineLvl w:val="1"/>
        <w:rPr>
          <w:rFonts w:ascii="仿宋_GB2312" w:eastAsia="仿宋_GB2312"/>
          <w:sz w:val="32"/>
          <w:szCs w:val="32"/>
        </w:rPr>
      </w:pPr>
      <w:r>
        <w:rPr>
          <w:rFonts w:hint="eastAsia" w:ascii="仿宋_GB2312" w:eastAsia="仿宋_GB2312"/>
          <w:sz w:val="32"/>
          <w:szCs w:val="32"/>
        </w:rPr>
        <w:t>1、乙方保证所提供的</w:t>
      </w:r>
      <w:r>
        <w:rPr>
          <w:rFonts w:hint="eastAsia" w:ascii="仿宋_GB2312" w:eastAsia="仿宋_GB2312"/>
          <w:sz w:val="32"/>
          <w:szCs w:val="32"/>
          <w:lang w:val="en-US" w:eastAsia="zh-CN"/>
        </w:rPr>
        <w:t>灯具及相关辅材</w:t>
      </w:r>
      <w:r>
        <w:rPr>
          <w:rFonts w:hint="eastAsia" w:ascii="仿宋_GB2312" w:eastAsia="仿宋_GB2312"/>
          <w:sz w:val="32"/>
          <w:szCs w:val="32"/>
        </w:rPr>
        <w:t>完整、正确、有效和可靠，如投标方所提供的设备内有任何遗漏，则乙标方保证免费提供，甲方将不再支付任何费用；</w:t>
      </w:r>
    </w:p>
    <w:p>
      <w:pPr>
        <w:spacing w:line="560" w:lineRule="exact"/>
        <w:jc w:val="both"/>
        <w:outlineLvl w:val="1"/>
        <w:rPr>
          <w:rFonts w:ascii="仿宋_GB2312" w:eastAsia="仿宋_GB2312"/>
          <w:sz w:val="32"/>
          <w:szCs w:val="32"/>
        </w:rPr>
      </w:pPr>
      <w:r>
        <w:rPr>
          <w:rFonts w:hint="eastAsia" w:ascii="仿宋_GB2312" w:eastAsia="仿宋_GB2312"/>
          <w:sz w:val="32"/>
          <w:szCs w:val="32"/>
        </w:rPr>
        <w:t>2、乙方提供的</w:t>
      </w:r>
      <w:r>
        <w:rPr>
          <w:rFonts w:hint="eastAsia" w:ascii="仿宋_GB2312" w:eastAsia="仿宋_GB2312"/>
          <w:sz w:val="32"/>
          <w:szCs w:val="32"/>
          <w:lang w:val="en-US" w:eastAsia="zh-CN"/>
        </w:rPr>
        <w:t>照明开关箱及辅材</w:t>
      </w:r>
      <w:r>
        <w:rPr>
          <w:rFonts w:hint="eastAsia" w:ascii="仿宋_GB2312" w:eastAsia="仿宋_GB2312"/>
          <w:sz w:val="32"/>
          <w:szCs w:val="32"/>
        </w:rPr>
        <w:t>一年内</w:t>
      </w:r>
      <w:r>
        <w:rPr>
          <w:rFonts w:hint="eastAsia" w:ascii="仿宋_GB2312" w:eastAsia="仿宋_GB2312"/>
          <w:sz w:val="32"/>
          <w:szCs w:val="32"/>
          <w:lang w:eastAsia="zh-CN"/>
        </w:rPr>
        <w:t>，</w:t>
      </w:r>
      <w:r>
        <w:rPr>
          <w:rFonts w:hint="eastAsia" w:ascii="仿宋_GB2312" w:eastAsia="仿宋_GB2312"/>
          <w:sz w:val="32"/>
          <w:szCs w:val="32"/>
          <w:lang w:val="en-US" w:eastAsia="zh-CN"/>
        </w:rPr>
        <w:t>灯具七年内</w:t>
      </w:r>
      <w:r>
        <w:rPr>
          <w:rFonts w:hint="eastAsia" w:ascii="仿宋_GB2312" w:eastAsia="仿宋_GB2312"/>
          <w:sz w:val="32"/>
          <w:szCs w:val="32"/>
        </w:rPr>
        <w:t>因制造上出现问题等造成的故障，投标方应做到三包(包退,包换,包修)</w:t>
      </w:r>
    </w:p>
    <w:p>
      <w:pPr>
        <w:spacing w:line="560" w:lineRule="exact"/>
        <w:jc w:val="both"/>
        <w:outlineLvl w:val="1"/>
        <w:rPr>
          <w:rFonts w:ascii="仿宋_GB2312" w:eastAsia="仿宋_GB2312"/>
          <w:sz w:val="32"/>
          <w:szCs w:val="32"/>
        </w:rPr>
      </w:pPr>
      <w:r>
        <w:rPr>
          <w:rFonts w:hint="eastAsia" w:ascii="仿宋_GB2312" w:eastAsia="仿宋_GB2312"/>
          <w:sz w:val="32"/>
          <w:szCs w:val="32"/>
        </w:rPr>
        <w:t>3、因施工质量问题给甲方带来的一切损失由乙方负责。</w:t>
      </w:r>
    </w:p>
    <w:p>
      <w:pPr>
        <w:spacing w:line="560" w:lineRule="exact"/>
        <w:jc w:val="both"/>
        <w:outlineLvl w:val="1"/>
        <w:rPr>
          <w:rFonts w:ascii="仿宋_GB2312" w:eastAsia="仿宋_GB2312"/>
          <w:sz w:val="32"/>
          <w:szCs w:val="32"/>
        </w:rPr>
      </w:pPr>
      <w:r>
        <w:rPr>
          <w:rFonts w:hint="eastAsia" w:ascii="仿宋_GB2312" w:eastAsia="仿宋_GB2312"/>
          <w:sz w:val="32"/>
          <w:szCs w:val="32"/>
        </w:rPr>
        <w:t>4、乙方不得以任何形式分包、转包。</w:t>
      </w:r>
    </w:p>
    <w:p>
      <w:pPr>
        <w:spacing w:line="560" w:lineRule="exact"/>
        <w:jc w:val="both"/>
        <w:outlineLvl w:val="1"/>
        <w:rPr>
          <w:rFonts w:ascii="仿宋_GB2312" w:eastAsia="仿宋_GB2312"/>
          <w:sz w:val="32"/>
          <w:szCs w:val="32"/>
        </w:rPr>
      </w:pPr>
      <w:r>
        <w:rPr>
          <w:rFonts w:hint="eastAsia" w:ascii="仿宋_GB2312" w:eastAsia="仿宋_GB2312"/>
          <w:sz w:val="32"/>
          <w:szCs w:val="32"/>
        </w:rPr>
        <w:t>5、安全要求</w:t>
      </w:r>
    </w:p>
    <w:p>
      <w:pPr>
        <w:spacing w:line="560" w:lineRule="exact"/>
        <w:jc w:val="both"/>
        <w:outlineLvl w:val="1"/>
        <w:rPr>
          <w:rFonts w:ascii="仿宋_GB2312" w:eastAsia="仿宋_GB2312"/>
          <w:sz w:val="32"/>
          <w:szCs w:val="32"/>
        </w:rPr>
      </w:pPr>
      <w:r>
        <w:rPr>
          <w:rFonts w:hint="eastAsia" w:ascii="仿宋_GB2312" w:eastAsia="仿宋_GB2312"/>
          <w:sz w:val="32"/>
          <w:szCs w:val="32"/>
        </w:rPr>
        <w:t>（1）提供3年内无安全工伤事故证明。登入信用中国www.creditchina.gov.cn下载信用信息报告。随投标文件一起上传。</w:t>
      </w:r>
    </w:p>
    <w:p>
      <w:pPr>
        <w:spacing w:line="560" w:lineRule="exact"/>
        <w:jc w:val="both"/>
        <w:outlineLvl w:val="1"/>
        <w:rPr>
          <w:rFonts w:ascii="仿宋_GB2312" w:eastAsia="仿宋_GB2312"/>
          <w:sz w:val="32"/>
          <w:szCs w:val="32"/>
        </w:rPr>
      </w:pPr>
      <w:r>
        <w:rPr>
          <w:rFonts w:hint="eastAsia" w:ascii="仿宋_GB2312" w:eastAsia="仿宋_GB2312"/>
          <w:sz w:val="32"/>
          <w:szCs w:val="32"/>
        </w:rPr>
        <w:t>（2）应具有有效的《安全作业许可证》</w:t>
      </w:r>
    </w:p>
    <w:p>
      <w:pPr>
        <w:spacing w:line="560" w:lineRule="exact"/>
        <w:jc w:val="both"/>
        <w:outlineLvl w:val="1"/>
        <w:rPr>
          <w:rFonts w:ascii="仿宋_GB2312" w:eastAsia="仿宋_GB2312"/>
          <w:sz w:val="32"/>
          <w:szCs w:val="32"/>
        </w:rPr>
      </w:pPr>
      <w:r>
        <w:rPr>
          <w:rFonts w:hint="eastAsia" w:ascii="仿宋_GB2312" w:eastAsia="仿宋_GB2312"/>
          <w:sz w:val="32"/>
          <w:szCs w:val="32"/>
        </w:rPr>
        <w:t>（3）乙方需按照甲方要求签订相关安全协议，办理相关安全手续，乙方必须为所有进入甲方施工现场人员缴纳不低于100万元保额的工伤保险或商业人身意外伤害险并将保险单的复印件交于委托方审查和留存。要认真贯彻执行施工安全操作规程，必须佩带安全帽及其防护用品，材料摆放整齐，作业环境整洁，如需接电必须由甲方电工协助，不得随意触动厂房内电钮、电闸，以防发生危险。在施工及质保期内使用过程中发生人身、设备等各种安全事故，一切损失由乙方负责，甲方概不负责。</w:t>
      </w:r>
    </w:p>
    <w:p>
      <w:pPr>
        <w:spacing w:line="560" w:lineRule="exact"/>
        <w:jc w:val="both"/>
        <w:outlineLvl w:val="1"/>
        <w:rPr>
          <w:rFonts w:ascii="仿宋_GB2312" w:eastAsia="仿宋_GB2312"/>
          <w:sz w:val="32"/>
          <w:szCs w:val="32"/>
        </w:rPr>
      </w:pPr>
      <w:r>
        <w:rPr>
          <w:rFonts w:hint="eastAsia" w:ascii="仿宋_GB2312" w:eastAsia="仿宋_GB2312"/>
          <w:sz w:val="32"/>
          <w:szCs w:val="32"/>
        </w:rPr>
        <w:t>乙方施工前需要缴纳安全施工保证金，额度为合同总额的2%-10%，但不得低于2000元。施工验收合格，无息一次原账号返还。</w:t>
      </w:r>
    </w:p>
    <w:p>
      <w:pPr>
        <w:spacing w:line="560" w:lineRule="exact"/>
        <w:jc w:val="both"/>
        <w:outlineLvl w:val="1"/>
        <w:rPr>
          <w:rFonts w:ascii="仿宋_GB2312" w:eastAsia="仿宋_GB2312"/>
          <w:sz w:val="32"/>
          <w:szCs w:val="32"/>
        </w:rPr>
      </w:pPr>
      <w:r>
        <w:rPr>
          <w:rFonts w:hint="eastAsia" w:ascii="仿宋_GB2312" w:eastAsia="仿宋_GB2312"/>
          <w:sz w:val="32"/>
          <w:szCs w:val="32"/>
        </w:rPr>
        <w:t>四、投标单位入围资质要求或证书等其它必须满足的条件、是否接受联合体投标；</w:t>
      </w:r>
    </w:p>
    <w:p>
      <w:pPr>
        <w:spacing w:line="560" w:lineRule="exact"/>
        <w:jc w:val="both"/>
        <w:outlineLvl w:val="1"/>
        <w:rPr>
          <w:rFonts w:ascii="仿宋_GB2312" w:eastAsia="仿宋_GB2312"/>
          <w:sz w:val="32"/>
          <w:szCs w:val="32"/>
        </w:rPr>
      </w:pPr>
      <w:r>
        <w:rPr>
          <w:rFonts w:hint="eastAsia" w:ascii="仿宋_GB2312" w:eastAsia="仿宋_GB2312"/>
          <w:sz w:val="32"/>
          <w:szCs w:val="32"/>
        </w:rPr>
        <w:t>1、该项目不接受联合体投标。</w:t>
      </w:r>
    </w:p>
    <w:p>
      <w:pPr>
        <w:spacing w:line="560" w:lineRule="exact"/>
        <w:jc w:val="both"/>
        <w:outlineLvl w:val="1"/>
        <w:rPr>
          <w:rFonts w:ascii="仿宋_GB2312" w:eastAsia="仿宋_GB2312"/>
          <w:sz w:val="32"/>
          <w:szCs w:val="32"/>
        </w:rPr>
      </w:pPr>
      <w:r>
        <w:rPr>
          <w:rFonts w:hint="eastAsia" w:ascii="仿宋_GB2312" w:eastAsia="仿宋_GB2312"/>
          <w:sz w:val="32"/>
          <w:szCs w:val="32"/>
        </w:rPr>
        <w:t>2、需提供营业执照（或副本）</w:t>
      </w:r>
    </w:p>
    <w:p>
      <w:pPr>
        <w:spacing w:line="560" w:lineRule="exact"/>
        <w:jc w:val="both"/>
        <w:outlineLvl w:val="1"/>
        <w:rPr>
          <w:rFonts w:ascii="仿宋_GB2312" w:eastAsia="仿宋_GB2312"/>
          <w:sz w:val="32"/>
          <w:szCs w:val="32"/>
        </w:rPr>
      </w:pPr>
      <w:r>
        <w:rPr>
          <w:rFonts w:hint="eastAsia" w:ascii="仿宋_GB2312" w:eastAsia="仿宋_GB2312"/>
          <w:sz w:val="32"/>
          <w:szCs w:val="32"/>
        </w:rPr>
        <w:t>3、具备电力安装工程专业承包企业资质叁级（或机电工程施工总承包叁级及以上资质）。</w:t>
      </w:r>
    </w:p>
    <w:p>
      <w:pPr>
        <w:spacing w:line="560" w:lineRule="exact"/>
        <w:jc w:val="both"/>
        <w:outlineLvl w:val="1"/>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、投标单位所提供资料应真实有效，如有发现弄虚作假，伪造、涂改招标资质文件，将上传我公司股东双方，在集团公司范围内拉黑处理</w:t>
      </w:r>
    </w:p>
    <w:p>
      <w:pPr>
        <w:spacing w:line="560" w:lineRule="exact"/>
        <w:jc w:val="both"/>
        <w:outlineLvl w:val="1"/>
        <w:rPr>
          <w:rFonts w:ascii="仿宋_GB2312" w:eastAsia="仿宋_GB2312"/>
          <w:sz w:val="32"/>
          <w:szCs w:val="32"/>
        </w:rPr>
      </w:pPr>
      <w:r>
        <w:rPr>
          <w:rFonts w:hint="eastAsia" w:ascii="仿宋_GB2312" w:eastAsia="仿宋_GB2312"/>
          <w:sz w:val="32"/>
          <w:szCs w:val="32"/>
        </w:rPr>
        <w:t>五、物料号、数量、技术规格、参数要求、物理特性等，如要求原装进口需注明；</w:t>
      </w:r>
    </w:p>
    <w:p>
      <w:pPr>
        <w:spacing w:line="560" w:lineRule="exact"/>
        <w:jc w:val="both"/>
        <w:outlineLvl w:val="1"/>
        <w:rPr>
          <w:rFonts w:ascii="仿宋_GB2312" w:eastAsia="仿宋_GB2312"/>
          <w:sz w:val="32"/>
          <w:szCs w:val="32"/>
        </w:rPr>
      </w:pPr>
      <w:r>
        <w:rPr>
          <w:rFonts w:hint="eastAsia" w:ascii="仿宋_GB2312" w:eastAsia="仿宋_GB2312"/>
          <w:sz w:val="32"/>
          <w:szCs w:val="32"/>
        </w:rPr>
        <w:t>六、非单一产品（或维修等）招标项目，招标申请部门应当根据招标项目技术构成、产品价格比重等因素合理确定核心项目，并在招标需求中载明。无</w:t>
      </w:r>
    </w:p>
    <w:p>
      <w:pPr>
        <w:spacing w:line="560" w:lineRule="exact"/>
        <w:jc w:val="both"/>
        <w:outlineLvl w:val="1"/>
        <w:rPr>
          <w:rFonts w:ascii="仿宋_GB2312" w:eastAsia="仿宋_GB2312"/>
          <w:sz w:val="32"/>
          <w:szCs w:val="32"/>
        </w:rPr>
      </w:pPr>
      <w:r>
        <w:rPr>
          <w:rFonts w:hint="eastAsia" w:ascii="仿宋_GB2312" w:eastAsia="仿宋_GB2312"/>
          <w:sz w:val="32"/>
          <w:szCs w:val="32"/>
        </w:rPr>
        <w:t>七、招标项目需满足的服务标准、期限（货期或服务周期）、效率等要求；</w:t>
      </w:r>
    </w:p>
    <w:p>
      <w:pPr>
        <w:spacing w:line="560" w:lineRule="exact"/>
        <w:jc w:val="both"/>
        <w:outlineLvl w:val="1"/>
        <w:rPr>
          <w:rFonts w:hint="default" w:ascii="仿宋_GB2312" w:eastAsia="仿宋_GB2312"/>
          <w:sz w:val="32"/>
          <w:szCs w:val="32"/>
          <w:lang w:val="en-US" w:eastAsia="zh-CN"/>
        </w:rPr>
      </w:pPr>
      <w:r>
        <w:rPr>
          <w:rFonts w:hint="eastAsia" w:ascii="仿宋_GB2312" w:eastAsia="仿宋_GB2312"/>
          <w:sz w:val="32"/>
          <w:szCs w:val="32"/>
        </w:rPr>
        <w:t>1、要求施工</w:t>
      </w:r>
      <w:r>
        <w:rPr>
          <w:rFonts w:hint="eastAsia" w:ascii="仿宋_GB2312" w:eastAsia="仿宋_GB2312"/>
          <w:sz w:val="32"/>
          <w:szCs w:val="32"/>
          <w:lang w:val="en-US" w:eastAsia="zh-CN"/>
        </w:rPr>
        <w:t>工</w:t>
      </w:r>
      <w:r>
        <w:rPr>
          <w:rFonts w:hint="eastAsia" w:ascii="仿宋_GB2312" w:eastAsia="仿宋_GB2312"/>
          <w:sz w:val="32"/>
          <w:szCs w:val="32"/>
        </w:rPr>
        <w:t>期为甲方具备条件之日起</w:t>
      </w:r>
      <w:r>
        <w:rPr>
          <w:rFonts w:hint="eastAsia" w:ascii="仿宋_GB2312" w:eastAsia="仿宋_GB2312"/>
          <w:sz w:val="32"/>
          <w:szCs w:val="32"/>
          <w:lang w:val="en-US" w:eastAsia="zh-CN"/>
        </w:rPr>
        <w:t>15</w:t>
      </w:r>
      <w:r>
        <w:rPr>
          <w:rFonts w:hint="eastAsia" w:ascii="仿宋_GB2312" w:eastAsia="仿宋_GB2312"/>
          <w:sz w:val="32"/>
          <w:szCs w:val="32"/>
        </w:rPr>
        <w:t>天内完成施工</w:t>
      </w:r>
      <w:r>
        <w:rPr>
          <w:rFonts w:hint="eastAsia" w:ascii="仿宋_GB2312" w:eastAsia="仿宋_GB2312"/>
          <w:sz w:val="32"/>
          <w:szCs w:val="32"/>
          <w:lang w:eastAsia="zh-CN"/>
        </w:rPr>
        <w:t>，</w:t>
      </w:r>
      <w:r>
        <w:rPr>
          <w:rFonts w:hint="eastAsia" w:ascii="仿宋_GB2312" w:eastAsia="仿宋_GB2312"/>
          <w:sz w:val="32"/>
          <w:szCs w:val="32"/>
          <w:lang w:val="en-US" w:eastAsia="zh-CN"/>
        </w:rPr>
        <w:t>其中防爆区域施工7天内完成</w:t>
      </w:r>
    </w:p>
    <w:p>
      <w:pPr>
        <w:spacing w:line="560" w:lineRule="exact"/>
        <w:jc w:val="both"/>
        <w:outlineLvl w:val="1"/>
        <w:rPr>
          <w:rFonts w:ascii="仿宋_GB2312" w:eastAsia="仿宋_GB2312"/>
          <w:sz w:val="32"/>
          <w:szCs w:val="32"/>
        </w:rPr>
      </w:pPr>
      <w:r>
        <w:rPr>
          <w:rFonts w:hint="eastAsia" w:ascii="仿宋_GB2312" w:eastAsia="仿宋_GB2312"/>
          <w:sz w:val="32"/>
          <w:szCs w:val="32"/>
        </w:rPr>
        <w:t>2、报价表中所报价格为固定含税1</w:t>
      </w:r>
      <w:r>
        <w:rPr>
          <w:rFonts w:ascii="仿宋_GB2312" w:eastAsia="仿宋_GB2312"/>
          <w:sz w:val="32"/>
          <w:szCs w:val="32"/>
        </w:rPr>
        <w:t>3%</w:t>
      </w:r>
      <w:r>
        <w:rPr>
          <w:rFonts w:hint="eastAsia" w:ascii="仿宋_GB2312" w:eastAsia="仿宋_GB2312"/>
          <w:sz w:val="32"/>
          <w:szCs w:val="32"/>
        </w:rPr>
        <w:t>价格，乙方免费负责运输，交货前所有费用包括但不限于运输保险费用、装车费等由乙方负责。</w:t>
      </w:r>
    </w:p>
    <w:p>
      <w:pPr>
        <w:spacing w:line="560" w:lineRule="exact"/>
        <w:jc w:val="both"/>
        <w:outlineLvl w:val="1"/>
        <w:rPr>
          <w:rFonts w:ascii="仿宋_GB2312" w:eastAsia="仿宋_GB2312"/>
          <w:sz w:val="32"/>
          <w:szCs w:val="32"/>
        </w:rPr>
      </w:pPr>
      <w:r>
        <w:rPr>
          <w:rFonts w:hint="eastAsia" w:ascii="仿宋_GB2312" w:eastAsia="仿宋_GB2312"/>
          <w:sz w:val="32"/>
          <w:szCs w:val="32"/>
        </w:rPr>
        <w:t>3、如果在项目实际实施中出现与现有招标范围不符的实施内容，则超出或减少部分按照招标报价中的分项单价计算增减量，对于没有明确的报价以外的部分，双方协商确定价格，最终在合同总额的基础上进行相应的增加或者减少，并另行签订补充合同。（注意增量或减量的实施内容在发生前需要履行相应的审批手续后方可进行实施）</w:t>
      </w:r>
    </w:p>
    <w:p>
      <w:pPr>
        <w:pStyle w:val="18"/>
        <w:ind w:firstLine="0" w:firstLineChars="0"/>
        <w:rPr>
          <w:rFonts w:ascii="仿宋_GB2312" w:eastAsia="仿宋_GB2312"/>
          <w:sz w:val="32"/>
          <w:szCs w:val="32"/>
        </w:rPr>
      </w:pPr>
      <w:r>
        <w:rPr>
          <w:rFonts w:hint="eastAsia" w:ascii="仿宋_GB2312" w:eastAsia="仿宋_GB2312"/>
          <w:sz w:val="32"/>
          <w:szCs w:val="32"/>
        </w:rPr>
        <w:t>4、投标方报价分别报项目总价和分项报价（含施工费用及</w:t>
      </w:r>
      <w:r>
        <w:rPr>
          <w:rFonts w:hint="eastAsia" w:ascii="仿宋_GB2312" w:eastAsia="仿宋_GB2312"/>
          <w:sz w:val="32"/>
          <w:szCs w:val="32"/>
          <w:lang w:val="en-US" w:eastAsia="zh-CN"/>
        </w:rPr>
        <w:t>灯具、电缆及辅材等</w:t>
      </w:r>
      <w:r>
        <w:rPr>
          <w:rFonts w:hint="eastAsia" w:ascii="仿宋_GB2312" w:eastAsia="仿宋_GB2312"/>
          <w:sz w:val="32"/>
          <w:szCs w:val="32"/>
        </w:rPr>
        <w:t>费用），同时必须给出各种项目费用的计算依据；并标注未来可能产生的所有费用，无分项报价及未标注未来可能产生的所有费用将视为投标无效。原则上本次招标为总价标</w:t>
      </w:r>
    </w:p>
    <w:p>
      <w:pPr>
        <w:spacing w:line="560" w:lineRule="exact"/>
        <w:jc w:val="both"/>
        <w:outlineLvl w:val="1"/>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安装照明</w:t>
      </w:r>
      <w:r>
        <w:rPr>
          <w:rFonts w:hint="eastAsia" w:ascii="仿宋_GB2312" w:eastAsia="仿宋_GB2312"/>
          <w:sz w:val="32"/>
          <w:szCs w:val="32"/>
          <w:lang w:val="zh-CN"/>
        </w:rPr>
        <w:t>质保</w:t>
      </w:r>
      <w:r>
        <w:rPr>
          <w:rFonts w:hint="eastAsia" w:ascii="仿宋_GB2312" w:eastAsia="仿宋_GB2312"/>
          <w:sz w:val="32"/>
          <w:szCs w:val="32"/>
        </w:rPr>
        <w:t>一</w:t>
      </w:r>
      <w:r>
        <w:rPr>
          <w:rFonts w:hint="eastAsia" w:ascii="仿宋_GB2312" w:eastAsia="仿宋_GB2312"/>
          <w:sz w:val="32"/>
          <w:szCs w:val="32"/>
          <w:lang w:val="zh-CN"/>
        </w:rPr>
        <w:t>年，</w:t>
      </w:r>
      <w:r>
        <w:rPr>
          <w:rFonts w:hint="eastAsia" w:ascii="仿宋_GB2312" w:eastAsia="仿宋_GB2312"/>
          <w:sz w:val="32"/>
          <w:szCs w:val="32"/>
        </w:rPr>
        <w:t>乙方提供</w:t>
      </w:r>
      <w:r>
        <w:rPr>
          <w:rFonts w:hint="eastAsia" w:ascii="仿宋_GB2312" w:eastAsia="仿宋_GB2312"/>
          <w:sz w:val="32"/>
          <w:szCs w:val="32"/>
          <w:lang w:val="en-US" w:eastAsia="zh-CN"/>
        </w:rPr>
        <w:t>电缆、照明开关箱</w:t>
      </w:r>
      <w:r>
        <w:rPr>
          <w:rFonts w:hint="eastAsia" w:ascii="仿宋_GB2312" w:eastAsia="仿宋_GB2312"/>
          <w:sz w:val="32"/>
          <w:szCs w:val="32"/>
        </w:rPr>
        <w:t>一年现场服务和保修</w:t>
      </w:r>
      <w:r>
        <w:rPr>
          <w:rFonts w:hint="eastAsia" w:ascii="仿宋_GB2312" w:eastAsia="仿宋_GB2312"/>
          <w:sz w:val="32"/>
          <w:szCs w:val="32"/>
          <w:lang w:eastAsia="zh-CN"/>
        </w:rPr>
        <w:t>，</w:t>
      </w:r>
      <w:r>
        <w:rPr>
          <w:rFonts w:hint="eastAsia" w:ascii="仿宋_GB2312" w:eastAsia="仿宋_GB2312"/>
          <w:sz w:val="32"/>
          <w:szCs w:val="32"/>
          <w:lang w:val="en-US" w:eastAsia="zh-CN"/>
        </w:rPr>
        <w:t>灯具质保7年</w:t>
      </w:r>
      <w:r>
        <w:rPr>
          <w:rFonts w:hint="eastAsia" w:ascii="仿宋_GB2312" w:eastAsia="仿宋_GB2312"/>
          <w:sz w:val="32"/>
          <w:szCs w:val="32"/>
        </w:rPr>
        <w:t>（考核合格之日起，</w:t>
      </w:r>
      <w:r>
        <w:rPr>
          <w:rFonts w:hint="eastAsia" w:ascii="仿宋_GB2312" w:eastAsia="仿宋_GB2312"/>
          <w:sz w:val="32"/>
          <w:szCs w:val="32"/>
          <w:lang w:val="en-US" w:eastAsia="zh-CN"/>
        </w:rPr>
        <w:t>安装完成后</w:t>
      </w:r>
      <w:r>
        <w:rPr>
          <w:rFonts w:hint="eastAsia" w:ascii="仿宋_GB2312" w:eastAsia="仿宋_GB2312"/>
          <w:sz w:val="32"/>
          <w:szCs w:val="32"/>
        </w:rPr>
        <w:t>72小时）。保修期内，负责对其提供的设备进行维修服务(包括设备部件更换)，不收取任何费用，即乙方给予免费维修或更换；如甲方需乙方到现场时，乙方保证</w:t>
      </w:r>
      <w:r>
        <w:rPr>
          <w:rFonts w:hint="eastAsia" w:ascii="仿宋_GB2312" w:eastAsia="仿宋_GB2312"/>
          <w:sz w:val="32"/>
          <w:szCs w:val="32"/>
          <w:lang w:val="en-US" w:eastAsia="zh-CN"/>
        </w:rPr>
        <w:t>10</w:t>
      </w:r>
      <w:r>
        <w:rPr>
          <w:rFonts w:hint="eastAsia" w:ascii="仿宋_GB2312" w:eastAsia="仿宋_GB2312"/>
          <w:sz w:val="32"/>
          <w:szCs w:val="32"/>
        </w:rPr>
        <w:t>小时内到达现场</w:t>
      </w:r>
    </w:p>
    <w:p>
      <w:pPr>
        <w:widowControl w:val="0"/>
        <w:autoSpaceDE w:val="0"/>
        <w:autoSpaceDN w:val="0"/>
        <w:snapToGrid/>
        <w:spacing w:after="0"/>
        <w:jc w:val="both"/>
        <w:rPr>
          <w:rFonts w:ascii="仿宋_GB2312" w:eastAsia="仿宋_GB2312"/>
          <w:sz w:val="32"/>
          <w:szCs w:val="32"/>
        </w:rPr>
      </w:pPr>
      <w:r>
        <w:rPr>
          <w:rFonts w:hint="eastAsia" w:ascii="仿宋_GB2312" w:eastAsia="仿宋_GB2312"/>
          <w:sz w:val="32"/>
          <w:szCs w:val="32"/>
        </w:rPr>
        <w:t>八、招标项目的验收标准；</w:t>
      </w:r>
    </w:p>
    <w:p>
      <w:pPr>
        <w:spacing w:line="560" w:lineRule="exact"/>
        <w:jc w:val="both"/>
        <w:outlineLvl w:val="1"/>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安装</w:t>
      </w:r>
      <w:r>
        <w:rPr>
          <w:rFonts w:hint="eastAsia" w:ascii="仿宋_GB2312" w:eastAsia="仿宋_GB2312"/>
          <w:sz w:val="32"/>
          <w:szCs w:val="32"/>
        </w:rPr>
        <w:t>后的</w:t>
      </w:r>
      <w:r>
        <w:rPr>
          <w:rFonts w:hint="eastAsia" w:ascii="仿宋_GB2312" w:eastAsia="仿宋_GB2312"/>
          <w:sz w:val="32"/>
          <w:szCs w:val="32"/>
          <w:lang w:val="en-US" w:eastAsia="zh-CN"/>
        </w:rPr>
        <w:t>照明灯</w:t>
      </w:r>
      <w:r>
        <w:rPr>
          <w:rFonts w:hint="eastAsia" w:ascii="仿宋_GB2312" w:eastAsia="仿宋_GB2312"/>
          <w:sz w:val="32"/>
          <w:szCs w:val="32"/>
        </w:rPr>
        <w:t>乙方负责设备投运以及第一次上电，双方按照行业通用的技术标准进行诊断试验。</w:t>
      </w:r>
    </w:p>
    <w:p>
      <w:pPr>
        <w:spacing w:line="220" w:lineRule="atLeast"/>
        <w:jc w:val="both"/>
        <w:rPr>
          <w:rFonts w:ascii="仿宋_GB2312" w:eastAsia="仿宋_GB2312"/>
          <w:sz w:val="32"/>
          <w:szCs w:val="32"/>
        </w:rPr>
      </w:pPr>
      <w:r>
        <w:rPr>
          <w:rFonts w:hint="eastAsia" w:ascii="仿宋_GB2312" w:eastAsia="仿宋_GB2312"/>
          <w:sz w:val="32"/>
          <w:szCs w:val="32"/>
        </w:rPr>
        <w:t>2、最终验收正常运行72小时满足甲方需求后进行最终验收</w:t>
      </w:r>
    </w:p>
    <w:p>
      <w:pPr>
        <w:spacing w:line="220" w:lineRule="atLeast"/>
        <w:jc w:val="both"/>
        <w:rPr>
          <w:rFonts w:hint="default" w:eastAsia="仿宋_GB2312"/>
          <w:lang w:val="en-US" w:eastAsia="zh-CN"/>
        </w:rPr>
      </w:pPr>
      <w:r>
        <w:rPr>
          <w:rFonts w:hint="eastAsia" w:ascii="仿宋_GB2312" w:eastAsia="仿宋_GB2312"/>
          <w:sz w:val="32"/>
          <w:szCs w:val="32"/>
        </w:rPr>
        <w:t>3、施工完成需出具</w:t>
      </w:r>
      <w:r>
        <w:rPr>
          <w:rFonts w:hint="eastAsia" w:ascii="仿宋_GB2312" w:eastAsia="仿宋_GB2312"/>
          <w:sz w:val="32"/>
          <w:szCs w:val="32"/>
          <w:lang w:val="en-US" w:eastAsia="zh-CN"/>
        </w:rPr>
        <w:t>具体线路图纸</w:t>
      </w:r>
    </w:p>
    <w:p>
      <w:pPr>
        <w:spacing w:line="560" w:lineRule="exact"/>
        <w:jc w:val="both"/>
        <w:outlineLvl w:val="1"/>
        <w:rPr>
          <w:rFonts w:hint="default" w:ascii="仿宋_GB2312" w:eastAsia="仿宋_GB2312"/>
          <w:sz w:val="32"/>
          <w:szCs w:val="32"/>
          <w:lang w:val="en-US" w:eastAsia="zh-CN"/>
        </w:rPr>
      </w:pPr>
      <w:r>
        <w:rPr>
          <w:rFonts w:hint="eastAsia" w:ascii="仿宋_GB2312" w:eastAsia="仿宋_GB2312"/>
          <w:sz w:val="32"/>
          <w:szCs w:val="32"/>
        </w:rPr>
        <w:t>九、招标项目交付或者实施的时间和最终使用部门、地点；</w:t>
      </w:r>
      <w:r>
        <w:rPr>
          <w:rFonts w:hint="eastAsia" w:ascii="仿宋_GB2312" w:eastAsia="仿宋_GB2312"/>
          <w:sz w:val="32"/>
          <w:szCs w:val="32"/>
          <w:lang w:val="en-US" w:eastAsia="zh-CN"/>
        </w:rPr>
        <w:t>熟料分厂 发运分厂</w:t>
      </w:r>
    </w:p>
    <w:p>
      <w:pPr>
        <w:spacing w:line="560" w:lineRule="exact"/>
        <w:jc w:val="both"/>
        <w:outlineLvl w:val="1"/>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皮带通廊照明安装</w:t>
      </w:r>
      <w:r>
        <w:rPr>
          <w:rFonts w:hint="eastAsia" w:ascii="仿宋_GB2312" w:eastAsia="仿宋_GB2312"/>
          <w:sz w:val="32"/>
          <w:szCs w:val="32"/>
        </w:rPr>
        <w:t>施工项目自合同签订之日起生效，有效期一年。</w:t>
      </w:r>
    </w:p>
    <w:p>
      <w:pPr>
        <w:spacing w:line="560" w:lineRule="exact"/>
        <w:jc w:val="both"/>
        <w:outlineLvl w:val="1"/>
        <w:rPr>
          <w:rFonts w:ascii="仿宋_GB2312" w:eastAsia="仿宋_GB2312"/>
          <w:sz w:val="32"/>
          <w:szCs w:val="32"/>
        </w:rPr>
      </w:pPr>
      <w:r>
        <w:rPr>
          <w:rFonts w:hint="eastAsia" w:ascii="仿宋_GB2312" w:eastAsia="仿宋_GB2312"/>
          <w:sz w:val="32"/>
          <w:szCs w:val="32"/>
        </w:rPr>
        <w:t>2、乙方按合同约定日期完成施工，若乙方没有按照合同约定的时间完成施工，甲方有权从应付货款中每周扣除合同总价1%的逾期违约金，直到乙方交货。但逾期违约金赔偿总额不超过合同总价20% ，否则甲方有权单方解除合同，甲方解除合同时，乙方应承担合同总价 20 %违约金。一周按七（7）天计算，不足七（7）天按一周计算。乙方交付的产品数量、规格、型号、质量不符合合同约定的，由乙方负责包换包退，并承担因调换或退货而发生的所有费用。因调换逾期者按逾期交货处理。因逾期交货给甲方造成的直接和间接损失应由乙方负赔偿责任。</w:t>
      </w:r>
    </w:p>
    <w:p>
      <w:pPr>
        <w:spacing w:line="220" w:lineRule="atLeast"/>
        <w:jc w:val="both"/>
        <w:rPr>
          <w:rFonts w:ascii="仿宋_GB2312" w:eastAsia="仿宋_GB2312"/>
          <w:sz w:val="32"/>
          <w:szCs w:val="32"/>
        </w:rPr>
      </w:pPr>
      <w:r>
        <w:rPr>
          <w:rFonts w:hint="eastAsia" w:ascii="仿宋_GB2312" w:eastAsia="仿宋_GB2312"/>
          <w:sz w:val="32"/>
          <w:szCs w:val="32"/>
        </w:rPr>
        <w:t>十、招标项目的其它技术、资料、服务等要求；</w:t>
      </w:r>
    </w:p>
    <w:p>
      <w:pPr>
        <w:spacing w:line="220" w:lineRule="atLeast"/>
        <w:jc w:val="both"/>
        <w:rPr>
          <w:rFonts w:ascii="仿宋_GB2312" w:eastAsia="仿宋_GB2312"/>
          <w:sz w:val="32"/>
          <w:szCs w:val="32"/>
        </w:rPr>
      </w:pPr>
      <w:r>
        <w:rPr>
          <w:rFonts w:hint="eastAsia" w:ascii="仿宋_GB2312" w:eastAsia="仿宋_GB2312"/>
          <w:sz w:val="32"/>
          <w:szCs w:val="32"/>
        </w:rPr>
        <w:t>十一、是否需要现场踏勘，并根据项目情况明确踏勘时间。</w:t>
      </w:r>
    </w:p>
    <w:p>
      <w:pPr>
        <w:spacing w:line="220" w:lineRule="atLeast"/>
        <w:jc w:val="both"/>
        <w:rPr>
          <w:rFonts w:ascii="仿宋_GB2312" w:eastAsia="仿宋_GB2312"/>
          <w:sz w:val="32"/>
          <w:szCs w:val="32"/>
        </w:rPr>
      </w:pPr>
      <w:r>
        <w:rPr>
          <w:rFonts w:hint="eastAsia" w:ascii="仿宋_GB2312" w:eastAsia="仿宋_GB2312"/>
          <w:sz w:val="32"/>
          <w:szCs w:val="32"/>
        </w:rPr>
        <w:t>1、需要现场踏勘</w:t>
      </w:r>
      <w:r>
        <w:rPr>
          <w:rFonts w:hint="eastAsia" w:ascii="仿宋_GB2312" w:eastAsia="仿宋_GB2312"/>
          <w:sz w:val="32"/>
          <w:szCs w:val="32"/>
          <w:lang w:eastAsia="zh-CN"/>
        </w:rPr>
        <w:t>，</w:t>
      </w:r>
      <w:r>
        <w:rPr>
          <w:rFonts w:hint="eastAsia" w:ascii="仿宋_GB2312" w:eastAsia="仿宋_GB2312"/>
          <w:sz w:val="32"/>
          <w:szCs w:val="32"/>
        </w:rPr>
        <w:t>踏勘</w:t>
      </w:r>
      <w:r>
        <w:rPr>
          <w:rFonts w:hint="eastAsia" w:ascii="仿宋_GB2312" w:eastAsia="仿宋_GB2312"/>
          <w:sz w:val="32"/>
          <w:szCs w:val="32"/>
          <w:lang w:val="en-US" w:eastAsia="zh-CN"/>
        </w:rPr>
        <w:t>前联系</w:t>
      </w:r>
      <w:r>
        <w:rPr>
          <w:rFonts w:hint="eastAsia" w:ascii="仿宋_GB2312" w:eastAsia="仿宋_GB2312"/>
          <w:sz w:val="32"/>
          <w:szCs w:val="32"/>
        </w:rPr>
        <w:t>踏勘</w:t>
      </w:r>
      <w:r>
        <w:rPr>
          <w:rFonts w:hint="eastAsia" w:ascii="仿宋_GB2312" w:eastAsia="仿宋_GB2312"/>
          <w:sz w:val="32"/>
          <w:szCs w:val="32"/>
          <w:lang w:val="en-US" w:eastAsia="zh-CN"/>
        </w:rPr>
        <w:t>负责人</w:t>
      </w:r>
      <w:r>
        <w:rPr>
          <w:rFonts w:hint="eastAsia" w:ascii="仿宋_GB2312" w:eastAsia="仿宋_GB2312"/>
          <w:sz w:val="32"/>
          <w:szCs w:val="32"/>
        </w:rPr>
        <w:t>，如未进行现场踏勘则视为投标无效</w:t>
      </w:r>
    </w:p>
    <w:p>
      <w:pPr>
        <w:numPr>
          <w:ilvl w:val="0"/>
          <w:numId w:val="3"/>
        </w:numPr>
        <w:spacing w:line="220" w:lineRule="atLeast"/>
        <w:jc w:val="both"/>
        <w:rPr>
          <w:rFonts w:ascii="仿宋_GB2312" w:eastAsia="仿宋_GB2312"/>
          <w:sz w:val="32"/>
          <w:szCs w:val="32"/>
        </w:rPr>
      </w:pPr>
      <w:r>
        <w:rPr>
          <w:rFonts w:hint="eastAsia" w:ascii="仿宋_GB2312" w:eastAsia="仿宋_GB2312"/>
          <w:sz w:val="32"/>
          <w:szCs w:val="32"/>
        </w:rPr>
        <w:t>供应商必须提交的技术资料等要求：材料不全视为投标无效</w:t>
      </w:r>
    </w:p>
    <w:p>
      <w:pPr>
        <w:jc w:val="both"/>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、投标时需提供</w:t>
      </w:r>
      <w:r>
        <w:rPr>
          <w:rFonts w:hint="eastAsia" w:ascii="仿宋_GB2312" w:eastAsia="仿宋_GB2312"/>
          <w:sz w:val="32"/>
          <w:szCs w:val="32"/>
          <w:lang w:val="en-US" w:eastAsia="zh-CN"/>
        </w:rPr>
        <w:t>皮带通廊</w:t>
      </w:r>
      <w:r>
        <w:rPr>
          <w:rFonts w:hint="eastAsia" w:ascii="仿宋_GB2312" w:eastAsia="仿宋_GB2312"/>
          <w:sz w:val="32"/>
          <w:szCs w:val="32"/>
        </w:rPr>
        <w:t>安装所供的材料明细表（含价格）</w:t>
      </w:r>
    </w:p>
    <w:p>
      <w:pPr>
        <w:pStyle w:val="18"/>
        <w:ind w:firstLine="0" w:firstLineChars="0"/>
        <w:rPr>
          <w:rFonts w:ascii="仿宋_GB2312" w:eastAsia="仿宋_GB2312"/>
          <w:b/>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、投标时需提供涉及此项目</w:t>
      </w:r>
      <w:r>
        <w:rPr>
          <w:rFonts w:hint="eastAsia" w:ascii="仿宋_GB2312" w:eastAsia="仿宋_GB2312"/>
          <w:sz w:val="32"/>
          <w:szCs w:val="32"/>
          <w:lang w:val="en-US" w:eastAsia="zh-CN"/>
        </w:rPr>
        <w:t>施工</w:t>
      </w:r>
      <w:r>
        <w:rPr>
          <w:rFonts w:hint="eastAsia" w:ascii="仿宋_GB2312" w:eastAsia="仿宋_GB2312"/>
          <w:sz w:val="32"/>
          <w:szCs w:val="32"/>
        </w:rPr>
        <w:t>费用及单价</w:t>
      </w:r>
    </w:p>
    <w:p>
      <w:pPr>
        <w:spacing w:line="220" w:lineRule="atLeast"/>
        <w:ind w:firstLine="643" w:firstLineChars="200"/>
        <w:rPr>
          <w:rFonts w:ascii="仿宋_GB2312" w:eastAsia="仿宋_GB2312"/>
          <w:b/>
          <w:sz w:val="32"/>
          <w:szCs w:val="32"/>
        </w:rPr>
      </w:pPr>
      <w:r>
        <w:rPr>
          <w:rFonts w:hint="eastAsia" w:ascii="仿宋_GB2312" w:eastAsia="仿宋_GB2312"/>
          <w:b/>
          <w:sz w:val="32"/>
          <w:szCs w:val="32"/>
        </w:rPr>
        <w:t>商务要求：</w:t>
      </w:r>
    </w:p>
    <w:p>
      <w:pPr>
        <w:numPr>
          <w:ilvl w:val="0"/>
          <w:numId w:val="4"/>
        </w:numPr>
        <w:spacing w:line="560" w:lineRule="exact"/>
        <w:outlineLvl w:val="1"/>
        <w:rPr>
          <w:rFonts w:hint="eastAsia" w:ascii="仿宋_GB2312" w:hAnsi="宋体" w:eastAsia="仿宋_GB2312" w:cs="仿宋"/>
          <w:sz w:val="32"/>
          <w:szCs w:val="32"/>
        </w:rPr>
      </w:pPr>
      <w:r>
        <w:rPr>
          <w:rFonts w:hint="eastAsia" w:ascii="仿宋_GB2312" w:eastAsia="仿宋_GB2312"/>
          <w:color w:val="000000"/>
          <w:sz w:val="32"/>
          <w:szCs w:val="32"/>
        </w:rPr>
        <w:t>投标保证金：</w:t>
      </w:r>
      <w:r>
        <w:rPr>
          <w:rFonts w:hint="eastAsia" w:ascii="仿宋_GB2312" w:eastAsia="仿宋_GB2312"/>
          <w:color w:val="000000"/>
          <w:sz w:val="32"/>
          <w:szCs w:val="32"/>
          <w:lang w:val="en-US" w:eastAsia="zh-CN"/>
        </w:rPr>
        <w:t>2000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投标人无违规情况，投标保证正常返还</w:t>
      </w:r>
    </w:p>
    <w:p>
      <w:pPr>
        <w:numPr>
          <w:ilvl w:val="0"/>
          <w:numId w:val="0"/>
        </w:numPr>
        <w:spacing w:line="560" w:lineRule="exact"/>
        <w:ind w:firstLine="640" w:firstLineChars="200"/>
        <w:outlineLvl w:val="1"/>
        <w:rPr>
          <w:rFonts w:hint="eastAsia" w:ascii="仿宋_GB2312" w:hAnsi="宋体" w:eastAsia="仿宋_GB2312" w:cs="仿宋"/>
          <w:sz w:val="32"/>
          <w:szCs w:val="32"/>
        </w:rPr>
      </w:pPr>
      <w:r>
        <w:rPr>
          <w:rFonts w:hint="eastAsia" w:ascii="仿宋_GB2312" w:hAnsi="宋体" w:eastAsia="仿宋_GB2312" w:cs="仿宋"/>
          <w:sz w:val="32"/>
          <w:szCs w:val="32"/>
        </w:rPr>
        <w:t>投标人有如下列行为之一，从发现之日起，予以取消其在我公司范围内招标项目进行再次投标的资格，扣除投标保证金，并上报股东双方相关部门。</w:t>
      </w:r>
    </w:p>
    <w:p>
      <w:pPr>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1</w:t>
      </w:r>
      <w:r>
        <w:rPr>
          <w:rFonts w:hint="eastAsia" w:ascii="仿宋_GB2312" w:hAnsi="宋体" w:eastAsia="仿宋_GB2312" w:cs="仿宋"/>
          <w:sz w:val="32"/>
          <w:szCs w:val="32"/>
        </w:rPr>
        <w:t>、弄虚作假，伪造、涂改招标资质文件；</w:t>
      </w:r>
    </w:p>
    <w:p>
      <w:pPr>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2</w:t>
      </w:r>
      <w:r>
        <w:rPr>
          <w:rFonts w:hint="eastAsia" w:ascii="仿宋_GB2312" w:hAnsi="宋体" w:eastAsia="仿宋_GB2312" w:cs="仿宋"/>
          <w:sz w:val="32"/>
          <w:szCs w:val="32"/>
        </w:rPr>
        <w:t>、串通作弊，哄抬或故意压低标价，破坏公平竞争；</w:t>
      </w:r>
    </w:p>
    <w:p>
      <w:pPr>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3</w:t>
      </w:r>
      <w:r>
        <w:rPr>
          <w:rFonts w:hint="eastAsia" w:ascii="仿宋_GB2312" w:hAnsi="宋体" w:eastAsia="仿宋_GB2312" w:cs="仿宋"/>
          <w:sz w:val="32"/>
          <w:szCs w:val="32"/>
        </w:rPr>
        <w:t>、采用不正当手段排挤其他投标人，扰乱正常招标秩</w:t>
      </w:r>
    </w:p>
    <w:p>
      <w:pPr>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4</w:t>
      </w:r>
      <w:r>
        <w:rPr>
          <w:rFonts w:hint="eastAsia" w:ascii="仿宋_GB2312" w:hAnsi="宋体" w:eastAsia="仿宋_GB2312" w:cs="仿宋"/>
          <w:sz w:val="32"/>
          <w:szCs w:val="32"/>
        </w:rPr>
        <w:t>、贿赂招标工作人员和评标人员，套取招标评标秘密；</w:t>
      </w:r>
    </w:p>
    <w:p>
      <w:pPr>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5</w:t>
      </w:r>
      <w:r>
        <w:rPr>
          <w:rFonts w:hint="eastAsia" w:ascii="仿宋_GB2312" w:hAnsi="宋体" w:eastAsia="仿宋_GB2312" w:cs="仿宋"/>
          <w:sz w:val="32"/>
          <w:szCs w:val="32"/>
        </w:rPr>
        <w:t>、中标通知书发出后，中标人故意放弃中标的；</w:t>
      </w:r>
    </w:p>
    <w:p>
      <w:pPr>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6</w:t>
      </w:r>
      <w:r>
        <w:rPr>
          <w:rFonts w:hint="eastAsia" w:ascii="仿宋_GB2312" w:hAnsi="宋体" w:eastAsia="仿宋_GB2312" w:cs="仿宋"/>
          <w:sz w:val="32"/>
          <w:szCs w:val="32"/>
        </w:rPr>
        <w:t>、中标后，无法满足招投标文件约定的相关条款，经公司相关部门共同认定，取消其中标资格的；</w:t>
      </w:r>
    </w:p>
    <w:p>
      <w:pPr>
        <w:spacing w:line="560" w:lineRule="exact"/>
        <w:ind w:firstLine="640" w:firstLineChars="200"/>
        <w:rPr>
          <w:rFonts w:hint="eastAsia" w:ascii="仿宋_GB2312" w:hAnsi="宋体" w:eastAsia="仿宋_GB2312" w:cs="仿宋"/>
          <w:sz w:val="32"/>
          <w:szCs w:val="32"/>
        </w:rPr>
      </w:pPr>
      <w:r>
        <w:rPr>
          <w:rFonts w:hint="eastAsia" w:ascii="仿宋_GB2312" w:hAnsi="宋体" w:eastAsia="仿宋_GB2312" w:cs="仿宋"/>
          <w:sz w:val="32"/>
          <w:szCs w:val="32"/>
          <w:lang w:val="en-US" w:eastAsia="zh-CN"/>
        </w:rPr>
        <w:t>7</w:t>
      </w:r>
      <w:r>
        <w:rPr>
          <w:rFonts w:hint="eastAsia" w:ascii="仿宋_GB2312" w:hAnsi="宋体" w:eastAsia="仿宋_GB2312" w:cs="仿宋"/>
          <w:sz w:val="32"/>
          <w:szCs w:val="32"/>
        </w:rPr>
        <w:t>、中标后，中标人私自将项目整体、主体或关键性部分转包或分包的；</w:t>
      </w:r>
    </w:p>
    <w:p>
      <w:pPr>
        <w:spacing w:line="560" w:lineRule="exact"/>
        <w:ind w:firstLine="640" w:firstLineChars="200"/>
        <w:rPr>
          <w:rFonts w:hint="eastAsia"/>
        </w:rPr>
      </w:pPr>
      <w:r>
        <w:rPr>
          <w:rFonts w:hint="eastAsia" w:ascii="仿宋_GB2312" w:hAnsi="宋体" w:eastAsia="仿宋_GB2312" w:cs="仿宋"/>
          <w:sz w:val="32"/>
          <w:szCs w:val="32"/>
          <w:lang w:val="en-US" w:eastAsia="zh-CN"/>
        </w:rPr>
        <w:t>8</w:t>
      </w:r>
      <w:r>
        <w:rPr>
          <w:rFonts w:hint="eastAsia" w:ascii="仿宋_GB2312" w:hAnsi="宋体" w:eastAsia="仿宋_GB2312" w:cs="仿宋"/>
          <w:sz w:val="32"/>
          <w:szCs w:val="32"/>
        </w:rPr>
        <w:t>、违反国家有关法律、法规、政策和我公司有关规定的其他行为。</w:t>
      </w:r>
    </w:p>
    <w:p>
      <w:pPr>
        <w:spacing w:line="560" w:lineRule="exact"/>
        <w:outlineLvl w:val="1"/>
        <w:rPr>
          <w:rFonts w:hint="eastAsia" w:ascii="仿宋_GB2312" w:eastAsia="仿宋_GB2312"/>
          <w:color w:val="000000"/>
          <w:sz w:val="32"/>
          <w:szCs w:val="32"/>
          <w:lang w:eastAsia="zh-CN"/>
        </w:rPr>
      </w:pPr>
      <w:r>
        <w:rPr>
          <w:rFonts w:hint="eastAsia" w:ascii="仿宋_GB2312" w:eastAsia="仿宋_GB2312"/>
          <w:color w:val="000000"/>
          <w:sz w:val="32"/>
          <w:szCs w:val="32"/>
        </w:rPr>
        <w:t>二、履约保证金：</w:t>
      </w:r>
      <w:r>
        <w:rPr>
          <w:rFonts w:hint="eastAsia" w:ascii="仿宋_GB2312" w:eastAsia="仿宋_GB2312"/>
          <w:color w:val="000000"/>
          <w:sz w:val="32"/>
          <w:szCs w:val="32"/>
          <w:u w:val="single"/>
          <w:lang w:val="en-US" w:eastAsia="zh-CN"/>
        </w:rPr>
        <w:t>0</w:t>
      </w:r>
      <w:r>
        <w:rPr>
          <w:rFonts w:hint="eastAsia" w:ascii="仿宋_GB2312" w:eastAsia="仿宋_GB2312"/>
          <w:color w:val="000000"/>
          <w:sz w:val="32"/>
          <w:szCs w:val="32"/>
        </w:rPr>
        <w:t>元， 返回时间</w:t>
      </w:r>
      <w:r>
        <w:rPr>
          <w:rFonts w:hint="eastAsia" w:ascii="仿宋_GB2312" w:eastAsia="仿宋_GB2312"/>
          <w:color w:val="000000"/>
          <w:sz w:val="32"/>
          <w:szCs w:val="32"/>
          <w:lang w:eastAsia="zh-CN"/>
        </w:rPr>
        <w:t>：</w:t>
      </w:r>
    </w:p>
    <w:p>
      <w:pPr>
        <w:spacing w:line="560" w:lineRule="exact"/>
        <w:outlineLvl w:val="1"/>
        <w:rPr>
          <w:rFonts w:hint="eastAsia" w:ascii="仿宋_GB2312" w:hAnsi="Tahoma" w:eastAsia="仿宋_GB2312" w:cstheme="minorBidi"/>
          <w:color w:val="000000"/>
          <w:sz w:val="32"/>
          <w:szCs w:val="32"/>
          <w:lang w:val="en-US" w:eastAsia="zh-CN" w:bidi="ar-SA"/>
        </w:rPr>
      </w:pPr>
      <w:r>
        <w:rPr>
          <w:rFonts w:hint="eastAsia" w:ascii="仿宋_GB2312" w:eastAsia="仿宋_GB2312"/>
          <w:color w:val="000000"/>
          <w:sz w:val="32"/>
          <w:szCs w:val="32"/>
        </w:rPr>
        <w:t>三、付款方式及税率：</w:t>
      </w:r>
      <w:r>
        <w:rPr>
          <w:rFonts w:hint="eastAsia" w:ascii="仿宋_GB2312" w:hAnsi="Tahoma" w:eastAsia="仿宋_GB2312" w:cstheme="minorBidi"/>
          <w:color w:val="000000"/>
          <w:sz w:val="32"/>
          <w:szCs w:val="32"/>
          <w:lang w:val="en-US" w:eastAsia="zh-CN" w:bidi="ar-SA"/>
        </w:rPr>
        <w:t>付款方式：每半年根据具体发生低压变频维修的数量、项目结合单价结算，根据结算单总价付款至90%，预留10%的质量保修金。</w:t>
      </w:r>
      <w:r>
        <w:rPr>
          <w:rFonts w:hint="eastAsia" w:ascii="仿宋_GB2312" w:eastAsia="仿宋_GB2312"/>
          <w:color w:val="000000"/>
          <w:sz w:val="32"/>
          <w:szCs w:val="32"/>
        </w:rPr>
        <w:t>13%税率</w:t>
      </w:r>
    </w:p>
    <w:p>
      <w:pPr>
        <w:spacing w:line="560" w:lineRule="exact"/>
        <w:outlineLvl w:val="1"/>
        <w:rPr>
          <w:rFonts w:hint="eastAsia" w:ascii="仿宋_GB2312" w:eastAsia="仿宋_GB2312"/>
          <w:color w:val="000000"/>
          <w:sz w:val="32"/>
          <w:szCs w:val="32"/>
          <w:lang w:eastAsia="zh-CN"/>
        </w:rPr>
      </w:pPr>
      <w:r>
        <w:rPr>
          <w:rFonts w:hint="eastAsia" w:ascii="仿宋_GB2312" w:eastAsia="仿宋_GB2312"/>
          <w:color w:val="000000"/>
          <w:sz w:val="32"/>
          <w:szCs w:val="32"/>
        </w:rPr>
        <w:t>四、近三个月历史价格；</w:t>
      </w:r>
      <w:r>
        <w:rPr>
          <w:rFonts w:hint="eastAsia" w:ascii="仿宋_GB2312" w:eastAsia="仿宋_GB2312"/>
          <w:color w:val="000000"/>
          <w:sz w:val="32"/>
          <w:szCs w:val="32"/>
          <w:lang w:val="en-US" w:eastAsia="zh-CN"/>
        </w:rPr>
        <w:t xml:space="preserve">  万元</w:t>
      </w:r>
    </w:p>
    <w:p>
      <w:pPr>
        <w:spacing w:line="220" w:lineRule="atLeast"/>
        <w:rPr>
          <w:rFonts w:hint="eastAsia" w:ascii="仿宋_GB2312" w:eastAsia="仿宋_GB2312"/>
          <w:color w:val="000000"/>
          <w:sz w:val="32"/>
          <w:szCs w:val="32"/>
        </w:rPr>
      </w:pPr>
      <w:r>
        <w:rPr>
          <w:rFonts w:hint="eastAsia" w:ascii="仿宋_GB2312" w:eastAsia="仿宋_GB2312"/>
          <w:color w:val="000000"/>
          <w:sz w:val="32"/>
          <w:szCs w:val="32"/>
        </w:rPr>
        <w:t>五、需要供应商填报的报价表或承诺表等表格；</w:t>
      </w:r>
    </w:p>
    <w:p>
      <w:pPr>
        <w:spacing w:line="560" w:lineRule="exact"/>
        <w:outlineLvl w:val="1"/>
        <w:rPr>
          <w:rFonts w:hint="default" w:ascii="仿宋_GB2312" w:eastAsia="仿宋_GB2312"/>
          <w:sz w:val="32"/>
          <w:szCs w:val="32"/>
          <w:lang w:val="en-US" w:eastAsia="zh-CN"/>
        </w:rPr>
      </w:pPr>
      <w:r>
        <w:rPr>
          <w:rFonts w:hint="eastAsia" w:ascii="仿宋_GB2312" w:eastAsia="仿宋_GB2312"/>
          <w:color w:val="000000"/>
          <w:sz w:val="32"/>
          <w:szCs w:val="32"/>
        </w:rPr>
        <w:t>六、初步拟定的评标原则；（保供能力、资质、投标响应程度等不能作为评标原则）</w:t>
      </w:r>
      <w:r>
        <w:rPr>
          <w:rFonts w:hint="eastAsia" w:ascii="仿宋_GB2312" w:eastAsia="仿宋_GB2312"/>
          <w:sz w:val="32"/>
          <w:szCs w:val="32"/>
          <w:lang w:val="en-US" w:eastAsia="zh-CN"/>
        </w:rPr>
        <w:t>此项目为最低价中标</w:t>
      </w:r>
    </w:p>
    <w:p>
      <w:pPr>
        <w:spacing w:line="560" w:lineRule="exact"/>
        <w:outlineLvl w:val="1"/>
        <w:rPr>
          <w:rFonts w:ascii="仿宋_GB2312" w:eastAsia="仿宋_GB2312"/>
          <w:sz w:val="32"/>
          <w:szCs w:val="32"/>
        </w:rPr>
      </w:pPr>
      <w:r>
        <w:rPr>
          <w:rFonts w:hint="eastAsia" w:ascii="仿宋_GB2312" w:eastAsia="仿宋_GB2312"/>
          <w:sz w:val="32"/>
          <w:szCs w:val="32"/>
        </w:rPr>
        <w:t>七、拟签订的合同范本，合同内容要与上述要求保持一致。</w:t>
      </w:r>
    </w:p>
    <w:p>
      <w:pPr>
        <w:spacing w:line="220" w:lineRule="atLeast"/>
        <w:ind w:firstLine="640" w:firstLineChars="200"/>
        <w:rPr>
          <w:rFonts w:ascii="仿宋_GB2312" w:eastAsia="仿宋_GB2312"/>
          <w:sz w:val="32"/>
          <w:szCs w:val="32"/>
        </w:rPr>
      </w:pPr>
      <w:r>
        <w:rPr>
          <w:rFonts w:hint="eastAsia" w:ascii="仿宋_GB2312" w:eastAsia="仿宋_GB2312"/>
          <w:sz w:val="32"/>
          <w:szCs w:val="32"/>
        </w:rPr>
        <w:t>以上各项如果没有对应要求填“无”。</w:t>
      </w:r>
    </w:p>
    <w:p>
      <w:pPr>
        <w:pStyle w:val="4"/>
        <w:ind w:firstLine="0"/>
        <w:rPr>
          <w:rFonts w:ascii="仿宋_GB2312" w:eastAsia="仿宋_GB2312"/>
          <w:sz w:val="32"/>
          <w:szCs w:val="32"/>
        </w:rPr>
        <w:sectPr>
          <w:headerReference r:id="rId4" w:type="default"/>
          <w:pgSz w:w="11906" w:h="16838"/>
          <w:pgMar w:top="1440" w:right="1800" w:bottom="1440" w:left="1800" w:header="708" w:footer="708" w:gutter="0"/>
          <w:cols w:space="708" w:num="1"/>
          <w:docGrid w:linePitch="360" w:charSpace="0"/>
        </w:sectPr>
      </w:pPr>
    </w:p>
    <w:p>
      <w:pPr>
        <w:pStyle w:val="2"/>
        <w:numPr>
          <w:ilvl w:val="0"/>
          <w:numId w:val="0"/>
        </w:numPr>
        <w:bidi w:val="0"/>
        <w:jc w:val="center"/>
        <w:rPr>
          <w:b/>
          <w:bCs w:val="0"/>
          <w:sz w:val="22"/>
          <w:szCs w:val="22"/>
        </w:rPr>
      </w:pPr>
      <w:r>
        <w:rPr>
          <w:rFonts w:hint="eastAsia"/>
          <w:b/>
          <w:bCs w:val="0"/>
          <w:sz w:val="22"/>
          <w:szCs w:val="22"/>
          <w:lang w:val="en-US" w:eastAsia="zh-CN"/>
        </w:rPr>
        <w:t>熟料及发运分厂皮带通廊照明安装施工分项报价</w:t>
      </w:r>
      <w:r>
        <w:rPr>
          <w:rFonts w:hint="eastAsia"/>
          <w:b/>
          <w:bCs w:val="0"/>
          <w:sz w:val="22"/>
          <w:szCs w:val="22"/>
        </w:rPr>
        <w:t>表</w:t>
      </w:r>
    </w:p>
    <w:tbl>
      <w:tblPr>
        <w:tblStyle w:val="15"/>
        <w:tblW w:w="9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1"/>
        <w:gridCol w:w="3457"/>
        <w:gridCol w:w="1076"/>
        <w:gridCol w:w="1458"/>
        <w:gridCol w:w="1458"/>
        <w:gridCol w:w="14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771" w:type="dxa"/>
            <w:tcBorders>
              <w:top w:val="single" w:color="auto" w:sz="4" w:space="0"/>
              <w:left w:val="single" w:color="auto" w:sz="4" w:space="0"/>
              <w:bottom w:val="single" w:color="auto" w:sz="4" w:space="0"/>
              <w:right w:val="single" w:color="auto" w:sz="4" w:space="0"/>
            </w:tcBorders>
            <w:shd w:val="clear" w:color="auto" w:fill="F5E6C6"/>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区域</w:t>
            </w:r>
          </w:p>
        </w:tc>
        <w:tc>
          <w:tcPr>
            <w:tcW w:w="3457" w:type="dxa"/>
            <w:tcBorders>
              <w:top w:val="single" w:color="auto" w:sz="4" w:space="0"/>
              <w:left w:val="single" w:color="auto" w:sz="4" w:space="0"/>
              <w:bottom w:val="single" w:color="auto" w:sz="4" w:space="0"/>
              <w:right w:val="single" w:color="auto" w:sz="4" w:space="0"/>
            </w:tcBorders>
            <w:shd w:val="clear" w:color="auto" w:fill="F5E6C6"/>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材料</w:t>
            </w:r>
          </w:p>
        </w:tc>
        <w:tc>
          <w:tcPr>
            <w:tcW w:w="1076" w:type="dxa"/>
            <w:tcBorders>
              <w:top w:val="single" w:color="auto" w:sz="4" w:space="0"/>
              <w:left w:val="single" w:color="auto" w:sz="4" w:space="0"/>
              <w:bottom w:val="single" w:color="auto" w:sz="4" w:space="0"/>
              <w:right w:val="single" w:color="auto" w:sz="4" w:space="0"/>
            </w:tcBorders>
            <w:shd w:val="clear" w:color="auto" w:fill="F5E6C6"/>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数量</w:t>
            </w:r>
          </w:p>
        </w:tc>
        <w:tc>
          <w:tcPr>
            <w:tcW w:w="1458" w:type="dxa"/>
            <w:tcBorders>
              <w:top w:val="single" w:color="auto" w:sz="4" w:space="0"/>
              <w:left w:val="single" w:color="auto" w:sz="4" w:space="0"/>
              <w:bottom w:val="single" w:color="auto" w:sz="4" w:space="0"/>
              <w:right w:val="single" w:color="auto" w:sz="4" w:space="0"/>
            </w:tcBorders>
            <w:shd w:val="clear" w:color="auto" w:fill="F5E6C6"/>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单价（元）</w:t>
            </w:r>
          </w:p>
        </w:tc>
        <w:tc>
          <w:tcPr>
            <w:tcW w:w="1458" w:type="dxa"/>
            <w:tcBorders>
              <w:top w:val="single" w:color="auto" w:sz="4" w:space="0"/>
              <w:left w:val="single" w:color="auto" w:sz="4" w:space="0"/>
              <w:bottom w:val="single" w:color="auto" w:sz="4" w:space="0"/>
              <w:right w:val="single" w:color="auto" w:sz="4" w:space="0"/>
            </w:tcBorders>
            <w:shd w:val="clear" w:color="auto" w:fill="F5E6C6"/>
            <w:noWrap/>
            <w:vAlign w:val="center"/>
          </w:tcPr>
          <w:p>
            <w:pPr>
              <w:keepNext w:val="0"/>
              <w:keepLines w:val="0"/>
              <w:widowControl/>
              <w:suppressLineNumbers w:val="0"/>
              <w:jc w:val="center"/>
              <w:textAlignment w:val="center"/>
              <w:rPr>
                <w:rFonts w:hint="default"/>
                <w:b/>
                <w:bCs w:val="0"/>
                <w:color w:val="000000"/>
                <w:sz w:val="13"/>
                <w:szCs w:val="13"/>
                <w:lang w:val="en-US" w:eastAsia="zh-CN"/>
              </w:rPr>
            </w:pPr>
            <w:r>
              <w:rPr>
                <w:rFonts w:hint="eastAsia" w:ascii="宋体" w:hAnsi="宋体" w:eastAsia="宋体" w:cs="宋体"/>
                <w:b/>
                <w:bCs w:val="0"/>
                <w:i w:val="0"/>
                <w:iCs w:val="0"/>
                <w:color w:val="000000"/>
                <w:kern w:val="0"/>
                <w:sz w:val="16"/>
                <w:szCs w:val="16"/>
                <w:u w:val="none"/>
                <w:lang w:val="en-US" w:eastAsia="zh-CN" w:bidi="ar"/>
              </w:rPr>
              <w:t>总价（元）</w:t>
            </w:r>
          </w:p>
        </w:tc>
        <w:tc>
          <w:tcPr>
            <w:tcW w:w="1458" w:type="dxa"/>
            <w:tcBorders>
              <w:top w:val="single" w:color="auto" w:sz="4" w:space="0"/>
              <w:left w:val="single" w:color="auto" w:sz="4" w:space="0"/>
              <w:bottom w:val="single" w:color="auto" w:sz="4" w:space="0"/>
              <w:right w:val="single" w:color="auto" w:sz="4" w:space="0"/>
            </w:tcBorders>
            <w:shd w:val="clear" w:color="auto" w:fill="F5E6C6"/>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restart"/>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普通</w:t>
            </w:r>
          </w:p>
          <w:p>
            <w:pPr>
              <w:keepNext w:val="0"/>
              <w:keepLines w:val="0"/>
              <w:widowControl/>
              <w:suppressLineNumbers w:val="0"/>
              <w:jc w:val="center"/>
              <w:textAlignment w:val="center"/>
              <w:rPr>
                <w:rFonts w:hint="default" w:ascii="宋体" w:hAnsi="宋体" w:eastAsia="宋体" w:cs="宋体"/>
                <w:b/>
                <w:bCs w:val="0"/>
                <w:i w:val="0"/>
                <w:iCs w:val="0"/>
                <w:color w:val="000000"/>
                <w:sz w:val="16"/>
                <w:szCs w:val="16"/>
                <w:u w:val="none"/>
                <w:lang w:val="en-US"/>
              </w:rPr>
            </w:pPr>
            <w:r>
              <w:rPr>
                <w:rFonts w:hint="eastAsia" w:ascii="宋体" w:hAnsi="宋体" w:eastAsia="宋体" w:cs="宋体"/>
                <w:b/>
                <w:bCs w:val="0"/>
                <w:i w:val="0"/>
                <w:iCs w:val="0"/>
                <w:color w:val="000000"/>
                <w:kern w:val="0"/>
                <w:sz w:val="16"/>
                <w:szCs w:val="16"/>
                <w:u w:val="none"/>
                <w:lang w:val="en-US" w:eastAsia="zh-CN" w:bidi="ar"/>
              </w:rPr>
              <w:t>区域</w:t>
            </w: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LED投光灯（尚为、海洋王）50w</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default" w:ascii="宋体" w:hAnsi="宋体" w:eastAsia="宋体" w:cs="宋体"/>
                <w:b/>
                <w:bCs w:val="0"/>
                <w:i w:val="0"/>
                <w:iCs w:val="0"/>
                <w:color w:val="000000"/>
                <w:sz w:val="16"/>
                <w:szCs w:val="16"/>
                <w:u w:val="none"/>
                <w:lang w:val="en-US"/>
              </w:rPr>
            </w:pPr>
            <w:r>
              <w:rPr>
                <w:rFonts w:hint="eastAsia" w:ascii="宋体" w:hAnsi="宋体" w:eastAsia="宋体" w:cs="宋体"/>
                <w:b/>
                <w:bCs w:val="0"/>
                <w:i w:val="0"/>
                <w:iCs w:val="0"/>
                <w:color w:val="000000"/>
                <w:kern w:val="0"/>
                <w:sz w:val="16"/>
                <w:szCs w:val="16"/>
                <w:u w:val="none"/>
                <w:lang w:val="en-US" w:eastAsia="zh-CN" w:bidi="ar"/>
              </w:rPr>
              <w:t>69</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控制方式：人工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sz w:val="16"/>
                <w:szCs w:val="16"/>
                <w:u w:val="none"/>
                <w:lang w:val="en-US"/>
              </w:rPr>
            </w:pPr>
            <w:r>
              <w:rPr>
                <w:rFonts w:hint="eastAsia" w:ascii="宋体" w:hAnsi="宋体" w:eastAsia="宋体" w:cs="宋体"/>
                <w:b/>
                <w:bCs w:val="0"/>
                <w:i w:val="0"/>
                <w:iCs w:val="0"/>
                <w:color w:val="000000"/>
                <w:kern w:val="0"/>
                <w:sz w:val="16"/>
                <w:szCs w:val="16"/>
                <w:u w:val="none"/>
                <w:lang w:val="en-US" w:eastAsia="zh-CN" w:bidi="ar"/>
              </w:rPr>
              <w:t>镀锌管（壁厚不下于5毫米）</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default" w:ascii="宋体" w:hAnsi="宋体" w:eastAsia="宋体" w:cs="宋体"/>
                <w:b/>
                <w:bCs w:val="0"/>
                <w:i w:val="0"/>
                <w:iCs w:val="0"/>
                <w:color w:val="000000"/>
                <w:sz w:val="16"/>
                <w:szCs w:val="16"/>
                <w:u w:val="none"/>
                <w:lang w:val="en-US"/>
              </w:rPr>
            </w:pPr>
            <w:r>
              <w:rPr>
                <w:rFonts w:hint="eastAsia" w:ascii="宋体" w:hAnsi="宋体" w:eastAsia="宋体" w:cs="宋体"/>
                <w:b/>
                <w:bCs w:val="0"/>
                <w:i w:val="0"/>
                <w:iCs w:val="0"/>
                <w:color w:val="000000"/>
                <w:kern w:val="0"/>
                <w:sz w:val="16"/>
                <w:szCs w:val="16"/>
                <w:u w:val="none"/>
                <w:lang w:val="en-US" w:eastAsia="zh-CN" w:bidi="ar"/>
              </w:rPr>
              <w:t>600米</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照明开关箱</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2</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电缆YJV2*2.5</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default"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600米</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both"/>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both"/>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both"/>
              <w:textAlignment w:val="center"/>
              <w:rPr>
                <w:rFonts w:hint="eastAsia" w:ascii="宋体" w:hAnsi="宋体" w:eastAsia="宋体" w:cs="宋体"/>
                <w:b/>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施工费用</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其他费用</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5991" w:type="dxa"/>
            <w:gridSpan w:val="3"/>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合计</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71" w:type="dxa"/>
            <w:vMerge w:val="restart"/>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煤磨</w:t>
            </w:r>
          </w:p>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区域</w:t>
            </w: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LED防爆投光灯</w:t>
            </w:r>
          </w:p>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（尚为、海洋王）50w</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38</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控制方式：人工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镀锌管（壁厚不下于5毫米）</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default" w:ascii="宋体" w:hAnsi="宋体" w:eastAsia="宋体" w:cs="宋体"/>
                <w:b/>
                <w:bCs w:val="0"/>
                <w:i w:val="0"/>
                <w:iCs w:val="0"/>
                <w:color w:val="000000"/>
                <w:sz w:val="16"/>
                <w:szCs w:val="16"/>
                <w:u w:val="none"/>
                <w:lang w:val="en-US"/>
              </w:rPr>
            </w:pPr>
            <w:r>
              <w:rPr>
                <w:rFonts w:hint="eastAsia" w:ascii="宋体" w:hAnsi="宋体" w:eastAsia="宋体" w:cs="宋体"/>
                <w:b/>
                <w:bCs w:val="0"/>
                <w:i w:val="0"/>
                <w:iCs w:val="0"/>
                <w:color w:val="000000"/>
                <w:kern w:val="0"/>
                <w:sz w:val="16"/>
                <w:szCs w:val="16"/>
                <w:u w:val="none"/>
                <w:lang w:val="en-US" w:eastAsia="zh-CN" w:bidi="ar"/>
              </w:rPr>
              <w:t>350米</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防爆照明开关箱</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3</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sz w:val="16"/>
                <w:szCs w:val="16"/>
                <w:u w:val="none"/>
                <w:lang w:val="en-US" w:eastAsia="zh-CN"/>
              </w:rPr>
              <w:t>电缆YJV2*2.5</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default"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350米</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sz w:val="16"/>
                <w:szCs w:val="16"/>
                <w:u w:val="none"/>
                <w:lang w:val="en-US"/>
              </w:rPr>
            </w:pPr>
            <w:r>
              <w:rPr>
                <w:rFonts w:hint="eastAsia" w:ascii="宋体" w:hAnsi="宋体" w:eastAsia="宋体" w:cs="宋体"/>
                <w:b/>
                <w:bCs w:val="0"/>
                <w:i w:val="0"/>
                <w:iCs w:val="0"/>
                <w:color w:val="000000"/>
                <w:kern w:val="0"/>
                <w:sz w:val="16"/>
                <w:szCs w:val="16"/>
                <w:u w:val="none"/>
                <w:lang w:val="en-US" w:eastAsia="zh-CN" w:bidi="ar"/>
              </w:rPr>
              <w:t>施工费用</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vMerge w:val="continue"/>
            <w:tcBorders>
              <w:top w:val="single" w:color="auto" w:sz="4" w:space="0"/>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16"/>
                <w:szCs w:val="16"/>
                <w:u w:val="none"/>
              </w:rPr>
            </w:pPr>
            <w:r>
              <w:rPr>
                <w:rFonts w:hint="eastAsia" w:ascii="宋体" w:hAnsi="宋体" w:eastAsia="宋体" w:cs="宋体"/>
                <w:b/>
                <w:bCs w:val="0"/>
                <w:i w:val="0"/>
                <w:iCs w:val="0"/>
                <w:color w:val="000000"/>
                <w:kern w:val="0"/>
                <w:sz w:val="16"/>
                <w:szCs w:val="16"/>
                <w:u w:val="none"/>
                <w:lang w:val="en-US" w:eastAsia="zh-CN" w:bidi="ar"/>
              </w:rPr>
              <w:t>其他（必须选用防爆材料）</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71" w:type="dxa"/>
            <w:vMerge w:val="restart"/>
            <w:tcBorders>
              <w:top w:val="single" w:color="auto" w:sz="4" w:space="0"/>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发运</w:t>
            </w: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LED防爆泛光灯</w:t>
            </w:r>
          </w:p>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（尚为、海洋王）50w</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default"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26</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left"/>
              <w:textAlignment w:val="center"/>
              <w:rPr>
                <w:rFonts w:hint="default"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控制方式：光控+人工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71" w:type="dxa"/>
            <w:vMerge w:val="continue"/>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LED防爆投光灯</w:t>
            </w:r>
          </w:p>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（尚为、海洋王）200w</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2</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left"/>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控制方式：光控+人工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71" w:type="dxa"/>
            <w:vMerge w:val="continue"/>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LED投光灯</w:t>
            </w:r>
          </w:p>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（尚为、海洋王）200w</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2</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left"/>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控制方式：光控+人工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71" w:type="dxa"/>
            <w:vMerge w:val="continue"/>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LED泛光灯</w:t>
            </w:r>
          </w:p>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（尚为、海洋王）50w</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6</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both"/>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控制方式：人工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771" w:type="dxa"/>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16"/>
                <w:szCs w:val="16"/>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16"/>
                <w:szCs w:val="16"/>
                <w:u w:val="none"/>
                <w:lang w:val="en-US" w:eastAsia="zh-CN" w:bidi="ar"/>
              </w:rPr>
            </w:pPr>
            <w:r>
              <w:rPr>
                <w:rFonts w:hint="eastAsia" w:ascii="宋体" w:hAnsi="宋体" w:eastAsia="宋体" w:cs="宋体"/>
                <w:b/>
                <w:bCs w:val="0"/>
                <w:i w:val="0"/>
                <w:iCs w:val="0"/>
                <w:color w:val="000000"/>
                <w:kern w:val="0"/>
                <w:sz w:val="16"/>
                <w:szCs w:val="16"/>
                <w:u w:val="none"/>
                <w:lang w:val="en-US" w:eastAsia="zh-CN" w:bidi="ar"/>
              </w:rPr>
              <w:t>镀锌管（壁厚不下于5毫米）</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default" w:ascii="宋体" w:hAnsi="宋体" w:eastAsia="宋体" w:cs="宋体"/>
                <w:b/>
                <w:bCs w:val="0"/>
                <w:i w:val="0"/>
                <w:iCs w:val="0"/>
                <w:color w:val="000000"/>
                <w:sz w:val="16"/>
                <w:szCs w:val="16"/>
                <w:u w:val="none"/>
                <w:lang w:val="en-US" w:eastAsia="zh-CN"/>
              </w:rPr>
            </w:pPr>
            <w:r>
              <w:rPr>
                <w:rFonts w:hint="eastAsia" w:ascii="宋体" w:hAnsi="宋体" w:eastAsia="宋体" w:cs="宋体"/>
                <w:b/>
                <w:bCs w:val="0"/>
                <w:i w:val="0"/>
                <w:iCs w:val="0"/>
                <w:color w:val="000000"/>
                <w:sz w:val="16"/>
                <w:szCs w:val="16"/>
                <w:u w:val="none"/>
                <w:lang w:val="en-US" w:eastAsia="zh-CN"/>
              </w:rPr>
              <w:t>640米</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16"/>
                <w:szCs w:val="16"/>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71" w:type="dxa"/>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20"/>
                <w:szCs w:val="20"/>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kern w:val="0"/>
                <w:sz w:val="20"/>
                <w:szCs w:val="20"/>
                <w:u w:val="none"/>
                <w:lang w:val="en-US" w:eastAsia="zh-CN" w:bidi="ar"/>
              </w:rPr>
            </w:pPr>
            <w:r>
              <w:rPr>
                <w:rFonts w:hint="eastAsia" w:ascii="宋体" w:hAnsi="宋体" w:eastAsia="宋体" w:cs="宋体"/>
                <w:b/>
                <w:bCs w:val="0"/>
                <w:i w:val="0"/>
                <w:iCs w:val="0"/>
                <w:color w:val="000000"/>
                <w:kern w:val="0"/>
                <w:sz w:val="20"/>
                <w:szCs w:val="20"/>
                <w:u w:val="none"/>
                <w:lang w:val="en-US" w:eastAsia="zh-CN" w:bidi="ar"/>
              </w:rPr>
              <w:t>防爆控制箱</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default" w:ascii="宋体" w:hAnsi="宋体" w:eastAsia="宋体" w:cs="宋体"/>
                <w:b/>
                <w:bCs w:val="0"/>
                <w:i w:val="0"/>
                <w:iCs w:val="0"/>
                <w:color w:val="000000"/>
                <w:sz w:val="20"/>
                <w:szCs w:val="20"/>
                <w:u w:val="none"/>
                <w:lang w:val="en-US" w:eastAsia="zh-CN"/>
              </w:rPr>
            </w:pPr>
            <w:r>
              <w:rPr>
                <w:rFonts w:hint="eastAsia" w:ascii="宋体" w:hAnsi="宋体" w:eastAsia="宋体" w:cs="宋体"/>
                <w:b/>
                <w:bCs w:val="0"/>
                <w:i w:val="0"/>
                <w:iCs w:val="0"/>
                <w:color w:val="000000"/>
                <w:sz w:val="20"/>
                <w:szCs w:val="20"/>
                <w:u w:val="none"/>
                <w:lang w:val="en-US" w:eastAsia="zh-CN"/>
              </w:rPr>
              <w:t>2</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20"/>
                <w:szCs w:val="20"/>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71" w:type="dxa"/>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20"/>
                <w:szCs w:val="20"/>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kern w:val="0"/>
                <w:sz w:val="20"/>
                <w:szCs w:val="20"/>
                <w:u w:val="none"/>
                <w:lang w:val="en-US" w:eastAsia="zh-CN" w:bidi="ar"/>
              </w:rPr>
            </w:pPr>
            <w:r>
              <w:rPr>
                <w:rFonts w:hint="eastAsia" w:ascii="宋体" w:hAnsi="宋体" w:eastAsia="宋体" w:cs="宋体"/>
                <w:b/>
                <w:bCs w:val="0"/>
                <w:i w:val="0"/>
                <w:iCs w:val="0"/>
                <w:color w:val="000000"/>
                <w:sz w:val="16"/>
                <w:szCs w:val="16"/>
                <w:u w:val="none"/>
                <w:lang w:val="en-US" w:eastAsia="zh-CN"/>
              </w:rPr>
              <w:t>电缆YJV2*2.5</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default" w:ascii="宋体" w:hAnsi="宋体" w:eastAsia="宋体" w:cs="宋体"/>
                <w:b/>
                <w:bCs w:val="0"/>
                <w:i w:val="0"/>
                <w:iCs w:val="0"/>
                <w:color w:val="000000"/>
                <w:sz w:val="20"/>
                <w:szCs w:val="20"/>
                <w:u w:val="none"/>
                <w:lang w:val="en-US" w:eastAsia="zh-CN"/>
              </w:rPr>
            </w:pPr>
            <w:r>
              <w:rPr>
                <w:rFonts w:hint="eastAsia" w:ascii="宋体" w:hAnsi="宋体" w:eastAsia="宋体" w:cs="宋体"/>
                <w:b/>
                <w:bCs w:val="0"/>
                <w:i w:val="0"/>
                <w:iCs w:val="0"/>
                <w:color w:val="000000"/>
                <w:sz w:val="20"/>
                <w:szCs w:val="20"/>
                <w:u w:val="none"/>
                <w:lang w:val="en-US" w:eastAsia="zh-CN"/>
              </w:rPr>
              <w:t>650米</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20"/>
                <w:szCs w:val="20"/>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71" w:type="dxa"/>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20"/>
                <w:szCs w:val="20"/>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kern w:val="0"/>
                <w:sz w:val="20"/>
                <w:szCs w:val="20"/>
                <w:u w:val="none"/>
                <w:lang w:val="en-US" w:eastAsia="zh-CN" w:bidi="ar"/>
              </w:rPr>
            </w:pPr>
            <w:r>
              <w:rPr>
                <w:rFonts w:hint="eastAsia" w:ascii="宋体" w:hAnsi="宋体" w:eastAsia="宋体" w:cs="宋体"/>
                <w:b/>
                <w:bCs w:val="0"/>
                <w:i w:val="0"/>
                <w:iCs w:val="0"/>
                <w:color w:val="000000"/>
                <w:kern w:val="0"/>
                <w:sz w:val="20"/>
                <w:szCs w:val="20"/>
                <w:u w:val="none"/>
                <w:lang w:val="en-US" w:eastAsia="zh-CN" w:bidi="ar"/>
              </w:rPr>
              <w:t>普通控制箱</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default" w:ascii="宋体" w:hAnsi="宋体" w:eastAsia="宋体" w:cs="宋体"/>
                <w:b/>
                <w:bCs w:val="0"/>
                <w:i w:val="0"/>
                <w:iCs w:val="0"/>
                <w:color w:val="000000"/>
                <w:sz w:val="20"/>
                <w:szCs w:val="20"/>
                <w:u w:val="none"/>
                <w:lang w:val="en-US" w:eastAsia="zh-CN"/>
              </w:rPr>
            </w:pPr>
            <w:r>
              <w:rPr>
                <w:rFonts w:hint="eastAsia" w:ascii="宋体" w:hAnsi="宋体" w:eastAsia="宋体" w:cs="宋体"/>
                <w:b/>
                <w:bCs w:val="0"/>
                <w:i w:val="0"/>
                <w:iCs w:val="0"/>
                <w:color w:val="000000"/>
                <w:sz w:val="20"/>
                <w:szCs w:val="20"/>
                <w:u w:val="none"/>
                <w:lang w:val="en-US" w:eastAsia="zh-CN"/>
              </w:rPr>
              <w:t>1</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20"/>
                <w:szCs w:val="20"/>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771" w:type="dxa"/>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20"/>
                <w:szCs w:val="20"/>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kern w:val="0"/>
                <w:sz w:val="20"/>
                <w:szCs w:val="20"/>
                <w:u w:val="none"/>
                <w:lang w:val="en-US" w:eastAsia="zh-CN" w:bidi="ar"/>
              </w:rPr>
            </w:pPr>
            <w:r>
              <w:rPr>
                <w:rFonts w:hint="eastAsia" w:ascii="宋体" w:hAnsi="宋体" w:eastAsia="宋体" w:cs="宋体"/>
                <w:b/>
                <w:bCs w:val="0"/>
                <w:i w:val="0"/>
                <w:iCs w:val="0"/>
                <w:color w:val="000000"/>
                <w:kern w:val="0"/>
                <w:sz w:val="20"/>
                <w:szCs w:val="20"/>
                <w:u w:val="none"/>
                <w:lang w:val="en-US" w:eastAsia="zh-CN" w:bidi="ar"/>
              </w:rPr>
              <w:t>施工费用</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20"/>
                <w:szCs w:val="20"/>
                <w:u w:val="none"/>
                <w:lang w:val="en-US"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20"/>
                <w:szCs w:val="20"/>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771" w:type="dxa"/>
            <w:tcBorders>
              <w:left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20"/>
                <w:szCs w:val="20"/>
                <w:u w:val="none"/>
              </w:rPr>
            </w:pPr>
          </w:p>
        </w:tc>
        <w:tc>
          <w:tcPr>
            <w:tcW w:w="3457"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default" w:ascii="宋体" w:hAnsi="宋体" w:eastAsia="宋体" w:cs="宋体"/>
                <w:b/>
                <w:bCs w:val="0"/>
                <w:i w:val="0"/>
                <w:iCs w:val="0"/>
                <w:color w:val="000000"/>
                <w:kern w:val="0"/>
                <w:sz w:val="20"/>
                <w:szCs w:val="20"/>
                <w:u w:val="none"/>
                <w:lang w:val="en-US" w:eastAsia="zh-CN" w:bidi="ar"/>
              </w:rPr>
            </w:pPr>
            <w:r>
              <w:rPr>
                <w:rFonts w:hint="eastAsia" w:ascii="宋体" w:hAnsi="宋体" w:eastAsia="宋体" w:cs="宋体"/>
                <w:b/>
                <w:bCs w:val="0"/>
                <w:i w:val="0"/>
                <w:iCs w:val="0"/>
                <w:color w:val="000000"/>
                <w:kern w:val="0"/>
                <w:sz w:val="20"/>
                <w:szCs w:val="20"/>
                <w:u w:val="none"/>
                <w:lang w:val="en-US" w:eastAsia="zh-CN" w:bidi="ar"/>
              </w:rPr>
              <w:t>其他费用</w:t>
            </w:r>
          </w:p>
        </w:tc>
        <w:tc>
          <w:tcPr>
            <w:tcW w:w="1076" w:type="dxa"/>
            <w:tcBorders>
              <w:top w:val="single" w:color="auto" w:sz="4" w:space="0"/>
              <w:left w:val="single" w:color="auto" w:sz="4" w:space="0"/>
              <w:bottom w:val="single" w:color="auto" w:sz="4" w:space="0"/>
              <w:right w:val="single" w:color="auto" w:sz="4" w:space="0"/>
            </w:tcBorders>
            <w:shd w:val="clear" w:color="auto" w:fill="FEFEFE"/>
            <w:noWrap/>
            <w:vAlign w:val="center"/>
          </w:tcPr>
          <w:p>
            <w:pPr>
              <w:jc w:val="right"/>
              <w:rPr>
                <w:rFonts w:hint="eastAsia" w:ascii="宋体" w:hAnsi="宋体" w:eastAsia="宋体" w:cs="宋体"/>
                <w:b/>
                <w:bCs w:val="0"/>
                <w:i w:val="0"/>
                <w:iCs w:val="0"/>
                <w:color w:val="000000"/>
                <w:sz w:val="20"/>
                <w:szCs w:val="20"/>
                <w:u w:val="none"/>
                <w:lang w:val="en-US" w:eastAsia="zh-CN"/>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sz w:val="20"/>
                <w:szCs w:val="20"/>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771" w:type="dxa"/>
            <w:tcBorders>
              <w:left w:val="single" w:color="auto" w:sz="4" w:space="0"/>
              <w:bottom w:val="single" w:color="auto" w:sz="4" w:space="0"/>
              <w:right w:val="single" w:color="auto" w:sz="4" w:space="0"/>
            </w:tcBorders>
            <w:shd w:val="clear" w:color="auto" w:fill="FEFEFE"/>
            <w:noWrap/>
            <w:vAlign w:val="center"/>
          </w:tcPr>
          <w:p>
            <w:pPr>
              <w:jc w:val="center"/>
              <w:rPr>
                <w:rFonts w:hint="eastAsia" w:ascii="宋体" w:hAnsi="宋体" w:eastAsia="宋体" w:cs="宋体"/>
                <w:b/>
                <w:bCs w:val="0"/>
                <w:i w:val="0"/>
                <w:iCs w:val="0"/>
                <w:color w:val="000000"/>
                <w:sz w:val="20"/>
                <w:szCs w:val="20"/>
                <w:u w:val="none"/>
              </w:rPr>
            </w:pPr>
          </w:p>
        </w:tc>
        <w:tc>
          <w:tcPr>
            <w:tcW w:w="5991" w:type="dxa"/>
            <w:gridSpan w:val="3"/>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center"/>
              <w:textAlignment w:val="center"/>
              <w:rPr>
                <w:rFonts w:hint="eastAsia" w:ascii="宋体" w:hAnsi="宋体" w:eastAsia="宋体" w:cs="宋体"/>
                <w:b/>
                <w:bCs w:val="0"/>
                <w:i w:val="0"/>
                <w:iCs w:val="0"/>
                <w:color w:val="000000"/>
                <w:sz w:val="20"/>
                <w:szCs w:val="20"/>
                <w:u w:val="none"/>
                <w:lang w:val="en-US" w:eastAsia="zh-CN"/>
              </w:rPr>
            </w:pPr>
            <w:r>
              <w:rPr>
                <w:rFonts w:hint="eastAsia" w:ascii="宋体" w:hAnsi="宋体" w:eastAsia="宋体" w:cs="宋体"/>
                <w:b/>
                <w:bCs w:val="0"/>
                <w:i w:val="0"/>
                <w:iCs w:val="0"/>
                <w:color w:val="000000"/>
                <w:sz w:val="20"/>
                <w:szCs w:val="20"/>
                <w:u w:val="none"/>
                <w:lang w:val="en-US" w:eastAsia="zh-CN"/>
              </w:rPr>
              <w:t>合计</w:t>
            </w: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c>
          <w:tcPr>
            <w:tcW w:w="1458" w:type="dxa"/>
            <w:tcBorders>
              <w:top w:val="single" w:color="auto" w:sz="4" w:space="0"/>
              <w:left w:val="single" w:color="auto" w:sz="4" w:space="0"/>
              <w:bottom w:val="single" w:color="auto" w:sz="4" w:space="0"/>
              <w:right w:val="single" w:color="auto" w:sz="4" w:space="0"/>
            </w:tcBorders>
            <w:shd w:val="clear" w:color="auto" w:fill="FEFEFE"/>
            <w:noWrap/>
            <w:vAlign w:val="center"/>
          </w:tcPr>
          <w:p>
            <w:pPr>
              <w:keepNext w:val="0"/>
              <w:keepLines w:val="0"/>
              <w:widowControl/>
              <w:suppressLineNumbers w:val="0"/>
              <w:jc w:val="right"/>
              <w:textAlignment w:val="center"/>
              <w:rPr>
                <w:rFonts w:hint="eastAsia" w:ascii="宋体" w:hAnsi="宋体" w:eastAsia="宋体" w:cs="宋体"/>
                <w:b/>
                <w:bCs w:val="0"/>
                <w:i w:val="0"/>
                <w:iCs w:val="0"/>
                <w:color w:val="000000"/>
                <w:kern w:val="0"/>
                <w:sz w:val="20"/>
                <w:szCs w:val="20"/>
                <w:u w:val="none"/>
                <w:lang w:val="en-US" w:eastAsia="zh-CN" w:bidi="ar"/>
              </w:rPr>
            </w:pPr>
          </w:p>
        </w:tc>
      </w:tr>
    </w:tbl>
    <w:p>
      <w:pPr>
        <w:pStyle w:val="4"/>
        <w:ind w:firstLine="0"/>
        <w:rPr>
          <w:rFonts w:hint="eastAsia" w:ascii="仿宋" w:hAnsi="仿宋" w:eastAsia="仿宋" w:cs="仿宋"/>
          <w:sz w:val="28"/>
          <w:szCs w:val="28"/>
          <w:lang w:val="en-US" w:eastAsia="zh-CN" w:bidi="ar-SA"/>
        </w:rPr>
      </w:pPr>
      <w:r>
        <w:rPr>
          <w:rFonts w:hint="eastAsia" w:ascii="Arial" w:hAnsi="Arial" w:eastAsia="微软雅黑" w:cstheme="minorBidi"/>
          <w:b/>
          <w:bCs w:val="0"/>
          <w:sz w:val="22"/>
          <w:szCs w:val="22"/>
          <w:lang w:val="en-US" w:eastAsia="zh-CN" w:bidi="ar-SA"/>
        </w:rPr>
        <w:t>注：灯具及电缆必须按我公司要求的品牌及型号进行报价，如有不符则视为投标无效</w:t>
      </w:r>
    </w:p>
    <w:p>
      <w:pPr>
        <w:pStyle w:val="4"/>
        <w:ind w:firstLine="0"/>
        <w:rPr>
          <w:rFonts w:hint="default" w:ascii="仿宋" w:hAnsi="仿宋" w:eastAsia="仿宋" w:cs="仿宋"/>
          <w:sz w:val="28"/>
          <w:szCs w:val="28"/>
          <w:lang w:val="en-US" w:eastAsia="zh-CN" w:bidi="ar-SA"/>
        </w:rPr>
        <w:sectPr>
          <w:pgSz w:w="11906" w:h="16838"/>
          <w:pgMar w:top="1440" w:right="1803" w:bottom="1440" w:left="1803" w:header="708" w:footer="708" w:gutter="0"/>
          <w:cols w:space="708" w:num="1"/>
          <w:docGrid w:linePitch="360" w:charSpace="0"/>
        </w:sectPr>
      </w:pPr>
    </w:p>
    <w:tbl>
      <w:tblPr>
        <w:tblStyle w:val="15"/>
        <w:tblW w:w="15202" w:type="dxa"/>
        <w:tblInd w:w="108" w:type="dxa"/>
        <w:tblLayout w:type="autofit"/>
        <w:tblCellMar>
          <w:top w:w="0" w:type="dxa"/>
          <w:left w:w="108" w:type="dxa"/>
          <w:bottom w:w="0" w:type="dxa"/>
          <w:right w:w="108" w:type="dxa"/>
        </w:tblCellMar>
      </w:tblPr>
      <w:tblGrid>
        <w:gridCol w:w="15202"/>
      </w:tblGrid>
      <w:tr>
        <w:tblPrEx>
          <w:tblCellMar>
            <w:top w:w="0" w:type="dxa"/>
            <w:left w:w="108" w:type="dxa"/>
            <w:bottom w:w="0" w:type="dxa"/>
            <w:right w:w="108" w:type="dxa"/>
          </w:tblCellMar>
        </w:tblPrEx>
        <w:trPr>
          <w:trHeight w:val="675" w:hRule="atLeast"/>
        </w:trPr>
        <w:tc>
          <w:tcPr>
            <w:tcW w:w="15187" w:type="dxa"/>
            <w:tcBorders>
              <w:top w:val="nil"/>
              <w:left w:val="nil"/>
              <w:bottom w:val="nil"/>
              <w:right w:val="nil"/>
            </w:tcBorders>
            <w:noWrap/>
            <w:vAlign w:val="bottom"/>
          </w:tcPr>
          <w:p>
            <w:pPr>
              <w:spacing w:line="460" w:lineRule="exact"/>
              <w:rPr>
                <w:rFonts w:ascii="仿宋" w:hAnsi="仿宋" w:eastAsia="仿宋" w:cs="仿宋"/>
                <w:sz w:val="28"/>
                <w:szCs w:val="28"/>
              </w:rPr>
            </w:pPr>
            <w:r>
              <w:rPr>
                <w:rFonts w:hint="eastAsia" w:ascii="仿宋" w:hAnsi="仿宋" w:eastAsia="仿宋" w:cs="仿宋"/>
                <w:sz w:val="28"/>
                <w:szCs w:val="28"/>
              </w:rPr>
              <w:t>附件1：</w:t>
            </w:r>
          </w:p>
          <w:p>
            <w:pPr>
              <w:spacing w:line="460" w:lineRule="exact"/>
              <w:jc w:val="center"/>
              <w:rPr>
                <w:rFonts w:ascii="仿宋" w:hAnsi="仿宋" w:eastAsia="仿宋" w:cs="仿宋"/>
                <w:sz w:val="28"/>
                <w:szCs w:val="28"/>
              </w:rPr>
            </w:pPr>
            <w:r>
              <w:rPr>
                <w:rFonts w:hint="eastAsia" w:ascii="仿宋" w:hAnsi="仿宋" w:eastAsia="仿宋" w:cs="仿宋"/>
                <w:sz w:val="28"/>
                <w:szCs w:val="28"/>
                <w:lang w:val="en-US" w:eastAsia="zh-CN"/>
              </w:rPr>
              <w:t>皮带通廊照明安装</w:t>
            </w:r>
            <w:r>
              <w:rPr>
                <w:rFonts w:hint="eastAsia" w:ascii="仿宋" w:hAnsi="仿宋" w:eastAsia="仿宋" w:cs="仿宋"/>
                <w:sz w:val="28"/>
                <w:szCs w:val="28"/>
              </w:rPr>
              <w:t>施工报价表</w:t>
            </w:r>
          </w:p>
        </w:tc>
      </w:tr>
      <w:tr>
        <w:tblPrEx>
          <w:tblCellMar>
            <w:top w:w="0" w:type="dxa"/>
            <w:left w:w="108" w:type="dxa"/>
            <w:bottom w:w="0" w:type="dxa"/>
            <w:right w:w="108" w:type="dxa"/>
          </w:tblCellMar>
        </w:tblPrEx>
        <w:trPr>
          <w:trHeight w:val="419" w:hRule="atLeast"/>
        </w:trPr>
        <w:tc>
          <w:tcPr>
            <w:tcW w:w="15187" w:type="dxa"/>
            <w:tcBorders>
              <w:top w:val="nil"/>
              <w:left w:val="nil"/>
              <w:bottom w:val="nil"/>
              <w:right w:val="nil"/>
            </w:tcBorders>
            <w:noWrap/>
            <w:vAlign w:val="bottom"/>
          </w:tcPr>
          <w:p>
            <w:pPr>
              <w:spacing w:line="460" w:lineRule="exact"/>
              <w:rPr>
                <w:rFonts w:ascii="仿宋" w:hAnsi="仿宋" w:eastAsia="仿宋" w:cs="仿宋"/>
                <w:sz w:val="28"/>
                <w:szCs w:val="28"/>
              </w:rPr>
            </w:pPr>
            <w:r>
              <w:rPr>
                <w:rFonts w:hint="eastAsia" w:ascii="仿宋" w:hAnsi="仿宋" w:eastAsia="仿宋" w:cs="仿宋"/>
                <w:sz w:val="28"/>
                <w:szCs w:val="28"/>
              </w:rPr>
              <w:t>投标单位名称（公章）：</w:t>
            </w:r>
          </w:p>
        </w:tc>
      </w:tr>
      <w:tr>
        <w:tblPrEx>
          <w:tblCellMar>
            <w:top w:w="0" w:type="dxa"/>
            <w:left w:w="108" w:type="dxa"/>
            <w:bottom w:w="0" w:type="dxa"/>
            <w:right w:w="108" w:type="dxa"/>
          </w:tblCellMar>
        </w:tblPrEx>
        <w:trPr>
          <w:trHeight w:val="4245" w:hRule="atLeast"/>
        </w:trPr>
        <w:tc>
          <w:tcPr>
            <w:tcW w:w="15187" w:type="dxa"/>
            <w:tcBorders>
              <w:top w:val="nil"/>
              <w:left w:val="nil"/>
              <w:bottom w:val="nil"/>
              <w:right w:val="nil"/>
            </w:tcBorders>
            <w:noWrap/>
            <w:vAlign w:val="bottom"/>
          </w:tcPr>
          <w:tbl>
            <w:tblPr>
              <w:tblStyle w:val="15"/>
              <w:tblW w:w="14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4020"/>
              <w:gridCol w:w="2325"/>
              <w:gridCol w:w="1665"/>
              <w:gridCol w:w="1995"/>
              <w:gridCol w:w="2280"/>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jc w:val="center"/>
              </w:trPr>
              <w:tc>
                <w:tcPr>
                  <w:tcW w:w="1699"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序号</w:t>
                  </w:r>
                </w:p>
              </w:tc>
              <w:tc>
                <w:tcPr>
                  <w:tcW w:w="4020"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设备名称</w:t>
                  </w:r>
                </w:p>
              </w:tc>
              <w:tc>
                <w:tcPr>
                  <w:tcW w:w="2325"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分析参数及量程</w:t>
                  </w:r>
                </w:p>
              </w:tc>
              <w:tc>
                <w:tcPr>
                  <w:tcW w:w="1665"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数量(套)</w:t>
                  </w:r>
                </w:p>
              </w:tc>
              <w:tc>
                <w:tcPr>
                  <w:tcW w:w="1995"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单价（元，税率13%）</w:t>
                  </w:r>
                </w:p>
              </w:tc>
              <w:tc>
                <w:tcPr>
                  <w:tcW w:w="2280"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总价（元，税率13%）</w:t>
                  </w:r>
                </w:p>
              </w:tc>
              <w:tc>
                <w:tcPr>
                  <w:tcW w:w="977"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699"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1</w:t>
                  </w:r>
                </w:p>
              </w:tc>
              <w:tc>
                <w:tcPr>
                  <w:tcW w:w="4020" w:type="dxa"/>
                  <w:vAlign w:val="center"/>
                </w:tcPr>
                <w:p>
                  <w:pPr>
                    <w:spacing w:line="460" w:lineRule="exact"/>
                    <w:rPr>
                      <w:rFonts w:ascii="仿宋" w:hAnsi="仿宋" w:eastAsia="仿宋" w:cs="仿宋"/>
                      <w:sz w:val="28"/>
                      <w:szCs w:val="28"/>
                    </w:rPr>
                  </w:pPr>
                </w:p>
              </w:tc>
              <w:tc>
                <w:tcPr>
                  <w:tcW w:w="2325" w:type="dxa"/>
                  <w:vAlign w:val="center"/>
                </w:tcPr>
                <w:p>
                  <w:pPr>
                    <w:spacing w:line="460" w:lineRule="exact"/>
                    <w:rPr>
                      <w:rFonts w:ascii="仿宋" w:hAnsi="仿宋" w:eastAsia="仿宋" w:cs="仿宋"/>
                      <w:sz w:val="28"/>
                      <w:szCs w:val="28"/>
                    </w:rPr>
                  </w:pPr>
                </w:p>
              </w:tc>
              <w:tc>
                <w:tcPr>
                  <w:tcW w:w="1665"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1</w:t>
                  </w:r>
                </w:p>
              </w:tc>
              <w:tc>
                <w:tcPr>
                  <w:tcW w:w="1995" w:type="dxa"/>
                  <w:vAlign w:val="center"/>
                </w:tcPr>
                <w:p>
                  <w:pPr>
                    <w:spacing w:line="460" w:lineRule="exact"/>
                    <w:rPr>
                      <w:rFonts w:ascii="仿宋" w:hAnsi="仿宋" w:eastAsia="仿宋" w:cs="仿宋"/>
                      <w:sz w:val="28"/>
                      <w:szCs w:val="28"/>
                    </w:rPr>
                  </w:pPr>
                </w:p>
              </w:tc>
              <w:tc>
                <w:tcPr>
                  <w:tcW w:w="2280" w:type="dxa"/>
                  <w:vAlign w:val="center"/>
                </w:tcPr>
                <w:p>
                  <w:pPr>
                    <w:spacing w:line="460" w:lineRule="exact"/>
                    <w:rPr>
                      <w:rFonts w:ascii="仿宋" w:hAnsi="仿宋" w:eastAsia="仿宋" w:cs="仿宋"/>
                      <w:sz w:val="28"/>
                      <w:szCs w:val="28"/>
                    </w:rPr>
                  </w:pPr>
                </w:p>
              </w:tc>
              <w:tc>
                <w:tcPr>
                  <w:tcW w:w="977" w:type="dxa"/>
                  <w:vAlign w:val="center"/>
                </w:tcPr>
                <w:p>
                  <w:pPr>
                    <w:spacing w:line="4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9" w:type="dxa"/>
                  <w:vAlign w:val="center"/>
                </w:tcPr>
                <w:p>
                  <w:pPr>
                    <w:spacing w:line="460" w:lineRule="exact"/>
                    <w:rPr>
                      <w:rFonts w:ascii="仿宋" w:hAnsi="仿宋" w:eastAsia="仿宋" w:cs="仿宋"/>
                      <w:sz w:val="28"/>
                      <w:szCs w:val="28"/>
                    </w:rPr>
                  </w:pPr>
                  <w:r>
                    <w:rPr>
                      <w:rFonts w:hint="eastAsia" w:ascii="仿宋" w:hAnsi="仿宋" w:eastAsia="仿宋" w:cs="仿宋"/>
                      <w:sz w:val="28"/>
                      <w:szCs w:val="28"/>
                    </w:rPr>
                    <w:t>供货周期：</w:t>
                  </w:r>
                </w:p>
              </w:tc>
              <w:tc>
                <w:tcPr>
                  <w:tcW w:w="13262" w:type="dxa"/>
                  <w:gridSpan w:val="6"/>
                  <w:vAlign w:val="center"/>
                </w:tcPr>
                <w:p>
                  <w:pPr>
                    <w:spacing w:line="46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961" w:type="dxa"/>
                  <w:gridSpan w:val="7"/>
                  <w:vAlign w:val="center"/>
                </w:tcPr>
                <w:p>
                  <w:pPr>
                    <w:spacing w:line="460" w:lineRule="exact"/>
                    <w:rPr>
                      <w:rFonts w:ascii="仿宋" w:hAnsi="仿宋" w:eastAsia="仿宋" w:cs="仿宋"/>
                      <w:sz w:val="28"/>
                      <w:szCs w:val="28"/>
                    </w:rPr>
                  </w:pPr>
                  <w:r>
                    <w:rPr>
                      <w:rFonts w:hint="eastAsia" w:ascii="仿宋" w:hAnsi="仿宋" w:eastAsia="仿宋" w:cs="仿宋"/>
                      <w:sz w:val="28"/>
                      <w:szCs w:val="28"/>
                    </w:rPr>
                    <w:t>合计人民币 (含13%税，小写)：         元             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961" w:type="dxa"/>
                  <w:gridSpan w:val="7"/>
                  <w:vAlign w:val="center"/>
                </w:tcPr>
                <w:p>
                  <w:pPr>
                    <w:spacing w:line="460" w:lineRule="exact"/>
                    <w:rPr>
                      <w:rFonts w:ascii="仿宋" w:hAnsi="仿宋" w:eastAsia="仿宋" w:cs="仿宋"/>
                      <w:sz w:val="28"/>
                      <w:szCs w:val="28"/>
                    </w:rPr>
                  </w:pPr>
                </w:p>
              </w:tc>
            </w:tr>
          </w:tbl>
          <w:p>
            <w:pPr>
              <w:spacing w:line="460" w:lineRule="exact"/>
              <w:rPr>
                <w:rFonts w:ascii="仿宋" w:hAnsi="仿宋" w:eastAsia="仿宋" w:cs="仿宋"/>
                <w:sz w:val="28"/>
                <w:szCs w:val="28"/>
              </w:rPr>
            </w:pPr>
          </w:p>
        </w:tc>
      </w:tr>
      <w:tr>
        <w:tblPrEx>
          <w:tblCellMar>
            <w:top w:w="0" w:type="dxa"/>
            <w:left w:w="108" w:type="dxa"/>
            <w:bottom w:w="0" w:type="dxa"/>
            <w:right w:w="108" w:type="dxa"/>
          </w:tblCellMar>
        </w:tblPrEx>
        <w:trPr>
          <w:trHeight w:val="843" w:hRule="atLeast"/>
        </w:trPr>
        <w:tc>
          <w:tcPr>
            <w:tcW w:w="15187" w:type="dxa"/>
            <w:tcBorders>
              <w:top w:val="nil"/>
              <w:left w:val="nil"/>
              <w:bottom w:val="nil"/>
              <w:right w:val="nil"/>
            </w:tcBorders>
            <w:noWrap/>
            <w:vAlign w:val="bottom"/>
          </w:tcPr>
          <w:p>
            <w:pPr>
              <w:spacing w:line="460" w:lineRule="exact"/>
              <w:rPr>
                <w:rFonts w:ascii="仿宋" w:hAnsi="仿宋" w:eastAsia="仿宋" w:cs="仿宋"/>
                <w:sz w:val="28"/>
                <w:szCs w:val="28"/>
              </w:rPr>
            </w:pPr>
            <w:r>
              <w:rPr>
                <w:rFonts w:hint="eastAsia" w:ascii="仿宋" w:hAnsi="仿宋" w:eastAsia="仿宋" w:cs="仿宋"/>
                <w:sz w:val="28"/>
                <w:szCs w:val="28"/>
              </w:rPr>
              <w:t>联系人：                电话：</w:t>
            </w:r>
          </w:p>
          <w:p>
            <w:pPr>
              <w:spacing w:line="460" w:lineRule="exact"/>
              <w:rPr>
                <w:rFonts w:ascii="仿宋" w:hAnsi="仿宋" w:eastAsia="仿宋" w:cs="仿宋"/>
                <w:sz w:val="28"/>
                <w:szCs w:val="28"/>
              </w:rPr>
            </w:pPr>
            <w:r>
              <w:rPr>
                <w:rFonts w:hint="eastAsia" w:ascii="仿宋" w:hAnsi="仿宋" w:eastAsia="仿宋" w:cs="仿宋"/>
                <w:sz w:val="28"/>
                <w:szCs w:val="28"/>
              </w:rPr>
              <w:t>投标报价有效期：    天</w:t>
            </w:r>
          </w:p>
          <w:p>
            <w:pPr>
              <w:spacing w:line="460" w:lineRule="exact"/>
              <w:ind w:firstLine="840" w:firstLineChars="300"/>
              <w:rPr>
                <w:rFonts w:ascii="仿宋" w:hAnsi="仿宋" w:eastAsia="仿宋" w:cs="仿宋"/>
                <w:sz w:val="28"/>
                <w:szCs w:val="28"/>
              </w:rPr>
            </w:pPr>
            <w:r>
              <w:rPr>
                <w:rFonts w:hint="eastAsia" w:ascii="仿宋" w:hAnsi="仿宋" w:eastAsia="仿宋" w:cs="仿宋"/>
                <w:sz w:val="28"/>
                <w:szCs w:val="28"/>
              </w:rPr>
              <w:t>年       月         日</w:t>
            </w:r>
          </w:p>
        </w:tc>
      </w:tr>
    </w:tbl>
    <w:p>
      <w:pPr>
        <w:rPr>
          <w:rFonts w:hint="eastAsia" w:ascii="仿宋_GB2312" w:hAnsi="Times New Roman" w:eastAsia="仿宋_GB2312" w:cs="Times New Roman"/>
          <w:sz w:val="25"/>
          <w:szCs w:val="25"/>
          <w:lang w:val="en-US" w:eastAsia="zh-CN"/>
        </w:rPr>
        <w:sectPr>
          <w:pgSz w:w="16838" w:h="11906" w:orient="landscape"/>
          <w:pgMar w:top="1800" w:right="1440" w:bottom="1800" w:left="1440" w:header="851" w:footer="992" w:gutter="0"/>
          <w:cols w:space="425" w:num="1"/>
          <w:docGrid w:type="lines" w:linePitch="312" w:charSpace="0"/>
        </w:sectPr>
      </w:pPr>
    </w:p>
    <w:p>
      <w:pPr>
        <w:rPr>
          <w:rFonts w:hint="default"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附件1</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熟料分厂：22.06皮带全场166米（地坑区域79米），计划安装每20米安装两对投光灯（地坑区域单侧安装）。非地坑区域87米计划安装36个投光灯，地坑区域计划安装16个投光灯，皮带头部安装2个投光灯，尾部安装2个投光灯。地坑区域与通廊区域分别控制。</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预计共需投光灯56个，照明控制箱1个，管线与分线盒若干。</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35.02皮带通廊全长84米，计划每20米安装1对投光灯。头部安装1个投光灯，尾部安装4个投光灯。尾部区域与通廊区域分别控制。</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预计共需投光灯8个，照明控制箱1个，管线与分线盒若干。</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71.05（71.06）皮带全长85米。计划每20米安装一对防爆灯，头部71.06皮带安装3个防爆灯，皮带尾部安装2个防爆灯。</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预计共需防爆灯21个，防爆开关箱1个，管线与防爆分线盒若干。</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71.04皮带头部区域26米，计划安装防爆灯4个。头部与布梯各安装两个防爆灯</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预计共需防爆灯4个，防爆开关箱1个，管线与防爆分线盒若干。</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73.03皮带全长68米，计划每20米安装一对防爆灯，头部安装2个防爆灯，尾部原煤秤区域安装5个防爆灯。原煤大秤小秤与皮带通廊区域分开控制</w:t>
      </w:r>
    </w:p>
    <w:p>
      <w:pPr>
        <w:ind w:firstLine="500" w:firstLineChars="20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预计共需防爆灯13个，防爆开关箱1个，管线与防爆分线盒若干。</w:t>
      </w:r>
    </w:p>
    <w:p>
      <w:pPr>
        <w:pStyle w:val="18"/>
        <w:ind w:left="0" w:leftChars="0" w:firstLine="0" w:firstLineChars="0"/>
        <w:rPr>
          <w:rFonts w:hint="eastAsia" w:ascii="仿宋_GB2312" w:hAnsi="Times New Roman" w:eastAsia="仿宋_GB2312" w:cs="Times New Roman"/>
          <w:sz w:val="25"/>
          <w:szCs w:val="25"/>
          <w:lang w:val="en-US" w:eastAsia="zh-CN"/>
        </w:rPr>
      </w:pPr>
      <w:r>
        <w:rPr>
          <w:rFonts w:hint="eastAsia" w:ascii="仿宋_GB2312" w:hAnsi="Times New Roman" w:eastAsia="仿宋_GB2312" w:cs="Times New Roman"/>
          <w:sz w:val="25"/>
          <w:szCs w:val="25"/>
          <w:lang w:val="en-US" w:eastAsia="zh-CN"/>
        </w:rPr>
        <w:t>发运分厂：卸煤系统增加防爆照明（防爆控制箱2个，26个50W防爆泛光灯用于皮带通廊，2个200W防爆投光灯用于卸煤场地，铺线米数约340米）；钢板仓增加普通照明（车辆等待区2个200W投光灯，两库中间一个200W投光灯，廊洞4个50W泛光灯，地坑2个50W泛光灯，一个控制箱，铺线米数约300米）。</w:t>
      </w:r>
    </w:p>
    <w:p>
      <w:pPr>
        <w:pStyle w:val="18"/>
        <w:ind w:left="0" w:leftChars="0" w:firstLine="0" w:firstLineChars="0"/>
        <w:rPr>
          <w:rFonts w:hint="eastAsia" w:ascii="仿宋_GB2312" w:hAnsi="Times New Roman" w:eastAsia="仿宋_GB2312" w:cs="Times New Roman"/>
          <w:sz w:val="25"/>
          <w:szCs w:val="25"/>
          <w:lang w:val="en-US" w:eastAsia="zh-CN"/>
        </w:rPr>
      </w:pPr>
    </w:p>
    <w:p>
      <w:pPr>
        <w:pStyle w:val="18"/>
        <w:ind w:left="0" w:leftChars="0" w:firstLine="0" w:firstLineChars="0"/>
        <w:rPr>
          <w:rFonts w:hint="eastAsia" w:ascii="仿宋_GB2312" w:hAnsi="Times New Roman" w:eastAsia="仿宋_GB2312" w:cs="Times New Roman"/>
          <w:sz w:val="25"/>
          <w:szCs w:val="25"/>
          <w:lang w:val="en-US" w:eastAsia="zh-CN"/>
        </w:rPr>
      </w:pPr>
    </w:p>
    <w:p>
      <w:pPr>
        <w:pStyle w:val="18"/>
        <w:ind w:left="0" w:leftChars="0" w:firstLine="0" w:firstLineChars="0"/>
        <w:rPr>
          <w:rFonts w:hint="eastAsia" w:ascii="仿宋_GB2312" w:hAnsi="Times New Roman" w:eastAsia="仿宋_GB2312" w:cs="Times New Roman"/>
          <w:sz w:val="25"/>
          <w:szCs w:val="25"/>
          <w:lang w:val="en-US" w:eastAsia="zh-CN"/>
        </w:rPr>
      </w:pPr>
    </w:p>
    <w:p>
      <w:pPr>
        <w:pStyle w:val="18"/>
        <w:ind w:left="0" w:leftChars="0" w:firstLine="0" w:firstLineChars="0"/>
        <w:rPr>
          <w:rFonts w:hint="eastAsia" w:ascii="仿宋_GB2312" w:hAnsi="Times New Roman" w:eastAsia="仿宋_GB2312" w:cs="Times New Roman"/>
          <w:sz w:val="25"/>
          <w:szCs w:val="25"/>
          <w:lang w:val="en-US" w:eastAsia="zh-CN"/>
        </w:rPr>
      </w:pPr>
    </w:p>
    <w:p>
      <w:pPr>
        <w:pStyle w:val="18"/>
        <w:ind w:left="0" w:leftChars="0" w:firstLine="0" w:firstLineChars="0"/>
        <w:rPr>
          <w:rFonts w:hint="eastAsia" w:ascii="仿宋_GB2312" w:hAnsi="Times New Roman" w:eastAsia="仿宋_GB2312" w:cs="Times New Roman"/>
          <w:sz w:val="25"/>
          <w:szCs w:val="25"/>
          <w:lang w:val="en-US" w:eastAsia="zh-CN"/>
        </w:rPr>
      </w:pPr>
    </w:p>
    <w:p>
      <w:pPr>
        <w:pStyle w:val="18"/>
        <w:ind w:left="0" w:leftChars="0" w:firstLine="0" w:firstLineChars="0"/>
        <w:rPr>
          <w:rFonts w:hint="eastAsia" w:ascii="仿宋_GB2312" w:hAnsi="Times New Roman" w:eastAsia="仿宋_GB2312" w:cs="Times New Roman"/>
          <w:sz w:val="25"/>
          <w:szCs w:val="25"/>
          <w:lang w:val="en-US" w:eastAsia="zh-CN"/>
        </w:rPr>
      </w:pPr>
    </w:p>
    <w:p>
      <w:pPr>
        <w:pStyle w:val="18"/>
        <w:ind w:left="0" w:leftChars="0" w:firstLine="0" w:firstLineChars="0"/>
        <w:rPr>
          <w:rFonts w:hint="eastAsia" w:ascii="仿宋_GB2312" w:hAnsi="Times New Roman" w:eastAsia="仿宋_GB2312" w:cs="Times New Roman"/>
          <w:sz w:val="25"/>
          <w:szCs w:val="25"/>
          <w:lang w:val="en-US" w:eastAsia="zh-CN"/>
        </w:rPr>
      </w:pPr>
    </w:p>
    <w:p>
      <w:pPr>
        <w:bidi w:val="0"/>
        <w:jc w:val="center"/>
        <w:rPr>
          <w:rFonts w:hint="default"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所投灯具产品必须提供CCC证书，防爆产品必须提供防爆证书</w:t>
      </w:r>
    </w:p>
    <w:p>
      <w:pPr>
        <w:bidi w:val="0"/>
        <w:jc w:val="both"/>
        <w:rPr>
          <w:rFonts w:hint="default"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1、防水防尘灯</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1) 配用光源：LED，</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2) 防腐等级：WF2。 </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3) 防护等级：IP66。 </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4) 功率因数：≥0.95。 </w:t>
      </w:r>
    </w:p>
    <w:p>
      <w:pPr>
        <w:bidi w:val="0"/>
        <w:rPr>
          <w:rFonts w:hint="default"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5) LED 采用美国 CREE芯片，灯珠为原厂封装，光效大于等于140lm/W，光源平均寿命：≥50000h, 灯具芯片封装形式采用颗粒分离式封装工艺,单颗芯片功率≤1W.</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6) 灯具配置恒流驱动电源，电源转换效率应不低于 92%，应具有过压、短路保护、防雷、 防浪涌保护等保护功能。</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7) 活接头材质为 SS304+金属压紧转接头为不锈钢材质</w:t>
      </w:r>
    </w:p>
    <w:p>
      <w:pPr>
        <w:bidi w:val="0"/>
        <w:jc w:val="both"/>
        <w:rPr>
          <w:rFonts w:hint="default"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2、三防防爆灯</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1) 配用光源：LED，</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2) 防爆等级：ExdⅡC T6 Gb/Ex tD A21 IP66 T80℃。 </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适用于爆炸性气体环境 1 区、2 区场所，可燃性粉尘环境 21 区、22 区场所。 </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3) 防腐等级：WF2。 </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4) 防护等级：IP66。 </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5) 功率因数：≥0.95。 </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6) LED 采用美国 CREE芯片，灯珠为原厂封装，光效≥l30m/W，光源平均寿命：≥50000h, 灯具芯片封装形式采用颗粒分离式封装工艺，单颗芯片功率≤1W</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7) 灯具配置恒流驱动电源，电源转换效率应不低于 92%，应具有过压、短路保护、防雷、 防浪涌保护等保护功能。</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8) 活接头材质为 SS304+金属压紧转接头为不锈钢材质</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 xml:space="preserve">9) 防爆灯具壳体材料采用国标 ZL102 铸铝合金材料，铜含量不大于 0.3%， 表面高速抛丸处理后，进行高压静电喷塑，以提高塑粉附着力，增强产品的防腐蚀性能；灯罩 采用物理钢化玻璃罩，抗 4J 冲击能量，透光率不低于 90%，灯具照射角度 120°，采取防眩光措施处理； </w:t>
      </w:r>
    </w:p>
    <w:p>
      <w:pPr>
        <w:bidi w:val="0"/>
        <w:rPr>
          <w:rFonts w:hint="eastAsia" w:ascii="仿宋_GB2312" w:hAnsi="Times New Roman" w:eastAsia="仿宋_GB2312" w:cs="Times New Roman"/>
          <w:sz w:val="25"/>
          <w:szCs w:val="25"/>
          <w:lang w:val="en-US" w:eastAsia="zh-CN" w:bidi="ar-SA"/>
        </w:rPr>
      </w:pPr>
      <w:r>
        <w:rPr>
          <w:rFonts w:hint="eastAsia" w:ascii="仿宋_GB2312" w:hAnsi="Times New Roman" w:eastAsia="仿宋_GB2312" w:cs="Times New Roman"/>
          <w:sz w:val="25"/>
          <w:szCs w:val="25"/>
          <w:lang w:val="en-US" w:eastAsia="zh-CN" w:bidi="ar-SA"/>
        </w:rPr>
        <w:t>12) 内部电路应具有多种保护功能，采用集成度高的优质 IC 芯片</w:t>
      </w:r>
    </w:p>
    <w:p>
      <w:pPr>
        <w:pStyle w:val="18"/>
        <w:ind w:left="0" w:leftChars="0" w:firstLine="0" w:firstLineChars="0"/>
        <w:rPr>
          <w:rFonts w:hint="eastAsia" w:ascii="仿宋_GB2312" w:hAnsi="Times New Roman" w:eastAsia="仿宋_GB2312" w:cs="Times New Roman"/>
          <w:sz w:val="25"/>
          <w:szCs w:val="25"/>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395FA1"/>
    <w:multiLevelType w:val="singleLevel"/>
    <w:tmpl w:val="DB395FA1"/>
    <w:lvl w:ilvl="0" w:tentative="0">
      <w:start w:val="12"/>
      <w:numFmt w:val="chineseCounting"/>
      <w:suff w:val="nothing"/>
      <w:lvlText w:val="%1、"/>
      <w:lvlJc w:val="left"/>
      <w:rPr>
        <w:rFonts w:hint="eastAsia" w:ascii="仿宋" w:hAnsi="仿宋" w:eastAsia="仿宋" w:cs="仿宋"/>
        <w:sz w:val="32"/>
        <w:szCs w:val="32"/>
      </w:rPr>
    </w:lvl>
  </w:abstractNum>
  <w:abstractNum w:abstractNumId="1">
    <w:nsid w:val="046B1FED"/>
    <w:multiLevelType w:val="multilevel"/>
    <w:tmpl w:val="046B1FED"/>
    <w:lvl w:ilvl="0" w:tentative="0">
      <w:start w:val="1"/>
      <w:numFmt w:val="decimal"/>
      <w:pStyle w:val="2"/>
      <w:suff w:val="space"/>
      <w:lvlText w:val="%1."/>
      <w:lvlJc w:val="left"/>
      <w:pPr>
        <w:ind w:left="142" w:firstLine="0"/>
      </w:pPr>
      <w:rPr>
        <w:rFonts w:hint="eastAsia"/>
      </w:rPr>
    </w:lvl>
    <w:lvl w:ilvl="1" w:tentative="0">
      <w:start w:val="1"/>
      <w:numFmt w:val="decimal"/>
      <w:pStyle w:val="3"/>
      <w:suff w:val="space"/>
      <w:lvlText w:val="%1.%2"/>
      <w:lvlJc w:val="left"/>
      <w:pPr>
        <w:ind w:left="0" w:firstLine="0"/>
      </w:pPr>
      <w:rPr>
        <w:rFonts w:hint="eastAsia"/>
      </w:rPr>
    </w:lvl>
    <w:lvl w:ilvl="2" w:tentative="0">
      <w:start w:val="1"/>
      <w:numFmt w:val="decimal"/>
      <w:suff w:val="space"/>
      <w:lvlText w:val="%3)"/>
      <w:lvlJc w:val="left"/>
      <w:pPr>
        <w:ind w:left="0" w:firstLine="0"/>
      </w:pPr>
      <w:rPr>
        <w:rFonts w:ascii="Arial" w:hAnsi="Arial" w:eastAsia="宋体" w:cs="Arial"/>
      </w:rPr>
    </w:lvl>
    <w:lvl w:ilvl="3" w:tentative="0">
      <w:start w:val="1"/>
      <w:numFmt w:val="decimal"/>
      <w:suff w:val="space"/>
      <w:lvlText w:val="%1.%2.%3.%4"/>
      <w:lvlJc w:val="left"/>
      <w:pPr>
        <w:ind w:left="172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2">
    <w:nsid w:val="2397636C"/>
    <w:multiLevelType w:val="singleLevel"/>
    <w:tmpl w:val="2397636C"/>
    <w:lvl w:ilvl="0" w:tentative="0">
      <w:start w:val="1"/>
      <w:numFmt w:val="chineseCounting"/>
      <w:suff w:val="nothing"/>
      <w:lvlText w:val="%1、"/>
      <w:lvlJc w:val="left"/>
      <w:rPr>
        <w:rFonts w:hint="eastAsia"/>
      </w:rPr>
    </w:lvl>
  </w:abstractNum>
  <w:abstractNum w:abstractNumId="3">
    <w:nsid w:val="67E3F89F"/>
    <w:multiLevelType w:val="singleLevel"/>
    <w:tmpl w:val="67E3F89F"/>
    <w:lvl w:ilvl="0" w:tentative="0">
      <w:start w:val="3"/>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jNGY0NGRjZTJkYmZhMDljZjZmZmYxZTBiY2VkNWUifQ=="/>
  </w:docVars>
  <w:rsids>
    <w:rsidRoot w:val="00D31D50"/>
    <w:rsid w:val="00057AB7"/>
    <w:rsid w:val="0006605E"/>
    <w:rsid w:val="000856F9"/>
    <w:rsid w:val="000A1F26"/>
    <w:rsid w:val="000A2B2A"/>
    <w:rsid w:val="000E3458"/>
    <w:rsid w:val="00137AD6"/>
    <w:rsid w:val="0017209E"/>
    <w:rsid w:val="00176613"/>
    <w:rsid w:val="00192D5B"/>
    <w:rsid w:val="001A7E9F"/>
    <w:rsid w:val="001F2C21"/>
    <w:rsid w:val="00270828"/>
    <w:rsid w:val="00284A4F"/>
    <w:rsid w:val="00286131"/>
    <w:rsid w:val="002C7F58"/>
    <w:rsid w:val="003162DC"/>
    <w:rsid w:val="00323B43"/>
    <w:rsid w:val="00325CBF"/>
    <w:rsid w:val="00326B0B"/>
    <w:rsid w:val="003945AD"/>
    <w:rsid w:val="003A433F"/>
    <w:rsid w:val="003C22CA"/>
    <w:rsid w:val="003D37D8"/>
    <w:rsid w:val="003E247B"/>
    <w:rsid w:val="003E6A02"/>
    <w:rsid w:val="004016F7"/>
    <w:rsid w:val="00416F52"/>
    <w:rsid w:val="00425F37"/>
    <w:rsid w:val="00426133"/>
    <w:rsid w:val="00426614"/>
    <w:rsid w:val="004358AB"/>
    <w:rsid w:val="004579EC"/>
    <w:rsid w:val="00471A94"/>
    <w:rsid w:val="0048498F"/>
    <w:rsid w:val="004B0622"/>
    <w:rsid w:val="004F3CB1"/>
    <w:rsid w:val="004F7501"/>
    <w:rsid w:val="0053140A"/>
    <w:rsid w:val="005A159C"/>
    <w:rsid w:val="005C670F"/>
    <w:rsid w:val="005E0D64"/>
    <w:rsid w:val="005F3D88"/>
    <w:rsid w:val="005F7269"/>
    <w:rsid w:val="00630016"/>
    <w:rsid w:val="00630466"/>
    <w:rsid w:val="006743F4"/>
    <w:rsid w:val="00697039"/>
    <w:rsid w:val="006B4C82"/>
    <w:rsid w:val="006F0C9F"/>
    <w:rsid w:val="007035B4"/>
    <w:rsid w:val="0071704F"/>
    <w:rsid w:val="00750688"/>
    <w:rsid w:val="00753895"/>
    <w:rsid w:val="00764C47"/>
    <w:rsid w:val="00770B9E"/>
    <w:rsid w:val="0078165D"/>
    <w:rsid w:val="007B0BEF"/>
    <w:rsid w:val="007D044C"/>
    <w:rsid w:val="007D080B"/>
    <w:rsid w:val="007D2532"/>
    <w:rsid w:val="007D273C"/>
    <w:rsid w:val="008576B5"/>
    <w:rsid w:val="00862211"/>
    <w:rsid w:val="00862921"/>
    <w:rsid w:val="008B7726"/>
    <w:rsid w:val="008C0989"/>
    <w:rsid w:val="008C1206"/>
    <w:rsid w:val="008E40F6"/>
    <w:rsid w:val="008F2DD7"/>
    <w:rsid w:val="0092410C"/>
    <w:rsid w:val="00941BB3"/>
    <w:rsid w:val="00941CF0"/>
    <w:rsid w:val="009677B4"/>
    <w:rsid w:val="009A29C9"/>
    <w:rsid w:val="009A7D01"/>
    <w:rsid w:val="009E0155"/>
    <w:rsid w:val="009E580F"/>
    <w:rsid w:val="009F6D34"/>
    <w:rsid w:val="00AB3E8A"/>
    <w:rsid w:val="00AB447B"/>
    <w:rsid w:val="00AC7B2A"/>
    <w:rsid w:val="00B04EF0"/>
    <w:rsid w:val="00B3546D"/>
    <w:rsid w:val="00B50A2C"/>
    <w:rsid w:val="00B56870"/>
    <w:rsid w:val="00B83DAD"/>
    <w:rsid w:val="00B9290B"/>
    <w:rsid w:val="00BB3880"/>
    <w:rsid w:val="00C328BE"/>
    <w:rsid w:val="00C51539"/>
    <w:rsid w:val="00C945B2"/>
    <w:rsid w:val="00CA0BEB"/>
    <w:rsid w:val="00CC6872"/>
    <w:rsid w:val="00CE3F17"/>
    <w:rsid w:val="00D14008"/>
    <w:rsid w:val="00D16FFC"/>
    <w:rsid w:val="00D31D50"/>
    <w:rsid w:val="00D61289"/>
    <w:rsid w:val="00D83973"/>
    <w:rsid w:val="00DA0A00"/>
    <w:rsid w:val="00E47B7A"/>
    <w:rsid w:val="00E67CB2"/>
    <w:rsid w:val="00E81DB3"/>
    <w:rsid w:val="00E94C1F"/>
    <w:rsid w:val="00E97CFA"/>
    <w:rsid w:val="00EC70A8"/>
    <w:rsid w:val="00EF77A4"/>
    <w:rsid w:val="00F01277"/>
    <w:rsid w:val="00F15CC8"/>
    <w:rsid w:val="00F23590"/>
    <w:rsid w:val="00F33CD6"/>
    <w:rsid w:val="00F61409"/>
    <w:rsid w:val="00F64F08"/>
    <w:rsid w:val="00FB1E9A"/>
    <w:rsid w:val="00FC14A1"/>
    <w:rsid w:val="00FE2516"/>
    <w:rsid w:val="00FE2828"/>
    <w:rsid w:val="01812E82"/>
    <w:rsid w:val="01A142BB"/>
    <w:rsid w:val="01E548DF"/>
    <w:rsid w:val="02395D6C"/>
    <w:rsid w:val="02A227A1"/>
    <w:rsid w:val="02FC6355"/>
    <w:rsid w:val="039402CF"/>
    <w:rsid w:val="03E976FE"/>
    <w:rsid w:val="04653A5B"/>
    <w:rsid w:val="04E11CA6"/>
    <w:rsid w:val="054439C1"/>
    <w:rsid w:val="05E76254"/>
    <w:rsid w:val="06706DAB"/>
    <w:rsid w:val="067C3E21"/>
    <w:rsid w:val="06CA6100"/>
    <w:rsid w:val="06F562A5"/>
    <w:rsid w:val="07A055BB"/>
    <w:rsid w:val="07D608AC"/>
    <w:rsid w:val="07F93C0A"/>
    <w:rsid w:val="085D06DB"/>
    <w:rsid w:val="08B60DDF"/>
    <w:rsid w:val="08DA7138"/>
    <w:rsid w:val="09740EA9"/>
    <w:rsid w:val="098D27B7"/>
    <w:rsid w:val="0A002477"/>
    <w:rsid w:val="0A200E2D"/>
    <w:rsid w:val="0A7A4DEC"/>
    <w:rsid w:val="0AD00CF7"/>
    <w:rsid w:val="0B6146C7"/>
    <w:rsid w:val="0B9D61FB"/>
    <w:rsid w:val="0BC5014C"/>
    <w:rsid w:val="0C083383"/>
    <w:rsid w:val="0C1237DB"/>
    <w:rsid w:val="0C1E558E"/>
    <w:rsid w:val="0CA81750"/>
    <w:rsid w:val="0CF40BDC"/>
    <w:rsid w:val="0D5374B9"/>
    <w:rsid w:val="0E323572"/>
    <w:rsid w:val="0E575C09"/>
    <w:rsid w:val="0E7C0554"/>
    <w:rsid w:val="0EB8760F"/>
    <w:rsid w:val="0F206E18"/>
    <w:rsid w:val="0F916077"/>
    <w:rsid w:val="0FEC1A2D"/>
    <w:rsid w:val="10125409"/>
    <w:rsid w:val="10D82559"/>
    <w:rsid w:val="116972AB"/>
    <w:rsid w:val="1173042F"/>
    <w:rsid w:val="124F5A18"/>
    <w:rsid w:val="125C3DDD"/>
    <w:rsid w:val="12F00E01"/>
    <w:rsid w:val="130F3E82"/>
    <w:rsid w:val="136C3992"/>
    <w:rsid w:val="13715421"/>
    <w:rsid w:val="13957281"/>
    <w:rsid w:val="13D9039D"/>
    <w:rsid w:val="14091C37"/>
    <w:rsid w:val="146051AA"/>
    <w:rsid w:val="14617851"/>
    <w:rsid w:val="16535A2F"/>
    <w:rsid w:val="167D1103"/>
    <w:rsid w:val="16907088"/>
    <w:rsid w:val="16EE4466"/>
    <w:rsid w:val="172642FE"/>
    <w:rsid w:val="17570BA1"/>
    <w:rsid w:val="178A1415"/>
    <w:rsid w:val="17FC058C"/>
    <w:rsid w:val="17FC336F"/>
    <w:rsid w:val="18935F5E"/>
    <w:rsid w:val="189F3F85"/>
    <w:rsid w:val="193F7F0D"/>
    <w:rsid w:val="19FD17BE"/>
    <w:rsid w:val="1A304E0A"/>
    <w:rsid w:val="1A4A30AE"/>
    <w:rsid w:val="1A5E42D0"/>
    <w:rsid w:val="1A665E78"/>
    <w:rsid w:val="1BAB64B0"/>
    <w:rsid w:val="1C737230"/>
    <w:rsid w:val="1D1555E4"/>
    <w:rsid w:val="1D3855FE"/>
    <w:rsid w:val="1D632E00"/>
    <w:rsid w:val="1DA86FB1"/>
    <w:rsid w:val="1DCF62A7"/>
    <w:rsid w:val="1E14289B"/>
    <w:rsid w:val="1E303AB2"/>
    <w:rsid w:val="1E6367D3"/>
    <w:rsid w:val="1E772AEB"/>
    <w:rsid w:val="1E780B2E"/>
    <w:rsid w:val="1E79033B"/>
    <w:rsid w:val="1E851DDC"/>
    <w:rsid w:val="1E974007"/>
    <w:rsid w:val="1E9C6E58"/>
    <w:rsid w:val="1F42113B"/>
    <w:rsid w:val="1F6B4575"/>
    <w:rsid w:val="1FD1065A"/>
    <w:rsid w:val="1FD67CFC"/>
    <w:rsid w:val="20947C82"/>
    <w:rsid w:val="20C30A85"/>
    <w:rsid w:val="210D4D5F"/>
    <w:rsid w:val="215D7F8D"/>
    <w:rsid w:val="215F6713"/>
    <w:rsid w:val="21F42B9C"/>
    <w:rsid w:val="22157EC6"/>
    <w:rsid w:val="22830021"/>
    <w:rsid w:val="23E44C23"/>
    <w:rsid w:val="23EF10D6"/>
    <w:rsid w:val="245E2849"/>
    <w:rsid w:val="248A05A1"/>
    <w:rsid w:val="24B268B9"/>
    <w:rsid w:val="25A91D7B"/>
    <w:rsid w:val="268B18B9"/>
    <w:rsid w:val="27140AE9"/>
    <w:rsid w:val="279B60D5"/>
    <w:rsid w:val="27C866A3"/>
    <w:rsid w:val="282B58EE"/>
    <w:rsid w:val="29361B01"/>
    <w:rsid w:val="295F6AE4"/>
    <w:rsid w:val="2A094EC5"/>
    <w:rsid w:val="2A3D0E7D"/>
    <w:rsid w:val="2AC33E99"/>
    <w:rsid w:val="2B075D58"/>
    <w:rsid w:val="2B231E89"/>
    <w:rsid w:val="2B823174"/>
    <w:rsid w:val="2B88111D"/>
    <w:rsid w:val="2BD514AF"/>
    <w:rsid w:val="2BF808D8"/>
    <w:rsid w:val="2C11319E"/>
    <w:rsid w:val="2C267E1B"/>
    <w:rsid w:val="2C3A1ABF"/>
    <w:rsid w:val="2C451D2D"/>
    <w:rsid w:val="2D1945E9"/>
    <w:rsid w:val="2DD21D43"/>
    <w:rsid w:val="2E162111"/>
    <w:rsid w:val="2E8F4F19"/>
    <w:rsid w:val="2F776BDF"/>
    <w:rsid w:val="2FB05FAF"/>
    <w:rsid w:val="2FED7630"/>
    <w:rsid w:val="30681690"/>
    <w:rsid w:val="30E72287"/>
    <w:rsid w:val="30EE5C31"/>
    <w:rsid w:val="310C3F14"/>
    <w:rsid w:val="311771DB"/>
    <w:rsid w:val="31854286"/>
    <w:rsid w:val="320B3AE8"/>
    <w:rsid w:val="32236BAB"/>
    <w:rsid w:val="322D595C"/>
    <w:rsid w:val="32385C4C"/>
    <w:rsid w:val="32C600DD"/>
    <w:rsid w:val="32F21B58"/>
    <w:rsid w:val="33DE1476"/>
    <w:rsid w:val="34267EC3"/>
    <w:rsid w:val="343D12D6"/>
    <w:rsid w:val="346D0F5A"/>
    <w:rsid w:val="358E07D3"/>
    <w:rsid w:val="35910B5D"/>
    <w:rsid w:val="35BB0DB3"/>
    <w:rsid w:val="3633481A"/>
    <w:rsid w:val="375201D1"/>
    <w:rsid w:val="378C0A89"/>
    <w:rsid w:val="379C4C72"/>
    <w:rsid w:val="37CF342E"/>
    <w:rsid w:val="3970104E"/>
    <w:rsid w:val="39C73385"/>
    <w:rsid w:val="39D26A0B"/>
    <w:rsid w:val="3A097A03"/>
    <w:rsid w:val="3A236429"/>
    <w:rsid w:val="3A3556CD"/>
    <w:rsid w:val="3A736DFF"/>
    <w:rsid w:val="3A8920E5"/>
    <w:rsid w:val="3AC63342"/>
    <w:rsid w:val="3AED3452"/>
    <w:rsid w:val="3B48676E"/>
    <w:rsid w:val="3B9D5C20"/>
    <w:rsid w:val="3BD16A31"/>
    <w:rsid w:val="3BEC74FA"/>
    <w:rsid w:val="3CA13886"/>
    <w:rsid w:val="3D3E36B2"/>
    <w:rsid w:val="3D960B78"/>
    <w:rsid w:val="3E210BC4"/>
    <w:rsid w:val="3E4052FA"/>
    <w:rsid w:val="3F260D48"/>
    <w:rsid w:val="401E34EA"/>
    <w:rsid w:val="40731583"/>
    <w:rsid w:val="4148218A"/>
    <w:rsid w:val="42890CAC"/>
    <w:rsid w:val="42A06BBB"/>
    <w:rsid w:val="42AB18B7"/>
    <w:rsid w:val="42B1474E"/>
    <w:rsid w:val="43007E9F"/>
    <w:rsid w:val="430B1935"/>
    <w:rsid w:val="434C41B3"/>
    <w:rsid w:val="437234EE"/>
    <w:rsid w:val="43736DBA"/>
    <w:rsid w:val="442F79D2"/>
    <w:rsid w:val="44D2693A"/>
    <w:rsid w:val="45097E82"/>
    <w:rsid w:val="45B07598"/>
    <w:rsid w:val="463A4EF9"/>
    <w:rsid w:val="46BD7639"/>
    <w:rsid w:val="47AB0ABF"/>
    <w:rsid w:val="485A4AA2"/>
    <w:rsid w:val="48D4476D"/>
    <w:rsid w:val="492C559A"/>
    <w:rsid w:val="49D722FD"/>
    <w:rsid w:val="4AAA6602"/>
    <w:rsid w:val="4B3B40FA"/>
    <w:rsid w:val="4B84756E"/>
    <w:rsid w:val="4BB652CD"/>
    <w:rsid w:val="4C283883"/>
    <w:rsid w:val="4C814A89"/>
    <w:rsid w:val="4C914A2C"/>
    <w:rsid w:val="4CFD02CC"/>
    <w:rsid w:val="4D250DF2"/>
    <w:rsid w:val="4DDD6A1E"/>
    <w:rsid w:val="4ED76EEE"/>
    <w:rsid w:val="4F064CA0"/>
    <w:rsid w:val="4F563CC4"/>
    <w:rsid w:val="501752F9"/>
    <w:rsid w:val="50385DF3"/>
    <w:rsid w:val="503B1FAE"/>
    <w:rsid w:val="504529A5"/>
    <w:rsid w:val="50A837F1"/>
    <w:rsid w:val="50FD5F0A"/>
    <w:rsid w:val="51043C0D"/>
    <w:rsid w:val="516538DA"/>
    <w:rsid w:val="51D677D1"/>
    <w:rsid w:val="51F50E4E"/>
    <w:rsid w:val="521D4C7C"/>
    <w:rsid w:val="52272A53"/>
    <w:rsid w:val="525765A4"/>
    <w:rsid w:val="52604727"/>
    <w:rsid w:val="52BE22AC"/>
    <w:rsid w:val="52D5072E"/>
    <w:rsid w:val="539B691C"/>
    <w:rsid w:val="540C4E2E"/>
    <w:rsid w:val="547F1F0F"/>
    <w:rsid w:val="54882C09"/>
    <w:rsid w:val="54E57C87"/>
    <w:rsid w:val="5573044C"/>
    <w:rsid w:val="564D0C25"/>
    <w:rsid w:val="567F4C77"/>
    <w:rsid w:val="568463EA"/>
    <w:rsid w:val="570E2E10"/>
    <w:rsid w:val="575F462B"/>
    <w:rsid w:val="576176AA"/>
    <w:rsid w:val="576404F6"/>
    <w:rsid w:val="57984EC9"/>
    <w:rsid w:val="5826054C"/>
    <w:rsid w:val="584067DF"/>
    <w:rsid w:val="5846277C"/>
    <w:rsid w:val="586E651F"/>
    <w:rsid w:val="5910752F"/>
    <w:rsid w:val="59154BEF"/>
    <w:rsid w:val="59592D2E"/>
    <w:rsid w:val="597D5CE5"/>
    <w:rsid w:val="5A050D40"/>
    <w:rsid w:val="5A0D40A7"/>
    <w:rsid w:val="5B1B38D4"/>
    <w:rsid w:val="5B2F01EA"/>
    <w:rsid w:val="5B7E72A8"/>
    <w:rsid w:val="5BE07AF1"/>
    <w:rsid w:val="5CC46560"/>
    <w:rsid w:val="5CDF6403"/>
    <w:rsid w:val="5CF208DF"/>
    <w:rsid w:val="5D5E126C"/>
    <w:rsid w:val="5E0D2339"/>
    <w:rsid w:val="5E84084D"/>
    <w:rsid w:val="5E8C0937"/>
    <w:rsid w:val="5EEC2A63"/>
    <w:rsid w:val="5F331990"/>
    <w:rsid w:val="5F36009F"/>
    <w:rsid w:val="5F545FDA"/>
    <w:rsid w:val="5F855577"/>
    <w:rsid w:val="5F85733C"/>
    <w:rsid w:val="5F886048"/>
    <w:rsid w:val="5F8F1D8C"/>
    <w:rsid w:val="604E10FB"/>
    <w:rsid w:val="60594D60"/>
    <w:rsid w:val="60B847DE"/>
    <w:rsid w:val="61877BA2"/>
    <w:rsid w:val="61940BE5"/>
    <w:rsid w:val="619E328B"/>
    <w:rsid w:val="61AF2F50"/>
    <w:rsid w:val="6219488D"/>
    <w:rsid w:val="62514EEA"/>
    <w:rsid w:val="627E6AAD"/>
    <w:rsid w:val="62ED53A3"/>
    <w:rsid w:val="63265E1A"/>
    <w:rsid w:val="632E5409"/>
    <w:rsid w:val="63300D35"/>
    <w:rsid w:val="63A177AC"/>
    <w:rsid w:val="63A252D2"/>
    <w:rsid w:val="64936C1D"/>
    <w:rsid w:val="64A77033"/>
    <w:rsid w:val="6559320F"/>
    <w:rsid w:val="657333CA"/>
    <w:rsid w:val="65D12E7B"/>
    <w:rsid w:val="6685561C"/>
    <w:rsid w:val="66D576F7"/>
    <w:rsid w:val="66DF34A6"/>
    <w:rsid w:val="66FE4AFD"/>
    <w:rsid w:val="671E6214"/>
    <w:rsid w:val="67627252"/>
    <w:rsid w:val="67B01CAC"/>
    <w:rsid w:val="67BC5ABE"/>
    <w:rsid w:val="68095BBE"/>
    <w:rsid w:val="68202928"/>
    <w:rsid w:val="68955405"/>
    <w:rsid w:val="691F337F"/>
    <w:rsid w:val="693448A9"/>
    <w:rsid w:val="69683014"/>
    <w:rsid w:val="69CF1CA6"/>
    <w:rsid w:val="6A00148E"/>
    <w:rsid w:val="6A1861BB"/>
    <w:rsid w:val="6A5F1EDB"/>
    <w:rsid w:val="6A753AF4"/>
    <w:rsid w:val="6A786EEB"/>
    <w:rsid w:val="6B63396E"/>
    <w:rsid w:val="6B727E48"/>
    <w:rsid w:val="6BFD579B"/>
    <w:rsid w:val="6C1A35BE"/>
    <w:rsid w:val="6CE00364"/>
    <w:rsid w:val="6CEE2CD6"/>
    <w:rsid w:val="6DA5220D"/>
    <w:rsid w:val="6DD0677C"/>
    <w:rsid w:val="6E4224F5"/>
    <w:rsid w:val="6E774CEA"/>
    <w:rsid w:val="6E992F04"/>
    <w:rsid w:val="6FE106D6"/>
    <w:rsid w:val="6FF3036F"/>
    <w:rsid w:val="7040659E"/>
    <w:rsid w:val="71D74828"/>
    <w:rsid w:val="71FB3878"/>
    <w:rsid w:val="72204F52"/>
    <w:rsid w:val="72396AF4"/>
    <w:rsid w:val="72EC7BDF"/>
    <w:rsid w:val="732E2510"/>
    <w:rsid w:val="73850C4E"/>
    <w:rsid w:val="73A52BF2"/>
    <w:rsid w:val="741D43FD"/>
    <w:rsid w:val="74354E53"/>
    <w:rsid w:val="747C19B0"/>
    <w:rsid w:val="74FE6101"/>
    <w:rsid w:val="75121F2A"/>
    <w:rsid w:val="75D62E04"/>
    <w:rsid w:val="75E33DF5"/>
    <w:rsid w:val="76393874"/>
    <w:rsid w:val="765A08FE"/>
    <w:rsid w:val="765E1A2F"/>
    <w:rsid w:val="7712732F"/>
    <w:rsid w:val="77300A5C"/>
    <w:rsid w:val="77B77956"/>
    <w:rsid w:val="77D575CC"/>
    <w:rsid w:val="77EB5041"/>
    <w:rsid w:val="78064E79"/>
    <w:rsid w:val="780B1240"/>
    <w:rsid w:val="78424BD9"/>
    <w:rsid w:val="786B721A"/>
    <w:rsid w:val="7882611C"/>
    <w:rsid w:val="790379E1"/>
    <w:rsid w:val="799102E0"/>
    <w:rsid w:val="79B20363"/>
    <w:rsid w:val="79BF09D4"/>
    <w:rsid w:val="7B4A7F8F"/>
    <w:rsid w:val="7BE16775"/>
    <w:rsid w:val="7CCC50EF"/>
    <w:rsid w:val="7D244283"/>
    <w:rsid w:val="7D3511F9"/>
    <w:rsid w:val="7DE42DCE"/>
    <w:rsid w:val="7E100520"/>
    <w:rsid w:val="7FF401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numPr>
        <w:ilvl w:val="0"/>
        <w:numId w:val="1"/>
      </w:numPr>
      <w:spacing w:before="100" w:beforeAutospacing="1" w:after="100" w:afterAutospacing="1"/>
      <w:outlineLvl w:val="0"/>
    </w:pPr>
    <w:rPr>
      <w:rFonts w:ascii="Arial" w:hAnsi="Arial"/>
      <w:b/>
      <w:sz w:val="28"/>
      <w:szCs w:val="28"/>
    </w:rPr>
  </w:style>
  <w:style w:type="paragraph" w:styleId="3">
    <w:name w:val="heading 2"/>
    <w:basedOn w:val="1"/>
    <w:next w:val="4"/>
    <w:qFormat/>
    <w:uiPriority w:val="0"/>
    <w:pPr>
      <w:keepNext/>
      <w:numPr>
        <w:ilvl w:val="1"/>
        <w:numId w:val="1"/>
      </w:numPr>
      <w:spacing w:before="100" w:beforeAutospacing="1" w:after="100" w:afterAutospacing="1" w:line="360" w:lineRule="auto"/>
      <w:outlineLvl w:val="1"/>
    </w:pPr>
    <w:rPr>
      <w:rFonts w:ascii="Arial" w:hAnsi="Arial"/>
      <w:b/>
      <w:sz w:val="28"/>
    </w:rPr>
  </w:style>
  <w:style w:type="paragraph" w:styleId="5">
    <w:name w:val="heading 3"/>
    <w:basedOn w:val="1"/>
    <w:next w:val="4"/>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7">
    <w:name w:val="Body Text"/>
    <w:basedOn w:val="1"/>
    <w:qFormat/>
    <w:uiPriority w:val="0"/>
    <w:pPr>
      <w:spacing w:line="360" w:lineRule="auto"/>
      <w:jc w:val="center"/>
    </w:pPr>
    <w:rPr>
      <w:sz w:val="24"/>
    </w:rPr>
  </w:style>
  <w:style w:type="paragraph" w:styleId="8">
    <w:name w:val="Body Text Indent"/>
    <w:basedOn w:val="1"/>
    <w:qFormat/>
    <w:uiPriority w:val="0"/>
    <w:pPr>
      <w:adjustRightInd/>
      <w:snapToGrid/>
      <w:ind w:firstLine="538" w:firstLineChars="192"/>
    </w:pPr>
    <w:rPr>
      <w:rFonts w:eastAsia="华文仿宋"/>
      <w:kern w:val="2"/>
      <w:szCs w:val="24"/>
    </w:rPr>
  </w:style>
  <w:style w:type="paragraph" w:styleId="9">
    <w:name w:val="Plain Text"/>
    <w:basedOn w:val="1"/>
    <w:qFormat/>
    <w:uiPriority w:val="0"/>
    <w:rPr>
      <w:rFonts w:hint="eastAsia" w:ascii="宋体" w:hAnsi="Courier New"/>
      <w:szCs w:val="21"/>
    </w:rPr>
  </w:style>
  <w:style w:type="paragraph" w:styleId="10">
    <w:name w:val="Balloon Text"/>
    <w:basedOn w:val="1"/>
    <w:link w:val="21"/>
    <w:semiHidden/>
    <w:unhideWhenUsed/>
    <w:qFormat/>
    <w:uiPriority w:val="99"/>
    <w:pPr>
      <w:spacing w:after="0"/>
    </w:pPr>
    <w:rPr>
      <w:sz w:val="18"/>
      <w:szCs w:val="18"/>
    </w:rPr>
  </w:style>
  <w:style w:type="paragraph" w:styleId="11">
    <w:name w:val="footer"/>
    <w:basedOn w:val="1"/>
    <w:link w:val="20"/>
    <w:semiHidden/>
    <w:unhideWhenUsed/>
    <w:qFormat/>
    <w:uiPriority w:val="99"/>
    <w:pPr>
      <w:tabs>
        <w:tab w:val="center" w:pos="4153"/>
        <w:tab w:val="right" w:pos="8306"/>
      </w:tabs>
    </w:pPr>
    <w:rPr>
      <w:sz w:val="18"/>
      <w:szCs w:val="18"/>
    </w:rPr>
  </w:style>
  <w:style w:type="paragraph" w:styleId="12">
    <w:name w:val="header"/>
    <w:basedOn w:val="1"/>
    <w:link w:val="19"/>
    <w:semiHidden/>
    <w:unhideWhenUsed/>
    <w:qFormat/>
    <w:uiPriority w:val="99"/>
    <w:pPr>
      <w:pBdr>
        <w:bottom w:val="single" w:color="auto" w:sz="6" w:space="1"/>
      </w:pBdr>
      <w:tabs>
        <w:tab w:val="center" w:pos="4153"/>
        <w:tab w:val="right" w:pos="8306"/>
      </w:tabs>
      <w:jc w:val="center"/>
    </w:pPr>
    <w:rPr>
      <w:sz w:val="18"/>
      <w:szCs w:val="18"/>
    </w:rPr>
  </w:style>
  <w:style w:type="paragraph" w:styleId="13">
    <w:name w:val="toc 4"/>
    <w:basedOn w:val="1"/>
    <w:next w:val="1"/>
    <w:semiHidden/>
    <w:qFormat/>
    <w:uiPriority w:val="0"/>
    <w:pPr>
      <w:spacing w:line="360" w:lineRule="auto"/>
      <w:ind w:firstLine="482" w:firstLineChars="200"/>
    </w:pPr>
    <w:rPr>
      <w:rFonts w:ascii="宋体" w:hAnsi="宋体"/>
      <w:b/>
      <w:bCs/>
      <w:color w:val="000000"/>
      <w:sz w:val="24"/>
      <w:szCs w:val="21"/>
    </w:rPr>
  </w:style>
  <w:style w:type="paragraph" w:styleId="14">
    <w:name w:val="Normal (Web)"/>
    <w:basedOn w:val="1"/>
    <w:qFormat/>
    <w:uiPriority w:val="0"/>
    <w:rPr>
      <w:sz w:val="24"/>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列出段落1"/>
    <w:basedOn w:val="1"/>
    <w:qFormat/>
    <w:uiPriority w:val="34"/>
    <w:pPr>
      <w:ind w:firstLine="420" w:firstLineChars="200"/>
    </w:pPr>
  </w:style>
  <w:style w:type="character" w:customStyle="1" w:styleId="19">
    <w:name w:val="页眉 Char"/>
    <w:basedOn w:val="17"/>
    <w:link w:val="12"/>
    <w:semiHidden/>
    <w:qFormat/>
    <w:uiPriority w:val="99"/>
    <w:rPr>
      <w:rFonts w:ascii="Tahoma" w:hAnsi="Tahoma"/>
      <w:sz w:val="18"/>
      <w:szCs w:val="18"/>
    </w:rPr>
  </w:style>
  <w:style w:type="character" w:customStyle="1" w:styleId="20">
    <w:name w:val="页脚 Char"/>
    <w:basedOn w:val="17"/>
    <w:link w:val="11"/>
    <w:semiHidden/>
    <w:qFormat/>
    <w:uiPriority w:val="99"/>
    <w:rPr>
      <w:rFonts w:ascii="Tahoma" w:hAnsi="Tahoma"/>
      <w:sz w:val="18"/>
      <w:szCs w:val="18"/>
    </w:rPr>
  </w:style>
  <w:style w:type="character" w:customStyle="1" w:styleId="21">
    <w:name w:val="批注框文本 Char"/>
    <w:basedOn w:val="17"/>
    <w:link w:val="10"/>
    <w:semiHidden/>
    <w:qFormat/>
    <w:uiPriority w:val="99"/>
    <w:rPr>
      <w:rFonts w:ascii="Tahoma" w:hAnsi="Tahoma"/>
      <w:sz w:val="18"/>
      <w:szCs w:val="18"/>
    </w:rPr>
  </w:style>
  <w:style w:type="paragraph" w:styleId="22">
    <w:name w:val="List Paragraph"/>
    <w:basedOn w:val="1"/>
    <w:qFormat/>
    <w:uiPriority w:val="34"/>
    <w:pPr>
      <w:ind w:firstLine="420" w:firstLineChars="200"/>
    </w:pPr>
    <w:rPr>
      <w:rFonts w:ascii="Calibri" w:hAnsi="Calibri" w:eastAsia="宋体" w:cs="Times New Roman"/>
    </w:rPr>
  </w:style>
  <w:style w:type="paragraph" w:customStyle="1" w:styleId="23">
    <w:name w:val="表格正文-左齐"/>
    <w:basedOn w:val="1"/>
    <w:qFormat/>
    <w:uiPriority w:val="0"/>
    <w:pPr>
      <w:spacing w:beforeLines="30" w:line="312" w:lineRule="auto"/>
      <w:ind w:left="28"/>
    </w:pPr>
    <w:rPr>
      <w:rFonts w:ascii="Calibri" w:hAnsi="Calibri" w:eastAsia="宋体"/>
      <w:sz w:val="24"/>
      <w:lang w:bidi="en-US"/>
    </w:rPr>
  </w:style>
  <w:style w:type="paragraph" w:customStyle="1" w:styleId="24">
    <w:name w:val="正文首行缩进 21"/>
    <w:qFormat/>
    <w:uiPriority w:val="99"/>
    <w:pPr>
      <w:widowControl w:val="0"/>
      <w:spacing w:after="120"/>
      <w:ind w:left="420" w:leftChars="200" w:firstLine="42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4165</Words>
  <Characters>4491</Characters>
  <Lines>37</Lines>
  <Paragraphs>10</Paragraphs>
  <TotalTime>1</TotalTime>
  <ScaleCrop>false</ScaleCrop>
  <LinksUpToDate>false</LinksUpToDate>
  <CharactersWithSpaces>4622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戴佳华</cp:lastModifiedBy>
  <cp:lastPrinted>2023-04-27T06:03:00Z</cp:lastPrinted>
  <dcterms:modified xsi:type="dcterms:W3CDTF">2023-04-28T05:55:37Z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5F9E7D6B1C94464A9CE97C1E56B42286_13</vt:lpwstr>
  </property>
</Properties>
</file>