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外委施工方案要求</w:t>
      </w:r>
    </w:p>
    <w:p>
      <w:pPr>
        <w:numPr>
          <w:ilvl w:val="0"/>
          <w:numId w:val="1"/>
        </w:numPr>
        <w:rPr>
          <w:rFonts w:hint="eastAsia"/>
          <w:b w:val="0"/>
          <w:bCs w:val="0"/>
          <w:sz w:val="32"/>
          <w:szCs w:val="32"/>
          <w:lang w:val="en-US" w:eastAsia="zh-CN"/>
        </w:rPr>
      </w:pPr>
      <w:r>
        <w:rPr>
          <w:rFonts w:hint="eastAsia"/>
          <w:b/>
          <w:bCs/>
          <w:sz w:val="32"/>
          <w:szCs w:val="32"/>
          <w:lang w:val="en-US" w:eastAsia="zh-CN"/>
        </w:rPr>
        <w:t>项目名称：</w:t>
      </w:r>
      <w:r>
        <w:rPr>
          <w:rFonts w:hint="eastAsia"/>
          <w:b w:val="0"/>
          <w:bCs w:val="0"/>
          <w:sz w:val="28"/>
          <w:szCs w:val="28"/>
          <w:lang w:val="en-US" w:eastAsia="zh-CN"/>
        </w:rPr>
        <w:t>张家口金隅水泥环保门禁系统维护保养项目</w:t>
      </w:r>
    </w:p>
    <w:p>
      <w:pPr>
        <w:numPr>
          <w:ilvl w:val="0"/>
          <w:numId w:val="1"/>
        </w:numPr>
        <w:rPr>
          <w:rFonts w:hint="default"/>
          <w:b w:val="0"/>
          <w:bCs w:val="0"/>
          <w:sz w:val="28"/>
          <w:szCs w:val="28"/>
          <w:lang w:val="en-US" w:eastAsia="zh-CN"/>
        </w:rPr>
      </w:pPr>
      <w:r>
        <w:rPr>
          <w:rFonts w:hint="eastAsia"/>
          <w:b/>
          <w:bCs/>
          <w:sz w:val="32"/>
          <w:szCs w:val="32"/>
          <w:lang w:val="en-US" w:eastAsia="zh-CN"/>
        </w:rPr>
        <w:t>工期要求：</w:t>
      </w:r>
      <w:r>
        <w:rPr>
          <w:rFonts w:hint="eastAsia"/>
          <w:b w:val="0"/>
          <w:bCs w:val="0"/>
          <w:sz w:val="28"/>
          <w:szCs w:val="28"/>
          <w:lang w:val="en-US" w:eastAsia="zh-CN"/>
        </w:rPr>
        <w:t>合同生效后一年</w:t>
      </w:r>
    </w:p>
    <w:p>
      <w:pPr>
        <w:numPr>
          <w:ilvl w:val="0"/>
          <w:numId w:val="1"/>
        </w:numPr>
        <w:rPr>
          <w:rFonts w:hint="default"/>
          <w:b w:val="0"/>
          <w:bCs w:val="0"/>
          <w:sz w:val="28"/>
          <w:szCs w:val="28"/>
          <w:lang w:val="en-US" w:eastAsia="zh-CN"/>
        </w:rPr>
      </w:pPr>
      <w:r>
        <w:rPr>
          <w:rFonts w:hint="eastAsia"/>
          <w:b/>
          <w:bCs/>
          <w:sz w:val="32"/>
          <w:szCs w:val="32"/>
          <w:lang w:val="en-US" w:eastAsia="zh-CN"/>
        </w:rPr>
        <w:t>针对此外委施工承包方需要提供的资质：</w:t>
      </w:r>
      <w:r>
        <w:rPr>
          <w:rFonts w:hint="eastAsia"/>
          <w:b w:val="0"/>
          <w:bCs w:val="0"/>
          <w:sz w:val="28"/>
          <w:szCs w:val="28"/>
          <w:lang w:val="en-US" w:eastAsia="zh-CN"/>
        </w:rPr>
        <w:t>营业执照包含通信设备维保相关</w:t>
      </w:r>
      <w:bookmarkStart w:id="0" w:name="_GoBack"/>
      <w:bookmarkEnd w:id="0"/>
      <w:r>
        <w:rPr>
          <w:rFonts w:hint="eastAsia"/>
          <w:b w:val="0"/>
          <w:bCs w:val="0"/>
          <w:sz w:val="28"/>
          <w:szCs w:val="28"/>
          <w:lang w:val="en-US" w:eastAsia="zh-CN"/>
        </w:rPr>
        <w:t>经营范围。</w:t>
      </w:r>
    </w:p>
    <w:p>
      <w:pPr>
        <w:numPr>
          <w:ilvl w:val="0"/>
          <w:numId w:val="1"/>
        </w:numPr>
        <w:rPr>
          <w:rFonts w:hint="default"/>
          <w:b w:val="0"/>
          <w:bCs w:val="0"/>
          <w:sz w:val="28"/>
          <w:szCs w:val="28"/>
          <w:highlight w:val="none"/>
          <w:lang w:val="en-US" w:eastAsia="zh-CN"/>
        </w:rPr>
      </w:pPr>
      <w:r>
        <w:rPr>
          <w:rFonts w:hint="eastAsia"/>
          <w:b/>
          <w:bCs/>
          <w:sz w:val="32"/>
          <w:szCs w:val="32"/>
          <w:lang w:val="en-US" w:eastAsia="zh-CN"/>
        </w:rPr>
        <w:t>是否需要勘踏现场：</w:t>
      </w:r>
      <w:r>
        <w:rPr>
          <w:rFonts w:hint="eastAsia"/>
          <w:b w:val="0"/>
          <w:bCs w:val="0"/>
          <w:sz w:val="28"/>
          <w:szCs w:val="28"/>
          <w:lang w:val="en-US" w:eastAsia="zh-CN"/>
        </w:rPr>
        <w:t>否，如需现场勘踏请联系</w:t>
      </w:r>
      <w:r>
        <w:rPr>
          <w:rFonts w:hint="eastAsia"/>
          <w:b w:val="0"/>
          <w:bCs w:val="0"/>
          <w:sz w:val="28"/>
          <w:szCs w:val="28"/>
          <w:highlight w:val="none"/>
          <w:lang w:val="en-US" w:eastAsia="zh-CN"/>
        </w:rPr>
        <w:t>（现场对接人姓名  李志忠，电话13933764526）</w:t>
      </w:r>
    </w:p>
    <w:p>
      <w:pPr>
        <w:numPr>
          <w:ilvl w:val="0"/>
          <w:numId w:val="1"/>
        </w:numPr>
        <w:rPr>
          <w:rFonts w:hint="default"/>
          <w:b/>
          <w:bCs/>
          <w:sz w:val="32"/>
          <w:szCs w:val="32"/>
          <w:lang w:val="en-US" w:eastAsia="zh-CN"/>
        </w:rPr>
      </w:pPr>
      <w:r>
        <w:rPr>
          <w:rFonts w:hint="eastAsia"/>
          <w:b/>
          <w:bCs/>
          <w:sz w:val="32"/>
          <w:szCs w:val="32"/>
          <w:lang w:val="en-US" w:eastAsia="zh-CN"/>
        </w:rPr>
        <w:t>施工内容</w:t>
      </w:r>
    </w:p>
    <w:tbl>
      <w:tblPr>
        <w:tblStyle w:val="4"/>
        <w:tblW w:w="95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362"/>
        <w:gridCol w:w="1192"/>
        <w:gridCol w:w="1161"/>
        <w:gridCol w:w="1268"/>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序号</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施工内容</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数量</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单位</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金额上限</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ascii="宋体" w:hAnsi="宋体"/>
                <w:kern w:val="0"/>
                <w:sz w:val="20"/>
              </w:rPr>
              <w:t>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kern w:val="0"/>
                <w:sz w:val="20"/>
              </w:rPr>
            </w:pPr>
            <w:r>
              <w:rPr>
                <w:rFonts w:hint="eastAsia" w:cs="Calibri"/>
                <w:kern w:val="0"/>
                <w:sz w:val="20"/>
              </w:rPr>
              <w:t>1</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等线"/>
                <w:kern w:val="0"/>
                <w:sz w:val="20"/>
                <w:lang w:val="en-US" w:eastAsia="zh-CN"/>
              </w:rPr>
            </w:pPr>
            <w:r>
              <w:rPr>
                <w:rFonts w:hint="eastAsia" w:ascii="等线" w:hAnsi="等线" w:eastAsia="等线" w:cs="等线"/>
                <w:color w:val="000000"/>
                <w:lang w:bidi="ar"/>
              </w:rPr>
              <w:t>智能终端盒/DH-ITSE0800-GN3B-NO1</w:t>
            </w:r>
            <w:r>
              <w:rPr>
                <w:rFonts w:hint="eastAsia" w:ascii="等线" w:hAnsi="等线" w:eastAsia="等线" w:cs="等线"/>
                <w:color w:val="000000"/>
                <w:lang w:val="en-US" w:eastAsia="zh-CN" w:bidi="ar"/>
              </w:rPr>
              <w:t>维保一年</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1</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restart"/>
            <w:tcBorders>
              <w:top w:val="single" w:color="auto" w:sz="4" w:space="0"/>
              <w:left w:val="single" w:color="auto" w:sz="4" w:space="0"/>
              <w:right w:val="single" w:color="auto" w:sz="4" w:space="0"/>
            </w:tcBorders>
            <w:vAlign w:val="center"/>
          </w:tcPr>
          <w:p>
            <w:pPr>
              <w:jc w:val="center"/>
              <w:rPr>
                <w:rFonts w:hint="eastAsia"/>
                <w:kern w:val="0"/>
                <w:sz w:val="20"/>
              </w:rPr>
            </w:pPr>
            <w:r>
              <w:rPr>
                <w:rFonts w:hint="eastAsia" w:cs="Calibri"/>
                <w:kern w:val="0"/>
                <w:sz w:val="20"/>
                <w:lang w:val="en-US" w:eastAsia="zh-CN"/>
              </w:rPr>
              <w:t>65</w:t>
            </w:r>
            <w:r>
              <w:rPr>
                <w:rFonts w:hint="eastAsia" w:cs="Calibri"/>
                <w:kern w:val="0"/>
                <w:sz w:val="20"/>
              </w:rPr>
              <w:t>000</w:t>
            </w:r>
            <w:r>
              <w:rPr>
                <w:rFonts w:hint="eastAsia" w:ascii="宋体" w:hAnsi="宋体"/>
                <w:kern w:val="0"/>
                <w:sz w:val="20"/>
              </w:rPr>
              <w:t>元</w:t>
            </w:r>
          </w:p>
        </w:tc>
        <w:tc>
          <w:tcPr>
            <w:tcW w:w="1765" w:type="dxa"/>
            <w:vMerge w:val="restart"/>
            <w:tcBorders>
              <w:top w:val="single" w:color="auto" w:sz="4" w:space="0"/>
              <w:left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符合行业标准，满足省市环保平台规范要求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2</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等线"/>
                <w:kern w:val="0"/>
                <w:sz w:val="20"/>
                <w:lang w:val="en-US" w:eastAsia="zh-CN"/>
              </w:rPr>
            </w:pPr>
            <w:r>
              <w:rPr>
                <w:rFonts w:hint="eastAsia" w:ascii="等线" w:hAnsi="等线" w:eastAsia="等线" w:cs="等线"/>
                <w:color w:val="000000"/>
                <w:lang w:bidi="ar"/>
              </w:rPr>
              <w:t>环保门禁软件/环保门禁软件</w:t>
            </w:r>
            <w:r>
              <w:rPr>
                <w:rFonts w:hint="eastAsia" w:ascii="等线" w:hAnsi="等线" w:eastAsia="等线" w:cs="等线"/>
                <w:color w:val="000000"/>
                <w:lang w:val="en-US" w:eastAsia="zh-CN" w:bidi="ar"/>
              </w:rPr>
              <w:t>维保</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1</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3</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等线"/>
                <w:kern w:val="0"/>
                <w:sz w:val="20"/>
                <w:lang w:val="en-US" w:eastAsia="zh-CN"/>
              </w:rPr>
            </w:pPr>
            <w:r>
              <w:rPr>
                <w:rFonts w:hint="eastAsia" w:ascii="等线" w:hAnsi="等线" w:eastAsia="等线" w:cs="等线"/>
                <w:color w:val="000000"/>
                <w:lang w:bidi="ar"/>
              </w:rPr>
              <w:t>卡口相机/DH-CP435-AU1F-LZF2070</w:t>
            </w:r>
            <w:r>
              <w:rPr>
                <w:rFonts w:hint="eastAsia" w:ascii="等线" w:hAnsi="等线" w:eastAsia="等线" w:cs="等线"/>
                <w:color w:val="000000"/>
                <w:lang w:val="en-US" w:eastAsia="zh-CN" w:bidi="ar"/>
              </w:rPr>
              <w:t>维保一年</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2</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4</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等线"/>
                <w:kern w:val="0"/>
                <w:sz w:val="20"/>
                <w:lang w:val="en-US" w:eastAsia="zh-CN"/>
              </w:rPr>
            </w:pPr>
            <w:r>
              <w:rPr>
                <w:rFonts w:hint="eastAsia" w:ascii="等线" w:hAnsi="等线" w:eastAsia="等线" w:cs="等线"/>
                <w:color w:val="000000"/>
                <w:lang w:bidi="ar"/>
              </w:rPr>
              <w:t>抓拍机/DH-IPMECS-2201D-F6</w:t>
            </w:r>
            <w:r>
              <w:rPr>
                <w:rFonts w:hint="eastAsia" w:ascii="等线" w:hAnsi="等线" w:eastAsia="等线" w:cs="等线"/>
                <w:color w:val="000000"/>
                <w:lang w:val="en-US" w:eastAsia="zh-CN" w:bidi="ar"/>
              </w:rPr>
              <w:t>维保一年</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2</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米</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5</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等线"/>
                <w:kern w:val="0"/>
                <w:sz w:val="20"/>
                <w:lang w:val="en-US" w:eastAsia="zh-CN"/>
              </w:rPr>
            </w:pPr>
            <w:r>
              <w:rPr>
                <w:rFonts w:hint="eastAsia" w:ascii="等线" w:hAnsi="等线" w:eastAsia="等线" w:cs="等线"/>
                <w:color w:val="000000"/>
                <w:lang w:bidi="ar"/>
              </w:rPr>
              <w:t>防砸雷达/DH-ITSE0800-GN3B-NO1</w:t>
            </w:r>
            <w:r>
              <w:rPr>
                <w:rFonts w:hint="eastAsia" w:ascii="等线" w:hAnsi="等线" w:eastAsia="等线" w:cs="等线"/>
                <w:color w:val="000000"/>
                <w:lang w:val="en-US" w:eastAsia="zh-CN" w:bidi="ar"/>
              </w:rPr>
              <w:t>维保一年</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2</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6</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kern w:val="0"/>
                <w:sz w:val="20"/>
                <w:lang w:val="en-US" w:eastAsia="zh-CN"/>
              </w:rPr>
              <w:t>环保门禁服务器升级</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1</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7</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ascii="宋体" w:hAnsi="宋体"/>
                <w:kern w:val="0"/>
                <w:sz w:val="20"/>
                <w:lang w:val="en-US" w:eastAsia="zh-CN"/>
              </w:rPr>
              <w:t>道闸远程开关加配</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2</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0"/>
                <w:lang w:eastAsia="zh-CN"/>
              </w:rPr>
            </w:pPr>
            <w:r>
              <w:rPr>
                <w:rFonts w:hint="eastAsia" w:cs="Calibri"/>
                <w:kern w:val="0"/>
                <w:sz w:val="20"/>
                <w:lang w:val="en-US" w:eastAsia="zh-CN"/>
              </w:rPr>
              <w:t>8</w:t>
            </w:r>
          </w:p>
        </w:tc>
        <w:tc>
          <w:tcPr>
            <w:tcW w:w="33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kern w:val="0"/>
                <w:sz w:val="20"/>
                <w:lang w:val="en-US" w:eastAsia="zh-CN"/>
              </w:rPr>
            </w:pPr>
            <w:r>
              <w:rPr>
                <w:rFonts w:hint="eastAsia" w:ascii="宋体" w:hAnsi="宋体"/>
                <w:kern w:val="0"/>
                <w:sz w:val="20"/>
                <w:lang w:val="en-US" w:eastAsia="zh-CN"/>
              </w:rPr>
              <w:t>环保门禁车辆数据</w:t>
            </w:r>
            <w:r>
              <w:rPr>
                <w:rFonts w:hint="eastAsia" w:ascii="等线" w:hAnsi="等线" w:eastAsia="等线" w:cs="等线"/>
                <w:color w:val="000000"/>
                <w:lang w:val="en-US" w:eastAsia="zh-CN" w:bidi="ar"/>
              </w:rPr>
              <w:t>维保</w:t>
            </w:r>
            <w:r>
              <w:rPr>
                <w:rFonts w:hint="eastAsia" w:ascii="宋体" w:hAnsi="宋体"/>
                <w:kern w:val="0"/>
                <w:sz w:val="20"/>
                <w:lang w:val="en-US" w:eastAsia="zh-CN"/>
              </w:rPr>
              <w:t>一年</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cs="Calibri"/>
                <w:kern w:val="0"/>
                <w:sz w:val="20"/>
              </w:rPr>
              <w:t>1</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20"/>
              </w:rPr>
            </w:pPr>
            <w:r>
              <w:rPr>
                <w:rFonts w:hint="eastAsia" w:ascii="宋体" w:hAnsi="宋体"/>
                <w:kern w:val="0"/>
                <w:sz w:val="20"/>
              </w:rPr>
              <w:t>套</w:t>
            </w:r>
          </w:p>
        </w:tc>
        <w:tc>
          <w:tcPr>
            <w:tcW w:w="1268" w:type="dxa"/>
            <w:vMerge w:val="continue"/>
            <w:tcBorders>
              <w:left w:val="single" w:color="auto" w:sz="4" w:space="0"/>
              <w:right w:val="single" w:color="auto" w:sz="4" w:space="0"/>
            </w:tcBorders>
            <w:vAlign w:val="center"/>
          </w:tcPr>
          <w:p>
            <w:pPr>
              <w:jc w:val="center"/>
              <w:rPr>
                <w:rFonts w:hint="eastAsia"/>
                <w:kern w:val="0"/>
                <w:sz w:val="20"/>
              </w:rPr>
            </w:pPr>
          </w:p>
        </w:tc>
        <w:tc>
          <w:tcPr>
            <w:tcW w:w="1765" w:type="dxa"/>
            <w:vMerge w:val="continue"/>
            <w:tcBorders>
              <w:left w:val="single" w:color="auto" w:sz="4" w:space="0"/>
              <w:right w:val="single" w:color="auto" w:sz="4" w:space="0"/>
            </w:tcBorders>
            <w:vAlign w:val="center"/>
          </w:tcPr>
          <w:p>
            <w:pPr>
              <w:jc w:val="center"/>
              <w:rPr>
                <w:rFonts w:hint="eastAsia"/>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503"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kern w:val="0"/>
                <w:sz w:val="20"/>
              </w:rPr>
            </w:pPr>
            <w:r>
              <w:rPr>
                <w:rFonts w:hint="eastAsia" w:ascii="宋体" w:hAnsi="宋体"/>
                <w:kern w:val="0"/>
                <w:sz w:val="20"/>
              </w:rPr>
              <w:t>付款方式：</w:t>
            </w:r>
            <w:r>
              <w:rPr>
                <w:rFonts w:hint="eastAsia" w:ascii="宋体" w:hAnsi="宋体"/>
                <w:kern w:val="0"/>
                <w:sz w:val="20"/>
                <w:lang w:val="en-US" w:eastAsia="zh-CN"/>
              </w:rPr>
              <w:t>维保结束后，</w:t>
            </w:r>
            <w:r>
              <w:rPr>
                <w:rFonts w:hint="eastAsia" w:ascii="宋体" w:hAnsi="宋体"/>
                <w:kern w:val="0"/>
                <w:sz w:val="20"/>
              </w:rPr>
              <w:t>承包方开具合同约定全额增值税专用发票，挂账后按我方资金计划付款。</w:t>
            </w:r>
          </w:p>
          <w:p>
            <w:pPr>
              <w:jc w:val="left"/>
              <w:rPr>
                <w:rFonts w:hint="eastAsia"/>
                <w:kern w:val="0"/>
                <w:sz w:val="20"/>
              </w:rPr>
            </w:pPr>
            <w:r>
              <w:rPr>
                <w:rFonts w:hint="eastAsia" w:ascii="宋体" w:hAnsi="宋体"/>
                <w:kern w:val="0"/>
                <w:sz w:val="20"/>
              </w:rPr>
              <w:t>结算方式</w:t>
            </w:r>
            <w:r>
              <w:rPr>
                <w:rFonts w:hint="eastAsia" w:cs="Calibri"/>
                <w:kern w:val="0"/>
                <w:sz w:val="20"/>
              </w:rPr>
              <w:t>:</w:t>
            </w:r>
            <w:r>
              <w:rPr>
                <w:rFonts w:hint="eastAsia" w:ascii="宋体" w:hAnsi="宋体"/>
                <w:kern w:val="0"/>
                <w:sz w:val="20"/>
              </w:rPr>
              <w:t>电汇。</w:t>
            </w:r>
            <w:r>
              <w:rPr>
                <w:rFonts w:hint="eastAsia"/>
                <w:kern w:val="0"/>
                <w:sz w:val="20"/>
              </w:rPr>
              <w:br w:type="textWrapping"/>
            </w:r>
            <w:r>
              <w:rPr>
                <w:rFonts w:hint="eastAsia" w:ascii="宋体" w:hAnsi="宋体"/>
                <w:kern w:val="0"/>
                <w:sz w:val="20"/>
              </w:rPr>
              <w:t>承包方式：包工包料（</w:t>
            </w:r>
            <w:r>
              <w:rPr>
                <w:rFonts w:hint="eastAsia" w:ascii="宋体" w:hAnsi="宋体"/>
                <w:kern w:val="0"/>
                <w:sz w:val="20"/>
                <w:lang w:val="en-US" w:eastAsia="zh-CN"/>
              </w:rPr>
              <w:t>维保期内所有产生的费用</w:t>
            </w:r>
            <w:r>
              <w:rPr>
                <w:rFonts w:hint="eastAsia" w:ascii="宋体" w:hAnsi="宋体"/>
                <w:kern w:val="0"/>
                <w:sz w:val="20"/>
              </w:rPr>
              <w:t>）。</w:t>
            </w:r>
          </w:p>
        </w:tc>
      </w:tr>
    </w:tbl>
    <w:p>
      <w:pPr>
        <w:numPr>
          <w:ilvl w:val="0"/>
          <w:numId w:val="1"/>
        </w:numPr>
        <w:ind w:left="0" w:leftChars="0" w:firstLine="0" w:firstLineChars="0"/>
        <w:rPr>
          <w:rFonts w:hint="eastAsia"/>
          <w:b/>
          <w:bCs/>
          <w:sz w:val="32"/>
          <w:szCs w:val="32"/>
          <w:lang w:val="en-US" w:eastAsia="zh-CN"/>
        </w:rPr>
      </w:pPr>
      <w:r>
        <w:rPr>
          <w:rFonts w:hint="eastAsia"/>
          <w:b/>
          <w:bCs/>
          <w:sz w:val="32"/>
          <w:szCs w:val="32"/>
          <w:lang w:val="en-US" w:eastAsia="zh-CN"/>
        </w:rPr>
        <w:t>本次施工要求及规范说明</w:t>
      </w:r>
    </w:p>
    <w:p>
      <w:pPr>
        <w:widowControl w:val="0"/>
        <w:numPr>
          <w:ilvl w:val="0"/>
          <w:numId w:val="2"/>
        </w:numPr>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维修内容包含修复目前门禁系统现有故障。合同履行后维保方24小时内对存在故障及时到公司现场查看后立即解决。因未按照要求排查故障，企业所受经济处罚由维保方承担。</w:t>
      </w:r>
    </w:p>
    <w:p>
      <w:pPr>
        <w:widowControl w:val="0"/>
        <w:numPr>
          <w:ilvl w:val="0"/>
          <w:numId w:val="0"/>
        </w:numPr>
        <w:jc w:val="both"/>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 维保内容包含门禁系统视频图像的正常显示，系统和省市环保系统平台的实时在线对接。门禁系统视频图像的正常显示，门禁系统的正常运转，系统和省市环保系统平台的实时在线对接。</w:t>
      </w:r>
    </w:p>
    <w:p>
      <w:pPr>
        <w:widowControl w:val="0"/>
        <w:numPr>
          <w:ilvl w:val="0"/>
          <w:numId w:val="0"/>
        </w:numPr>
        <w:jc w:val="both"/>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 熟悉企业情况，能够实现与省市环保部门平台对接，符合环保部门要求。期间出现对接问题，承包方承担一切责任和经济处罚。</w:t>
      </w:r>
    </w:p>
    <w:p>
      <w:pPr>
        <w:widowControl w:val="0"/>
        <w:numPr>
          <w:ilvl w:val="0"/>
          <w:numId w:val="0"/>
        </w:numPr>
        <w:jc w:val="both"/>
        <w:rPr>
          <w:rFonts w:hint="default"/>
          <w:b/>
          <w:bCs/>
          <w:sz w:val="32"/>
          <w:szCs w:val="32"/>
          <w:highlight w:val="yellow"/>
          <w:lang w:val="en-US" w:eastAsia="zh-CN"/>
        </w:rPr>
      </w:pPr>
      <w:r>
        <w:rPr>
          <w:rFonts w:hint="eastAsia"/>
          <w:b/>
          <w:bCs/>
          <w:sz w:val="32"/>
          <w:szCs w:val="32"/>
          <w:lang w:val="en-US" w:eastAsia="zh-CN"/>
        </w:rPr>
        <w:t>七、中标后承包方签订合同需准备资料</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审查内容</w:t>
            </w:r>
          </w:p>
        </w:tc>
        <w:tc>
          <w:tcPr>
            <w:tcW w:w="642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营业执照</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法定代表人授权委托书及身份证</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5</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安全施工保证金</w:t>
            </w:r>
          </w:p>
        </w:tc>
        <w:tc>
          <w:tcPr>
            <w:tcW w:w="6428" w:type="dxa"/>
          </w:tcPr>
          <w:p>
            <w:pPr>
              <w:widowControl/>
              <w:rPr>
                <w:rFonts w:hint="eastAsia" w:ascii="仿宋" w:hAnsi="仿宋" w:eastAsia="仿宋" w:cs="仿宋"/>
                <w:bCs/>
                <w:sz w:val="21"/>
                <w:szCs w:val="21"/>
              </w:rPr>
            </w:pPr>
            <w:r>
              <w:rPr>
                <w:rFonts w:hint="eastAsia" w:ascii="仿宋" w:hAnsi="仿宋" w:eastAsia="仿宋" w:cs="仿宋"/>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6</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安全承诺</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7</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三项管理制度及生产安全事故应急救援预案</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8</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项目负责人、拟进场专（兼）职安全管理人员的证书及特种作业人员操作证</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9</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拟进场作业人员清单及身份证件</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10</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全体项目人员的安全教育培训考核记录</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11</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涉及职业禁忌症作业人员的健康体检证明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12</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涉及职业健康危害岗位人员的职业健康岗前体检证明</w:t>
            </w:r>
          </w:p>
        </w:tc>
        <w:tc>
          <w:tcPr>
            <w:tcW w:w="6428" w:type="dxa"/>
          </w:tcPr>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13</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拟进场作业人员缴纳工伤保险或人身意外伤害险证明</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1、提供的保险证明需由社保局或保险公司提供，并有社保局或保险公司印章。</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2、人身意外伤害险保额不应低于工伤保险一次性工亡补助金的额度。</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14</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拟进厂设备登记表</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15</w:t>
            </w:r>
          </w:p>
        </w:tc>
        <w:tc>
          <w:tcPr>
            <w:tcW w:w="1718" w:type="dxa"/>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Cs/>
                <w:sz w:val="21"/>
                <w:szCs w:val="21"/>
              </w:rPr>
              <w:t>安全施工（作业）方案</w:t>
            </w:r>
          </w:p>
        </w:tc>
        <w:tc>
          <w:tcPr>
            <w:tcW w:w="6428" w:type="dxa"/>
          </w:tcPr>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 xml:space="preserve">1、施工方案：安全管理网络、施工方式、作业流程、技术方案措施等； </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仿宋" w:hAnsi="仿宋" w:eastAsia="仿宋" w:cs="仿宋"/>
                <w:bCs/>
                <w:sz w:val="21"/>
                <w:szCs w:val="21"/>
              </w:rPr>
            </w:pPr>
            <w:r>
              <w:rPr>
                <w:rFonts w:hint="eastAsia" w:ascii="仿宋" w:hAnsi="仿宋" w:eastAsia="仿宋" w:cs="仿宋"/>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仿宋" w:hAnsi="仿宋" w:eastAsia="仿宋" w:cs="仿宋"/>
                <w:b/>
                <w:bCs/>
                <w:color w:val="000000"/>
                <w:kern w:val="0"/>
                <w:sz w:val="21"/>
                <w:szCs w:val="21"/>
              </w:rPr>
            </w:pPr>
            <w:r>
              <w:rPr>
                <w:rFonts w:hint="eastAsia" w:ascii="仿宋" w:hAnsi="仿宋" w:eastAsia="仿宋" w:cs="仿宋"/>
                <w:bCs/>
                <w:sz w:val="21"/>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keepNext w:val="0"/>
              <w:keepLines w:val="0"/>
              <w:widowControl/>
              <w:suppressLineNumbers w:val="0"/>
              <w:jc w:val="right"/>
              <w:textAlignment w:val="center"/>
              <w:rPr>
                <w:rFonts w:hint="eastAsia" w:ascii="仿宋" w:hAnsi="仿宋" w:eastAsia="仿宋" w:cs="仿宋"/>
                <w:b/>
                <w:bCs/>
                <w:color w:val="000000"/>
                <w:kern w:val="0"/>
                <w:sz w:val="21"/>
                <w:szCs w:val="21"/>
              </w:rPr>
            </w:pPr>
            <w:r>
              <w:rPr>
                <w:rFonts w:hint="eastAsia" w:ascii="宋体" w:hAnsi="宋体" w:eastAsia="宋体" w:cs="宋体"/>
                <w:i w:val="0"/>
                <w:iCs w:val="0"/>
                <w:color w:val="000000"/>
                <w:kern w:val="0"/>
                <w:sz w:val="22"/>
                <w:szCs w:val="22"/>
                <w:u w:val="none"/>
                <w:lang w:val="en-US" w:eastAsia="zh-CN" w:bidi="ar"/>
              </w:rPr>
              <w:t>16</w:t>
            </w:r>
          </w:p>
        </w:tc>
        <w:tc>
          <w:tcPr>
            <w:tcW w:w="1718" w:type="dxa"/>
            <w:vAlign w:val="center"/>
          </w:tcPr>
          <w:p>
            <w:pPr>
              <w:widowControl/>
              <w:jc w:val="center"/>
              <w:rPr>
                <w:rFonts w:hint="eastAsia" w:ascii="仿宋" w:hAnsi="仿宋" w:eastAsia="仿宋" w:cs="仿宋"/>
                <w:bCs/>
                <w:sz w:val="21"/>
                <w:szCs w:val="21"/>
              </w:rPr>
            </w:pPr>
            <w:r>
              <w:rPr>
                <w:rFonts w:hint="eastAsia" w:ascii="仿宋" w:hAnsi="仿宋" w:eastAsia="仿宋" w:cs="仿宋"/>
                <w:bCs/>
                <w:sz w:val="21"/>
                <w:szCs w:val="21"/>
              </w:rPr>
              <w:t>视具体情况需要审查的其他有关材料</w:t>
            </w:r>
          </w:p>
        </w:tc>
        <w:tc>
          <w:tcPr>
            <w:tcW w:w="6428" w:type="dxa"/>
          </w:tcPr>
          <w:p>
            <w:pPr>
              <w:widowControl/>
              <w:spacing w:line="340" w:lineRule="exact"/>
              <w:jc w:val="left"/>
              <w:rPr>
                <w:rFonts w:hint="eastAsia" w:ascii="仿宋" w:hAnsi="仿宋" w:eastAsia="仿宋" w:cs="仿宋"/>
                <w:bCs/>
                <w:sz w:val="21"/>
                <w:szCs w:val="21"/>
              </w:rPr>
            </w:pPr>
          </w:p>
        </w:tc>
      </w:tr>
    </w:tbl>
    <w:p>
      <w:pPr>
        <w:widowControl w:val="0"/>
        <w:numPr>
          <w:ilvl w:val="0"/>
          <w:numId w:val="0"/>
        </w:numPr>
        <w:jc w:val="both"/>
        <w:rPr>
          <w:rFonts w:hint="default"/>
          <w:b/>
          <w:bCs/>
          <w:sz w:val="32"/>
          <w:szCs w:val="32"/>
          <w:highlight w:val="yellow"/>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5BA3A"/>
    <w:multiLevelType w:val="singleLevel"/>
    <w:tmpl w:val="9F55BA3A"/>
    <w:lvl w:ilvl="0" w:tentative="0">
      <w:start w:val="1"/>
      <w:numFmt w:val="decimal"/>
      <w:suff w:val="space"/>
      <w:lvlText w:val="%1."/>
      <w:lvlJc w:val="left"/>
    </w:lvl>
  </w:abstractNum>
  <w:abstractNum w:abstractNumId="1">
    <w:nsid w:val="CB06A347"/>
    <w:multiLevelType w:val="singleLevel"/>
    <w:tmpl w:val="CB06A3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Tg3ZDA5MTlmZjAyMDYyYjY1MTU5MTU0YmE0MjIifQ=="/>
  </w:docVars>
  <w:rsids>
    <w:rsidRoot w:val="73E2521C"/>
    <w:rsid w:val="0A014251"/>
    <w:rsid w:val="0B6A796B"/>
    <w:rsid w:val="1FF7344C"/>
    <w:rsid w:val="277D4B1F"/>
    <w:rsid w:val="2D0D4DB7"/>
    <w:rsid w:val="2D6339C7"/>
    <w:rsid w:val="367018C5"/>
    <w:rsid w:val="492B3556"/>
    <w:rsid w:val="66164FFC"/>
    <w:rsid w:val="6B72067D"/>
    <w:rsid w:val="73E2521C"/>
    <w:rsid w:val="74AB0B6C"/>
    <w:rsid w:val="7E0C2712"/>
    <w:rsid w:val="7EF9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2068</Words>
  <Characters>2199</Characters>
  <Lines>0</Lines>
  <Paragraphs>0</Paragraphs>
  <TotalTime>4</TotalTime>
  <ScaleCrop>false</ScaleCrop>
  <LinksUpToDate>false</LinksUpToDate>
  <CharactersWithSpaces>2204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2022-12-04T10:31:00Z</dcterms:created>
  <dc:creator>沈</dc:creator>
  <cp:lastModifiedBy>沈</cp:lastModifiedBy>
  <dcterms:modified xsi:type="dcterms:W3CDTF">2023-04-27T08:48:25Z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ED93AF532A7045EFA4B54F7E4583A5B3_13</vt:lpwstr>
  </property>
</Properties>
</file>