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b/>
          <w:color w:val="000000"/>
          <w:sz w:val="44"/>
        </w:rPr>
      </w:pPr>
      <w:r>
        <w:rPr>
          <w:rFonts w:hint="eastAsia" w:ascii="仿宋" w:hAnsi="仿宋" w:eastAsia="仿宋" w:cs="仿宋"/>
          <w:b/>
          <w:color w:val="000000"/>
          <w:sz w:val="44"/>
        </w:rPr>
        <w:t>询价单</w:t>
      </w:r>
    </w:p>
    <w:p>
      <w:pPr>
        <w:pStyle w:val="15"/>
        <w:keepNext w:val="0"/>
        <w:keepLines w:val="0"/>
        <w:pageBreakBefore w:val="0"/>
        <w:kinsoku/>
        <w:wordWrap/>
        <w:overflowPunct/>
        <w:topLinePunct w:val="0"/>
        <w:autoSpaceDE/>
        <w:autoSpaceDN/>
        <w:bidi w:val="0"/>
        <w:adjustRightInd/>
        <w:snapToGrid/>
        <w:spacing w:line="400" w:lineRule="exact"/>
        <w:ind w:left="0" w:leftChars="0" w:firstLine="0" w:firstLineChars="0"/>
        <w:rPr>
          <w:rFonts w:hint="eastAsia" w:ascii="仿宋" w:hAnsi="仿宋" w:eastAsia="仿宋" w:cs="仿宋"/>
          <w:color w:val="000000"/>
          <w:sz w:val="28"/>
          <w:szCs w:val="28"/>
        </w:rPr>
      </w:pPr>
      <w:r>
        <w:rPr>
          <w:rFonts w:hint="eastAsia" w:ascii="仿宋" w:hAnsi="仿宋" w:eastAsia="仿宋" w:cs="仿宋"/>
          <w:b/>
          <w:bCs/>
          <w:color w:val="000000"/>
          <w:sz w:val="28"/>
          <w:szCs w:val="28"/>
        </w:rPr>
        <w:t>1</w:t>
      </w:r>
      <w:r>
        <w:rPr>
          <w:rFonts w:hint="eastAsia" w:ascii="仿宋" w:hAnsi="仿宋" w:eastAsia="仿宋" w:cs="仿宋"/>
          <w:b/>
          <w:bCs/>
          <w:color w:val="000000"/>
          <w:sz w:val="28"/>
          <w:szCs w:val="28"/>
          <w:lang w:val="en-US" w:eastAsia="zh-CN"/>
        </w:rPr>
        <w:t>.</w:t>
      </w:r>
      <w:r>
        <w:rPr>
          <w:rFonts w:hint="eastAsia" w:ascii="仿宋" w:hAnsi="仿宋" w:eastAsia="仿宋" w:cs="仿宋"/>
          <w:b/>
          <w:bCs/>
          <w:color w:val="000000"/>
          <w:sz w:val="28"/>
          <w:szCs w:val="28"/>
        </w:rPr>
        <w:t>范围：</w:t>
      </w:r>
      <w:r>
        <w:rPr>
          <w:rFonts w:hint="eastAsia" w:ascii="仿宋" w:hAnsi="仿宋" w:eastAsia="仿宋" w:cs="仿宋"/>
          <w:color w:val="000000"/>
          <w:kern w:val="0"/>
          <w:sz w:val="28"/>
          <w:szCs w:val="28"/>
          <w:lang w:val="en-US" w:eastAsia="zh-CN"/>
        </w:rPr>
        <w:t>彩钢建筑设施维修</w:t>
      </w:r>
      <w:r>
        <w:rPr>
          <w:rFonts w:hint="eastAsia" w:ascii="仿宋" w:hAnsi="仿宋" w:eastAsia="仿宋" w:cs="仿宋"/>
          <w:color w:val="000000"/>
          <w:sz w:val="28"/>
          <w:szCs w:val="28"/>
        </w:rPr>
        <w:t>(因刮大风致使损坏)</w:t>
      </w:r>
    </w:p>
    <w:p>
      <w:pPr>
        <w:pStyle w:val="15"/>
        <w:keepNext w:val="0"/>
        <w:keepLines w:val="0"/>
        <w:pageBreakBefore w:val="0"/>
        <w:kinsoku/>
        <w:wordWrap/>
        <w:overflowPunct/>
        <w:topLinePunct w:val="0"/>
        <w:autoSpaceDE/>
        <w:autoSpaceDN/>
        <w:bidi w:val="0"/>
        <w:adjustRightInd/>
        <w:snapToGrid/>
        <w:spacing w:line="400" w:lineRule="exact"/>
        <w:ind w:left="0" w:leftChars="0" w:firstLine="0" w:firstLineChars="0"/>
        <w:rPr>
          <w:rFonts w:hint="eastAsia" w:ascii="仿宋" w:hAnsi="仿宋" w:eastAsia="仿宋" w:cs="仿宋"/>
          <w:color w:val="000000"/>
          <w:sz w:val="28"/>
          <w:szCs w:val="28"/>
        </w:rPr>
      </w:pPr>
      <w:r>
        <w:rPr>
          <w:rFonts w:hint="eastAsia" w:ascii="仿宋" w:hAnsi="仿宋" w:eastAsia="仿宋" w:cs="仿宋"/>
          <w:b/>
          <w:bCs/>
          <w:color w:val="000000"/>
          <w:sz w:val="28"/>
          <w:szCs w:val="28"/>
        </w:rPr>
        <w:t>2</w:t>
      </w:r>
      <w:r>
        <w:rPr>
          <w:rFonts w:hint="eastAsia" w:ascii="仿宋" w:hAnsi="仿宋" w:eastAsia="仿宋" w:cs="仿宋"/>
          <w:b/>
          <w:bCs/>
          <w:color w:val="000000"/>
          <w:sz w:val="28"/>
          <w:szCs w:val="28"/>
          <w:lang w:val="en-US" w:eastAsia="zh-CN"/>
        </w:rPr>
        <w:t>.</w:t>
      </w:r>
      <w:r>
        <w:rPr>
          <w:rFonts w:hint="eastAsia" w:ascii="仿宋" w:hAnsi="仿宋" w:eastAsia="仿宋" w:cs="仿宋"/>
          <w:b/>
          <w:bCs/>
          <w:color w:val="000000"/>
          <w:sz w:val="28"/>
          <w:szCs w:val="28"/>
        </w:rPr>
        <w:t>地点：</w:t>
      </w:r>
      <w:r>
        <w:rPr>
          <w:rFonts w:hint="eastAsia" w:ascii="仿宋" w:hAnsi="仿宋" w:eastAsia="仿宋" w:cs="仿宋"/>
          <w:color w:val="000000"/>
          <w:sz w:val="28"/>
          <w:szCs w:val="28"/>
        </w:rPr>
        <w:t>邢台金隅冀</w:t>
      </w:r>
      <w:bookmarkStart w:id="0" w:name="_GoBack"/>
      <w:bookmarkEnd w:id="0"/>
      <w:r>
        <w:rPr>
          <w:rFonts w:hint="eastAsia" w:ascii="仿宋" w:hAnsi="仿宋" w:eastAsia="仿宋" w:cs="仿宋"/>
          <w:color w:val="000000"/>
          <w:sz w:val="28"/>
          <w:szCs w:val="28"/>
        </w:rPr>
        <w:t>东水泥有限公司</w:t>
      </w:r>
      <w:r>
        <w:rPr>
          <w:rFonts w:hint="eastAsia" w:ascii="仿宋" w:hAnsi="仿宋" w:eastAsia="仿宋" w:cs="仿宋"/>
          <w:color w:val="000000"/>
          <w:sz w:val="28"/>
          <w:szCs w:val="28"/>
          <w:lang w:val="en-US" w:eastAsia="zh-CN"/>
        </w:rPr>
        <w:t>牛山分公司</w:t>
      </w:r>
      <w:r>
        <w:rPr>
          <w:rFonts w:hint="eastAsia" w:ascii="仿宋" w:hAnsi="仿宋" w:eastAsia="仿宋" w:cs="仿宋"/>
          <w:color w:val="000000"/>
          <w:sz w:val="28"/>
          <w:szCs w:val="28"/>
        </w:rPr>
        <w:t>(下述简称“</w:t>
      </w:r>
      <w:r>
        <w:rPr>
          <w:rFonts w:hint="eastAsia" w:ascii="仿宋" w:hAnsi="仿宋" w:eastAsia="仿宋" w:cs="仿宋"/>
          <w:color w:val="000000"/>
          <w:sz w:val="28"/>
          <w:szCs w:val="28"/>
          <w:lang w:val="en-US" w:eastAsia="zh-CN"/>
        </w:rPr>
        <w:t>牛山分</w:t>
      </w:r>
      <w:r>
        <w:rPr>
          <w:rFonts w:hint="eastAsia" w:ascii="仿宋" w:hAnsi="仿宋" w:eastAsia="仿宋" w:cs="仿宋"/>
          <w:color w:val="000000"/>
          <w:sz w:val="28"/>
          <w:szCs w:val="28"/>
        </w:rPr>
        <w:t>公司”)</w:t>
      </w:r>
    </w:p>
    <w:p>
      <w:pPr>
        <w:pStyle w:val="15"/>
        <w:keepNext w:val="0"/>
        <w:keepLines w:val="0"/>
        <w:pageBreakBefore w:val="0"/>
        <w:kinsoku/>
        <w:wordWrap/>
        <w:overflowPunct/>
        <w:topLinePunct w:val="0"/>
        <w:autoSpaceDE/>
        <w:autoSpaceDN/>
        <w:bidi w:val="0"/>
        <w:adjustRightInd/>
        <w:snapToGrid/>
        <w:spacing w:line="400" w:lineRule="exact"/>
        <w:ind w:left="0" w:leftChars="0" w:firstLine="0" w:firstLineChars="0"/>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w:t>
      </w:r>
      <w:r>
        <w:rPr>
          <w:rFonts w:hint="eastAsia" w:ascii="仿宋" w:hAnsi="仿宋" w:eastAsia="仿宋" w:cs="仿宋"/>
          <w:b/>
          <w:bCs/>
          <w:color w:val="000000"/>
          <w:sz w:val="28"/>
          <w:szCs w:val="28"/>
          <w:lang w:val="en-US" w:eastAsia="zh-CN"/>
        </w:rPr>
        <w:t>.标的物、数量、价格</w:t>
      </w:r>
      <w:r>
        <w:rPr>
          <w:rFonts w:hint="eastAsia" w:ascii="仿宋" w:hAnsi="仿宋" w:eastAsia="仿宋" w:cs="仿宋"/>
          <w:b/>
          <w:bCs/>
          <w:color w:val="000000"/>
          <w:sz w:val="28"/>
          <w:szCs w:val="28"/>
        </w:rPr>
        <w:t>：</w:t>
      </w:r>
    </w:p>
    <w:tbl>
      <w:tblPr>
        <w:tblStyle w:val="9"/>
        <w:tblW w:w="50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848"/>
        <w:gridCol w:w="2147"/>
        <w:gridCol w:w="3467"/>
        <w:gridCol w:w="902"/>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24" w:hRule="atLeast"/>
        </w:trPr>
        <w:tc>
          <w:tcPr>
            <w:tcW w:w="473"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序号</w:t>
            </w:r>
          </w:p>
        </w:tc>
        <w:tc>
          <w:tcPr>
            <w:tcW w:w="119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sz w:val="28"/>
                <w:szCs w:val="28"/>
                <w:u w:val="none"/>
                <w:lang w:val="en-US"/>
              </w:rPr>
            </w:pPr>
            <w:r>
              <w:rPr>
                <w:rFonts w:hint="eastAsia" w:ascii="仿宋" w:hAnsi="仿宋" w:eastAsia="仿宋" w:cs="仿宋"/>
                <w:i w:val="0"/>
                <w:color w:val="000000"/>
                <w:kern w:val="0"/>
                <w:sz w:val="28"/>
                <w:szCs w:val="28"/>
                <w:u w:val="none"/>
                <w:lang w:val="en-US" w:eastAsia="zh-CN" w:bidi="ar"/>
              </w:rPr>
              <w:t>项目名称</w:t>
            </w:r>
          </w:p>
        </w:tc>
        <w:tc>
          <w:tcPr>
            <w:tcW w:w="1933"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default" w:ascii="仿宋" w:hAnsi="仿宋" w:eastAsia="仿宋" w:cs="仿宋"/>
                <w:i w:val="0"/>
                <w:color w:val="000000"/>
                <w:sz w:val="28"/>
                <w:szCs w:val="28"/>
                <w:u w:val="none"/>
                <w:lang w:val="en-US" w:eastAsia="zh-CN"/>
              </w:rPr>
            </w:pPr>
            <w:r>
              <w:rPr>
                <w:rFonts w:hint="eastAsia" w:ascii="仿宋" w:hAnsi="仿宋" w:eastAsia="仿宋" w:cs="仿宋"/>
                <w:i w:val="0"/>
                <w:color w:val="000000"/>
                <w:sz w:val="28"/>
                <w:szCs w:val="28"/>
                <w:u w:val="none"/>
                <w:lang w:val="en-US" w:eastAsia="zh-CN"/>
              </w:rPr>
              <w:t>维修范围及技术要求</w:t>
            </w:r>
          </w:p>
        </w:tc>
        <w:tc>
          <w:tcPr>
            <w:tcW w:w="503"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sz w:val="28"/>
                <w:szCs w:val="28"/>
                <w:u w:val="none"/>
                <w:lang w:val="en-US" w:eastAsia="zh-CN"/>
              </w:rPr>
              <w:t>数量</w:t>
            </w:r>
          </w:p>
        </w:tc>
        <w:tc>
          <w:tcPr>
            <w:tcW w:w="89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sz w:val="28"/>
                <w:szCs w:val="28"/>
                <w:u w:val="none"/>
                <w:lang w:val="en-US"/>
              </w:rPr>
            </w:pPr>
            <w:r>
              <w:rPr>
                <w:rFonts w:hint="eastAsia" w:ascii="仿宋" w:hAnsi="仿宋" w:eastAsia="仿宋" w:cs="仿宋"/>
                <w:i w:val="0"/>
                <w:color w:val="000000"/>
                <w:kern w:val="0"/>
                <w:sz w:val="28"/>
                <w:szCs w:val="28"/>
                <w:u w:val="none"/>
                <w:lang w:val="en-US" w:eastAsia="zh-CN" w:bidi="ar"/>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32" w:hRule="atLeast"/>
        </w:trPr>
        <w:tc>
          <w:tcPr>
            <w:tcW w:w="473"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1197"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建筑设施维修</w:t>
            </w:r>
          </w:p>
        </w:tc>
        <w:tc>
          <w:tcPr>
            <w:tcW w:w="1933"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详见附件1，板厚要求0.6mm厚，颜色按甲方原设计。</w:t>
            </w:r>
          </w:p>
        </w:tc>
        <w:tc>
          <w:tcPr>
            <w:tcW w:w="503"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sz w:val="28"/>
                <w:szCs w:val="28"/>
                <w:u w:val="none"/>
                <w:lang w:val="en-US"/>
              </w:rPr>
            </w:pPr>
            <w:r>
              <w:rPr>
                <w:rFonts w:hint="eastAsia" w:ascii="仿宋" w:hAnsi="仿宋" w:eastAsia="仿宋" w:cs="仿宋"/>
                <w:i w:val="0"/>
                <w:color w:val="000000"/>
                <w:kern w:val="0"/>
                <w:sz w:val="28"/>
                <w:szCs w:val="28"/>
                <w:u w:val="none"/>
                <w:lang w:val="en-US" w:eastAsia="zh-CN" w:bidi="ar"/>
              </w:rPr>
              <w:t>1项</w:t>
            </w:r>
          </w:p>
        </w:tc>
        <w:tc>
          <w:tcPr>
            <w:tcW w:w="891"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80" w:hRule="atLeast"/>
        </w:trPr>
        <w:tc>
          <w:tcPr>
            <w:tcW w:w="5000" w:type="pct"/>
            <w:gridSpan w:val="5"/>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lang w:val="en-US" w:eastAsia="zh-CN"/>
              </w:rPr>
            </w:pPr>
            <w:r>
              <w:rPr>
                <w:rFonts w:hint="eastAsia" w:ascii="仿宋" w:hAnsi="仿宋" w:eastAsia="仿宋" w:cs="仿宋"/>
                <w:i w:val="0"/>
                <w:color w:val="000000"/>
                <w:sz w:val="28"/>
                <w:szCs w:val="28"/>
                <w:u w:val="none"/>
                <w:lang w:val="en-US" w:eastAsia="zh-CN"/>
              </w:rPr>
              <w:t>总额（大写，人民币）：</w:t>
            </w:r>
            <w:r>
              <w:rPr>
                <w:rFonts w:hint="eastAsia" w:ascii="仿宋" w:hAnsi="仿宋" w:eastAsia="仿宋" w:cs="仿宋"/>
                <w:i w:val="0"/>
                <w:color w:val="000000"/>
                <w:sz w:val="28"/>
                <w:szCs w:val="28"/>
                <w:u w:val="single"/>
                <w:lang w:val="en-US" w:eastAsia="zh-CN"/>
              </w:rPr>
              <w:t xml:space="preserve">           </w:t>
            </w:r>
            <w:r>
              <w:rPr>
                <w:rFonts w:hint="eastAsia" w:ascii="仿宋" w:hAnsi="仿宋" w:eastAsia="仿宋" w:cs="仿宋"/>
                <w:i w:val="0"/>
                <w:color w:val="000000"/>
                <w:sz w:val="28"/>
                <w:szCs w:val="28"/>
                <w:u w:val="none"/>
                <w:lang w:val="en-US" w:eastAsia="zh-CN"/>
              </w:rPr>
              <w:t>元整，其中，不含税金额为</w:t>
            </w:r>
            <w:r>
              <w:rPr>
                <w:rFonts w:hint="eastAsia" w:ascii="仿宋" w:hAnsi="仿宋" w:eastAsia="仿宋" w:cs="仿宋"/>
                <w:i w:val="0"/>
                <w:color w:val="000000"/>
                <w:sz w:val="28"/>
                <w:szCs w:val="28"/>
                <w:u w:val="single"/>
                <w:lang w:val="en-US" w:eastAsia="zh-CN"/>
              </w:rPr>
              <w:t xml:space="preserve">          </w:t>
            </w:r>
            <w:r>
              <w:rPr>
                <w:rFonts w:hint="eastAsia" w:ascii="仿宋" w:hAnsi="仿宋" w:eastAsia="仿宋" w:cs="仿宋"/>
                <w:i w:val="0"/>
                <w:color w:val="000000"/>
                <w:sz w:val="28"/>
                <w:szCs w:val="28"/>
                <w:u w:val="none"/>
                <w:lang w:val="en-US" w:eastAsia="zh-CN"/>
              </w:rPr>
              <w:t>元，税额为</w:t>
            </w:r>
            <w:r>
              <w:rPr>
                <w:rFonts w:hint="eastAsia" w:ascii="仿宋" w:hAnsi="仿宋" w:eastAsia="仿宋" w:cs="仿宋"/>
                <w:i w:val="0"/>
                <w:color w:val="000000"/>
                <w:sz w:val="28"/>
                <w:szCs w:val="28"/>
                <w:u w:val="single"/>
                <w:lang w:val="en-US" w:eastAsia="zh-CN"/>
              </w:rPr>
              <w:t xml:space="preserve">            </w:t>
            </w:r>
            <w:r>
              <w:rPr>
                <w:rFonts w:hint="eastAsia" w:ascii="仿宋" w:hAnsi="仿宋" w:eastAsia="仿宋" w:cs="仿宋"/>
                <w:i w:val="0"/>
                <w:color w:val="000000"/>
                <w:sz w:val="28"/>
                <w:szCs w:val="28"/>
                <w:u w:val="none"/>
                <w:lang w:val="en-US" w:eastAsia="zh-CN"/>
              </w:rPr>
              <w:t>元。含 9%增值税专用发票。</w:t>
            </w:r>
          </w:p>
        </w:tc>
      </w:tr>
    </w:tbl>
    <w:p>
      <w:pPr>
        <w:pStyle w:val="15"/>
        <w:keepNext w:val="0"/>
        <w:keepLines w:val="0"/>
        <w:pageBreakBefore w:val="0"/>
        <w:kinsoku/>
        <w:wordWrap/>
        <w:overflowPunct/>
        <w:topLinePunct w:val="0"/>
        <w:autoSpaceDE/>
        <w:autoSpaceDN/>
        <w:bidi w:val="0"/>
        <w:adjustRightInd/>
        <w:snapToGrid/>
        <w:spacing w:line="400" w:lineRule="exact"/>
        <w:ind w:left="10" w:leftChars="0" w:firstLine="182" w:firstLineChars="65"/>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备注：总价包括①人工费②材料费（保温、蓝板及耗材全部）③机械费（含吊车费）④措施费⑤管理费⑥规费⑦合理利润⑧税金等</w:t>
      </w:r>
    </w:p>
    <w:p>
      <w:pPr>
        <w:pStyle w:val="15"/>
        <w:keepNext w:val="0"/>
        <w:keepLines w:val="0"/>
        <w:pageBreakBefore w:val="0"/>
        <w:kinsoku/>
        <w:wordWrap/>
        <w:overflowPunct/>
        <w:topLinePunct w:val="0"/>
        <w:autoSpaceDE/>
        <w:autoSpaceDN/>
        <w:bidi w:val="0"/>
        <w:adjustRightInd/>
        <w:snapToGrid/>
        <w:spacing w:line="400" w:lineRule="exact"/>
        <w:ind w:left="0" w:leftChars="0" w:firstLine="0" w:firstLineChars="0"/>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4.承包方式</w:t>
      </w:r>
    </w:p>
    <w:p>
      <w:pPr>
        <w:pStyle w:val="15"/>
        <w:keepNext w:val="0"/>
        <w:keepLines w:val="0"/>
        <w:pageBreakBefore w:val="0"/>
        <w:kinsoku/>
        <w:wordWrap/>
        <w:overflowPunct/>
        <w:topLinePunct w:val="0"/>
        <w:autoSpaceDE/>
        <w:autoSpaceDN/>
        <w:bidi w:val="0"/>
        <w:adjustRightInd/>
        <w:snapToGrid/>
        <w:spacing w:line="400" w:lineRule="exact"/>
        <w:ind w:left="10" w:leftChars="0" w:firstLine="182" w:firstLineChars="65"/>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1）合同采用包工包料固定总价合同。</w:t>
      </w:r>
    </w:p>
    <w:p>
      <w:pPr>
        <w:pStyle w:val="15"/>
        <w:keepNext w:val="0"/>
        <w:keepLines w:val="0"/>
        <w:pageBreakBefore w:val="0"/>
        <w:kinsoku/>
        <w:wordWrap/>
        <w:overflowPunct/>
        <w:topLinePunct w:val="0"/>
        <w:autoSpaceDE/>
        <w:autoSpaceDN/>
        <w:bidi w:val="0"/>
        <w:adjustRightInd/>
        <w:snapToGrid/>
        <w:spacing w:line="400" w:lineRule="exact"/>
        <w:ind w:left="10" w:leftChars="0" w:firstLine="182" w:firstLineChars="65"/>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2）报价前，承包单位负责甲方询价范围损坏部位维修恢复，乙方负责现场的勘察测量和工程量核算，并承揽工程量增减风险。</w:t>
      </w:r>
    </w:p>
    <w:p>
      <w:pPr>
        <w:pStyle w:val="15"/>
        <w:keepNext w:val="0"/>
        <w:keepLines w:val="0"/>
        <w:pageBreakBefore w:val="0"/>
        <w:kinsoku/>
        <w:wordWrap/>
        <w:overflowPunct/>
        <w:topLinePunct w:val="0"/>
        <w:autoSpaceDE/>
        <w:autoSpaceDN/>
        <w:bidi w:val="0"/>
        <w:adjustRightInd/>
        <w:snapToGrid/>
        <w:spacing w:line="400" w:lineRule="exact"/>
        <w:ind w:left="10" w:leftChars="0" w:firstLine="182" w:firstLineChars="65"/>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highlight w:val="yellow"/>
        </w:rPr>
        <w:t>现场查勘：</w:t>
      </w:r>
      <w:r>
        <w:rPr>
          <w:rFonts w:hint="eastAsia" w:ascii="仿宋" w:hAnsi="仿宋" w:eastAsia="仿宋" w:cs="仿宋"/>
          <w:color w:val="000000"/>
          <w:sz w:val="28"/>
          <w:szCs w:val="28"/>
        </w:rPr>
        <w:t>维修部位因地处分散且处于高空部位无法有效实地测量</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报价截止日前厂家可自行联系现场负责人进行现场查勘</w:t>
      </w:r>
      <w:r>
        <w:rPr>
          <w:rFonts w:hint="eastAsia" w:ascii="仿宋" w:hAnsi="仿宋" w:eastAsia="仿宋" w:cs="仿宋"/>
          <w:color w:val="000000"/>
          <w:sz w:val="28"/>
          <w:szCs w:val="28"/>
          <w:lang w:val="en-US" w:eastAsia="zh-CN"/>
        </w:rPr>
        <w:t>核实，并对最终报价负责。</w:t>
      </w:r>
    </w:p>
    <w:p>
      <w:pPr>
        <w:pStyle w:val="15"/>
        <w:keepNext w:val="0"/>
        <w:keepLines w:val="0"/>
        <w:pageBreakBefore w:val="0"/>
        <w:kinsoku/>
        <w:wordWrap/>
        <w:overflowPunct/>
        <w:topLinePunct w:val="0"/>
        <w:autoSpaceDE/>
        <w:autoSpaceDN/>
        <w:bidi w:val="0"/>
        <w:adjustRightInd/>
        <w:snapToGrid/>
        <w:spacing w:line="400" w:lineRule="exact"/>
        <w:ind w:left="10" w:leftChars="0" w:firstLine="182" w:firstLineChars="65"/>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4）资质要求，具有建筑工程及相关专业资质承揽能力和专业特种持证作业人员并入围企业方可参与，未入围者禁止参与。</w:t>
      </w:r>
    </w:p>
    <w:p>
      <w:pPr>
        <w:pStyle w:val="15"/>
        <w:keepNext w:val="0"/>
        <w:keepLines w:val="0"/>
        <w:pageBreakBefore w:val="0"/>
        <w:kinsoku/>
        <w:wordWrap/>
        <w:overflowPunct/>
        <w:topLinePunct w:val="0"/>
        <w:autoSpaceDE/>
        <w:autoSpaceDN/>
        <w:bidi w:val="0"/>
        <w:adjustRightInd/>
        <w:snapToGrid/>
        <w:spacing w:line="400" w:lineRule="exact"/>
        <w:ind w:left="10" w:leftChars="0" w:firstLine="183" w:firstLineChars="65"/>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5.</w:t>
      </w:r>
      <w:r>
        <w:rPr>
          <w:rFonts w:hint="eastAsia" w:ascii="仿宋" w:hAnsi="仿宋" w:eastAsia="仿宋" w:cs="仿宋"/>
          <w:b/>
          <w:bCs/>
          <w:color w:val="000000"/>
          <w:sz w:val="28"/>
          <w:szCs w:val="28"/>
        </w:rPr>
        <w:t>质量验收标准及技术要求</w:t>
      </w:r>
    </w:p>
    <w:p>
      <w:pPr>
        <w:pStyle w:val="15"/>
        <w:spacing w:line="440" w:lineRule="exact"/>
        <w:ind w:firstLine="48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1.质量、技术要求：按照原构筑物设施设计标准施工，施工质量和技术符合合同及国家质量验收标准，要求整体安装牢固美观、密封严密，并满足甲方的正常使用。</w:t>
      </w:r>
    </w:p>
    <w:p>
      <w:pPr>
        <w:pStyle w:val="15"/>
        <w:spacing w:line="440" w:lineRule="exact"/>
        <w:ind w:firstLine="482"/>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2.材料要求：彩钢板规格厚度0.6mm，搭接及接头处均以建筑密封膏封严，外观颜色按甲方原设计;保温:施工材料及厚度、及施工质量标注不低于原设计及现行执行标准，要求相冲突的，以最新为准。</w:t>
      </w:r>
    </w:p>
    <w:p>
      <w:pPr>
        <w:pStyle w:val="15"/>
        <w:keepNext w:val="0"/>
        <w:keepLines w:val="0"/>
        <w:pageBreakBefore w:val="0"/>
        <w:kinsoku/>
        <w:wordWrap/>
        <w:overflowPunct/>
        <w:topLinePunct w:val="0"/>
        <w:autoSpaceDE/>
        <w:autoSpaceDN/>
        <w:bidi w:val="0"/>
        <w:adjustRightInd/>
        <w:snapToGrid/>
        <w:spacing w:line="400" w:lineRule="exact"/>
        <w:ind w:left="0" w:leftChars="0" w:firstLine="560" w:firstLineChars="200"/>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验收依据</w:t>
      </w:r>
      <w:r>
        <w:rPr>
          <w:rFonts w:hint="eastAsia" w:ascii="仿宋" w:hAnsi="仿宋" w:eastAsia="仿宋" w:cs="仿宋"/>
          <w:color w:val="000000"/>
          <w:sz w:val="28"/>
          <w:szCs w:val="28"/>
          <w:lang w:eastAsia="zh-CN"/>
        </w:rPr>
        <w:t>：</w:t>
      </w:r>
    </w:p>
    <w:p>
      <w:pPr>
        <w:pStyle w:val="15"/>
        <w:keepNext w:val="0"/>
        <w:keepLines w:val="0"/>
        <w:pageBreakBefore w:val="0"/>
        <w:kinsoku/>
        <w:wordWrap/>
        <w:overflowPunct/>
        <w:topLinePunct w:val="0"/>
        <w:autoSpaceDE/>
        <w:autoSpaceDN/>
        <w:bidi w:val="0"/>
        <w:adjustRightInd/>
        <w:snapToGrid/>
        <w:spacing w:line="400" w:lineRule="exact"/>
        <w:ind w:left="0" w:leftChars="0" w:firstLine="560" w:firstLineChars="200"/>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《建筑工程施工质量验收统一标准》GB50300-2013</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与该工程有关现行国家或行业强制性施工质量验收规范及标</w:t>
      </w:r>
      <w:r>
        <w:rPr>
          <w:rFonts w:hint="eastAsia" w:ascii="仿宋" w:hAnsi="仿宋" w:eastAsia="仿宋" w:cs="仿宋"/>
          <w:color w:val="000000"/>
          <w:sz w:val="28"/>
          <w:szCs w:val="28"/>
          <w:lang w:eastAsia="zh-CN"/>
        </w:rPr>
        <w:t>。</w:t>
      </w:r>
    </w:p>
    <w:p>
      <w:pPr>
        <w:pStyle w:val="15"/>
        <w:keepNext w:val="0"/>
        <w:keepLines w:val="0"/>
        <w:pageBreakBefore w:val="0"/>
        <w:kinsoku/>
        <w:wordWrap/>
        <w:overflowPunct/>
        <w:topLinePunct w:val="0"/>
        <w:autoSpaceDE/>
        <w:autoSpaceDN/>
        <w:bidi w:val="0"/>
        <w:adjustRightInd/>
        <w:snapToGrid/>
        <w:spacing w:line="400" w:lineRule="exact"/>
        <w:ind w:left="0" w:leftChars="0" w:firstLine="0" w:firstLineChars="0"/>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6.质保期限</w:t>
      </w:r>
      <w:r>
        <w:rPr>
          <w:rFonts w:hint="eastAsia" w:ascii="仿宋" w:hAnsi="仿宋" w:eastAsia="仿宋" w:cs="仿宋"/>
          <w:b/>
          <w:bCs/>
          <w:color w:val="000000"/>
          <w:sz w:val="28"/>
          <w:szCs w:val="28"/>
        </w:rPr>
        <w:t>：</w:t>
      </w:r>
      <w:r>
        <w:rPr>
          <w:rFonts w:hint="eastAsia" w:ascii="仿宋" w:hAnsi="仿宋" w:eastAsia="仿宋" w:cs="仿宋"/>
          <w:color w:val="000000"/>
          <w:sz w:val="28"/>
          <w:szCs w:val="28"/>
        </w:rPr>
        <w:t>质保期</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年，质保期内出现的质量问题，乙方免费维修。</w:t>
      </w:r>
    </w:p>
    <w:p>
      <w:pPr>
        <w:pStyle w:val="15"/>
        <w:keepNext w:val="0"/>
        <w:keepLines w:val="0"/>
        <w:pageBreakBefore w:val="0"/>
        <w:kinsoku/>
        <w:wordWrap/>
        <w:overflowPunct/>
        <w:topLinePunct w:val="0"/>
        <w:autoSpaceDE/>
        <w:autoSpaceDN/>
        <w:bidi w:val="0"/>
        <w:adjustRightInd/>
        <w:snapToGrid/>
        <w:spacing w:line="400" w:lineRule="exact"/>
        <w:ind w:left="0" w:leftChars="0" w:firstLine="0" w:firstLineChars="0"/>
        <w:rPr>
          <w:rFonts w:hint="eastAsia" w:ascii="仿宋" w:hAnsi="仿宋" w:eastAsia="仿宋" w:cs="仿宋"/>
          <w:b/>
          <w:color w:val="000000"/>
          <w:sz w:val="28"/>
          <w:szCs w:val="28"/>
        </w:rPr>
      </w:pPr>
      <w:r>
        <w:rPr>
          <w:rFonts w:hint="eastAsia" w:ascii="仿宋" w:hAnsi="仿宋" w:eastAsia="仿宋" w:cs="仿宋"/>
          <w:b/>
          <w:bCs/>
          <w:color w:val="000000"/>
          <w:sz w:val="28"/>
          <w:szCs w:val="28"/>
          <w:lang w:val="en-US" w:eastAsia="zh-CN"/>
        </w:rPr>
        <w:t>7.</w:t>
      </w:r>
      <w:r>
        <w:rPr>
          <w:rFonts w:hint="eastAsia" w:ascii="仿宋" w:hAnsi="仿宋" w:eastAsia="仿宋" w:cs="仿宋"/>
          <w:b/>
          <w:bCs/>
          <w:color w:val="000000"/>
          <w:sz w:val="28"/>
          <w:szCs w:val="28"/>
        </w:rPr>
        <w:t>工期要求</w:t>
      </w:r>
      <w:r>
        <w:rPr>
          <w:rFonts w:hint="eastAsia" w:ascii="仿宋" w:hAnsi="仿宋" w:eastAsia="仿宋" w:cs="仿宋"/>
          <w:color w:val="000000"/>
          <w:sz w:val="28"/>
          <w:szCs w:val="28"/>
        </w:rPr>
        <w:t>：合同签订后甲方提前 3 日通知乙方，自乙方到厂之日起 15 日交工验收。</w:t>
      </w:r>
    </w:p>
    <w:p>
      <w:pPr>
        <w:pStyle w:val="15"/>
        <w:keepNext w:val="0"/>
        <w:keepLines w:val="0"/>
        <w:pageBreakBefore w:val="0"/>
        <w:numPr>
          <w:ilvl w:val="0"/>
          <w:numId w:val="0"/>
        </w:numPr>
        <w:kinsoku/>
        <w:wordWrap/>
        <w:overflowPunct/>
        <w:topLinePunct w:val="0"/>
        <w:autoSpaceDE/>
        <w:autoSpaceDN/>
        <w:bidi w:val="0"/>
        <w:adjustRightInd/>
        <w:snapToGrid/>
        <w:spacing w:line="400" w:lineRule="exact"/>
        <w:rPr>
          <w:rFonts w:hint="eastAsia" w:ascii="仿宋" w:hAnsi="仿宋" w:eastAsia="仿宋" w:cs="仿宋"/>
          <w:color w:val="000000"/>
          <w:sz w:val="28"/>
          <w:szCs w:val="28"/>
        </w:rPr>
      </w:pPr>
      <w:r>
        <w:rPr>
          <w:rFonts w:hint="eastAsia" w:ascii="仿宋" w:hAnsi="仿宋" w:eastAsia="仿宋" w:cs="仿宋"/>
          <w:b/>
          <w:bCs/>
          <w:color w:val="000000"/>
          <w:sz w:val="28"/>
          <w:szCs w:val="28"/>
          <w:lang w:val="en-US" w:eastAsia="zh-CN"/>
        </w:rPr>
        <w:t>8.付款方式：</w:t>
      </w:r>
      <w:r>
        <w:rPr>
          <w:rFonts w:hint="eastAsia" w:ascii="仿宋" w:hAnsi="仿宋" w:eastAsia="仿宋" w:cs="仿宋"/>
          <w:color w:val="000000"/>
          <w:sz w:val="28"/>
          <w:szCs w:val="28"/>
        </w:rPr>
        <w:t>施工完毕经甲方验收合格，并收到乙方开具全额增值税专用发票后，甲方付合同总额的 9</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 xml:space="preserve">%到乙方指定账户，剩余 </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%作为质保金，质保期满后无任何质量问题一次性无息付清。付款方式采用电汇或承兑。</w:t>
      </w:r>
    </w:p>
    <w:p>
      <w:pPr>
        <w:pStyle w:val="15"/>
        <w:numPr>
          <w:numId w:val="0"/>
        </w:numPr>
        <w:spacing w:line="440" w:lineRule="exact"/>
        <w:rPr>
          <w:rFonts w:hint="eastAsia" w:ascii="仿宋" w:hAnsi="仿宋" w:eastAsia="仿宋" w:cs="仿宋"/>
          <w:color w:val="000000"/>
          <w:sz w:val="28"/>
          <w:szCs w:val="28"/>
          <w:lang w:eastAsia="zh-CN"/>
        </w:rPr>
      </w:pPr>
      <w:r>
        <w:rPr>
          <w:rFonts w:hint="eastAsia" w:ascii="仿宋" w:hAnsi="仿宋" w:eastAsia="仿宋" w:cs="仿宋"/>
          <w:b/>
          <w:bCs/>
          <w:color w:val="000000"/>
          <w:sz w:val="28"/>
          <w:szCs w:val="28"/>
          <w:lang w:val="en-US" w:eastAsia="zh-CN"/>
        </w:rPr>
        <w:t>9.结算计量方式：</w:t>
      </w:r>
      <w:r>
        <w:rPr>
          <w:rFonts w:hint="eastAsia" w:ascii="仿宋" w:hAnsi="仿宋" w:eastAsia="仿宋" w:cs="仿宋"/>
          <w:b w:val="0"/>
          <w:bCs w:val="0"/>
          <w:color w:val="auto"/>
          <w:sz w:val="28"/>
          <w:szCs w:val="28"/>
          <w:lang w:val="en-US" w:eastAsia="zh-CN"/>
        </w:rPr>
        <w:t>采用固定总价合同，乙方承担维修部位工程量增减风险。</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10.甲乙双方责任和义务：</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15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（一）甲方义务：</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1.向乙方提供具备开展作业所需的作业场地，提供免费施工所需水、电乙方免费使用；</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2.甲方负责组织向乙方现场安全和技术进行交底；</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3.派代表负责施工协调联络；</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4.监督乙方施工进展情况和现场安全管理情况，发现安全隐患时，甲方有权让其停止施工，进行整改；</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5.按合同约定支付工程款。</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（二）乙方责任义务：</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1.乙方应严格按合同和设计图纸、现行国家施工规范及验收规范进行施工，以保证工程质量、进度；与甲方代表及时进行沟通、协调；</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2.乙方在施工作业中要安排专人负责现场施工的安全检查工作，非因甲方原因造成的人身伤亡事故，其责任与费用由乙方自行承担，甲方不承担任何责任与费用；</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3.服从甲方现场管理，做到现场作业安全、文明作业，保质保量按期完工，人走场地清；</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4.乙方负责施工</w:t>
      </w:r>
      <w:r>
        <w:rPr>
          <w:rFonts w:hint="eastAsia" w:ascii="仿宋" w:hAnsi="仿宋" w:eastAsia="仿宋" w:cs="仿宋"/>
          <w:color w:val="000000"/>
          <w:kern w:val="0"/>
          <w:sz w:val="28"/>
          <w:szCs w:val="28"/>
          <w:lang w:val="en-US" w:eastAsia="zh-CN"/>
        </w:rPr>
        <w:t>维修用工机具及</w:t>
      </w:r>
      <w:r>
        <w:rPr>
          <w:rFonts w:hint="eastAsia" w:ascii="仿宋" w:hAnsi="仿宋" w:eastAsia="仿宋" w:cs="仿宋"/>
          <w:color w:val="000000"/>
          <w:sz w:val="28"/>
          <w:szCs w:val="28"/>
          <w:lang w:val="en-US" w:eastAsia="zh-CN"/>
        </w:rPr>
        <w:t>主、辅材料（板材、密封胶等）；</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w:t>
      </w:r>
      <w:r>
        <w:rPr>
          <w:rFonts w:hint="eastAsia" w:ascii="仿宋" w:hAnsi="仿宋" w:eastAsia="仿宋" w:cs="仿宋"/>
          <w:color w:val="000000"/>
          <w:kern w:val="0"/>
          <w:sz w:val="28"/>
          <w:szCs w:val="28"/>
          <w:lang w:val="en-US" w:eastAsia="zh-CN"/>
        </w:rPr>
        <w:t>乙方自行负责吊装机械费用及搬运费用；</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638" w:firstLineChars="228"/>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6.合同范围内及保修期内免费保修。</w:t>
      </w:r>
    </w:p>
    <w:p>
      <w:pPr>
        <w:pStyle w:val="15"/>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仿宋" w:hAnsi="仿宋" w:eastAsia="仿宋" w:cs="仿宋"/>
          <w:color w:val="000000"/>
          <w:sz w:val="32"/>
          <w:szCs w:val="32"/>
          <w:lang w:val="en-US" w:eastAsia="zh-CN"/>
        </w:rPr>
      </w:pPr>
    </w:p>
    <w:p>
      <w:pPr>
        <w:pStyle w:val="15"/>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仿宋" w:hAnsi="仿宋" w:eastAsia="仿宋" w:cs="仿宋"/>
          <w:color w:val="000000"/>
          <w:sz w:val="32"/>
          <w:szCs w:val="32"/>
          <w:lang w:val="en-US" w:eastAsia="zh-CN"/>
        </w:rPr>
      </w:pPr>
    </w:p>
    <w:p>
      <w:pPr>
        <w:pStyle w:val="15"/>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仿宋" w:hAnsi="仿宋" w:eastAsia="仿宋" w:cs="仿宋"/>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Courier New"/>
          <w:b/>
          <w:bCs/>
          <w:color w:val="auto"/>
          <w:sz w:val="32"/>
          <w:szCs w:val="32"/>
        </w:rPr>
      </w:pPr>
      <w:r>
        <w:rPr>
          <w:rFonts w:hint="eastAsia" w:ascii="仿宋" w:hAnsi="仿宋" w:eastAsia="仿宋" w:cs="Courier New"/>
          <w:b/>
          <w:bCs/>
          <w:color w:val="auto"/>
          <w:sz w:val="32"/>
          <w:szCs w:val="32"/>
        </w:rPr>
        <w:t>附件：施工范围及</w:t>
      </w:r>
      <w:r>
        <w:rPr>
          <w:rFonts w:hint="eastAsia" w:ascii="仿宋" w:hAnsi="仿宋" w:eastAsia="仿宋" w:cs="Courier New"/>
          <w:b/>
          <w:bCs/>
          <w:color w:val="auto"/>
          <w:sz w:val="32"/>
          <w:szCs w:val="32"/>
          <w:lang w:val="en-US" w:eastAsia="zh-CN"/>
        </w:rPr>
        <w:t>工程</w:t>
      </w:r>
      <w:r>
        <w:rPr>
          <w:rFonts w:hint="eastAsia" w:ascii="仿宋" w:hAnsi="仿宋" w:eastAsia="仿宋" w:cs="Courier New"/>
          <w:b/>
          <w:bCs/>
          <w:color w:val="auto"/>
          <w:sz w:val="32"/>
          <w:szCs w:val="32"/>
        </w:rPr>
        <w:t>内容</w:t>
      </w:r>
    </w:p>
    <w:tbl>
      <w:tblPr>
        <w:tblStyle w:val="9"/>
        <w:tblW w:w="88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01"/>
        <w:gridCol w:w="627"/>
        <w:gridCol w:w="1330"/>
        <w:gridCol w:w="4369"/>
        <w:gridCol w:w="1011"/>
        <w:gridCol w:w="10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1" w:hRule="atLeast"/>
        </w:trPr>
        <w:tc>
          <w:tcPr>
            <w:tcW w:w="4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序号</w:t>
            </w:r>
          </w:p>
        </w:tc>
        <w:tc>
          <w:tcPr>
            <w:tcW w:w="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位置</w:t>
            </w:r>
          </w:p>
        </w:tc>
        <w:tc>
          <w:tcPr>
            <w:tcW w:w="13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损失情况描述</w:t>
            </w:r>
          </w:p>
        </w:tc>
        <w:tc>
          <w:tcPr>
            <w:tcW w:w="43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现场图片</w:t>
            </w: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8"/>
                <w:szCs w:val="28"/>
                <w:u w:val="none"/>
                <w:lang w:val="en-US"/>
              </w:rPr>
            </w:pPr>
            <w:r>
              <w:rPr>
                <w:rFonts w:hint="eastAsia" w:ascii="仿宋" w:hAnsi="仿宋" w:eastAsia="仿宋" w:cs="仿宋"/>
                <w:i w:val="0"/>
                <w:color w:val="000000"/>
                <w:kern w:val="0"/>
                <w:sz w:val="28"/>
                <w:szCs w:val="28"/>
                <w:u w:val="none"/>
                <w:lang w:val="en-US" w:eastAsia="zh-CN" w:bidi="ar"/>
              </w:rPr>
              <w:t>预估工程量</w:t>
            </w:r>
          </w:p>
        </w:tc>
        <w:tc>
          <w:tcPr>
            <w:tcW w:w="10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96" w:hRule="atLeast"/>
        </w:trPr>
        <w:tc>
          <w:tcPr>
            <w:tcW w:w="4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w:t>
            </w:r>
          </w:p>
        </w:tc>
        <w:tc>
          <w:tcPr>
            <w:tcW w:w="6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辅料堆棚</w:t>
            </w:r>
          </w:p>
        </w:tc>
        <w:tc>
          <w:tcPr>
            <w:tcW w:w="1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auto"/>
                <w:sz w:val="28"/>
                <w:szCs w:val="28"/>
                <w:u w:val="none"/>
              </w:rPr>
            </w:pPr>
            <w:r>
              <w:rPr>
                <w:rFonts w:hint="eastAsia" w:ascii="仿宋" w:hAnsi="仿宋" w:eastAsia="仿宋" w:cs="仿宋"/>
                <w:i w:val="0"/>
                <w:color w:val="auto"/>
                <w:kern w:val="0"/>
                <w:sz w:val="28"/>
                <w:szCs w:val="28"/>
                <w:u w:val="none"/>
                <w:lang w:val="en-US" w:eastAsia="zh-CN" w:bidi="ar"/>
              </w:rPr>
              <w:t>堆棚第14#立柱处彩钢板刮开。</w:t>
            </w:r>
          </w:p>
        </w:tc>
        <w:tc>
          <w:tcPr>
            <w:tcW w:w="4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8"/>
                <w:szCs w:val="28"/>
                <w:u w:val="none"/>
                <w:lang w:eastAsia="zh-CN"/>
              </w:rPr>
            </w:pPr>
            <w:r>
              <w:rPr>
                <w:rFonts w:hint="eastAsia" w:ascii="仿宋" w:hAnsi="仿宋" w:eastAsia="仿宋" w:cs="仿宋"/>
                <w:i w:val="0"/>
                <w:color w:val="auto"/>
                <w:sz w:val="28"/>
                <w:szCs w:val="28"/>
                <w:u w:val="none"/>
                <w:lang w:eastAsia="zh-CN"/>
              </w:rPr>
              <w:drawing>
                <wp:inline distT="0" distB="0" distL="114300" distR="114300">
                  <wp:extent cx="1212850" cy="1016635"/>
                  <wp:effectExtent l="0" t="0" r="6350" b="12065"/>
                  <wp:docPr id="11" name="图片 1" descr="3e71e67a812cb8e4b8b3d15fee0a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3e71e67a812cb8e4b8b3d15fee0a2ba"/>
                          <pic:cNvPicPr>
                            <a:picLocks noChangeAspect="1"/>
                          </pic:cNvPicPr>
                        </pic:nvPicPr>
                        <pic:blipFill>
                          <a:blip r:embed="rId6"/>
                          <a:stretch>
                            <a:fillRect/>
                          </a:stretch>
                        </pic:blipFill>
                        <pic:spPr>
                          <a:xfrm>
                            <a:off x="0" y="0"/>
                            <a:ext cx="1212850" cy="1016635"/>
                          </a:xfrm>
                          <a:prstGeom prst="rect">
                            <a:avLst/>
                          </a:prstGeom>
                          <a:noFill/>
                          <a:ln>
                            <a:noFill/>
                          </a:ln>
                        </pic:spPr>
                      </pic:pic>
                    </a:graphicData>
                  </a:graphic>
                </wp:inline>
              </w:drawing>
            </w:r>
            <w:r>
              <w:rPr>
                <w:rFonts w:hint="default" w:ascii="宋体" w:hAnsi="宋体" w:eastAsia="宋体" w:cs="宋体"/>
                <w:i w:val="0"/>
                <w:color w:val="auto"/>
                <w:sz w:val="24"/>
                <w:szCs w:val="24"/>
                <w:u w:val="none"/>
                <w:lang w:val="en-US" w:eastAsia="zh-CN"/>
              </w:rPr>
              <w:drawing>
                <wp:inline distT="0" distB="0" distL="114300" distR="114300">
                  <wp:extent cx="1249045" cy="1055370"/>
                  <wp:effectExtent l="0" t="0" r="8255" b="11430"/>
                  <wp:docPr id="5" name="图片 2" descr="397db209c6a97e17c5e3c7d5b3b9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397db209c6a97e17c5e3c7d5b3b95b0"/>
                          <pic:cNvPicPr>
                            <a:picLocks noChangeAspect="1"/>
                          </pic:cNvPicPr>
                        </pic:nvPicPr>
                        <pic:blipFill>
                          <a:blip r:embed="rId7"/>
                          <a:stretch>
                            <a:fillRect/>
                          </a:stretch>
                        </pic:blipFill>
                        <pic:spPr>
                          <a:xfrm>
                            <a:off x="0" y="0"/>
                            <a:ext cx="1249045" cy="1055370"/>
                          </a:xfrm>
                          <a:prstGeom prst="rect">
                            <a:avLst/>
                          </a:prstGeom>
                          <a:noFill/>
                          <a:ln>
                            <a:noFill/>
                          </a:ln>
                        </pic:spPr>
                      </pic:pic>
                    </a:graphicData>
                  </a:graphic>
                </wp:inline>
              </w:drawing>
            </w:r>
          </w:p>
        </w:tc>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12㎡</w:t>
            </w:r>
          </w:p>
        </w:tc>
        <w:tc>
          <w:tcPr>
            <w:tcW w:w="10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涉及高空作业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51" w:hRule="atLeast"/>
        </w:trPr>
        <w:tc>
          <w:tcPr>
            <w:tcW w:w="4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2</w:t>
            </w:r>
          </w:p>
        </w:tc>
        <w:tc>
          <w:tcPr>
            <w:tcW w:w="6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南门岗</w:t>
            </w:r>
          </w:p>
        </w:tc>
        <w:tc>
          <w:tcPr>
            <w:tcW w:w="1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办卡室钢化玻璃门坏</w:t>
            </w:r>
          </w:p>
        </w:tc>
        <w:tc>
          <w:tcPr>
            <w:tcW w:w="4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lang w:eastAsia="zh-CN"/>
              </w:rPr>
            </w:pPr>
            <w:r>
              <w:rPr>
                <w:rFonts w:hint="eastAsia" w:ascii="仿宋" w:hAnsi="仿宋" w:eastAsia="仿宋" w:cs="仿宋"/>
                <w:i w:val="0"/>
                <w:color w:val="000000"/>
                <w:sz w:val="28"/>
                <w:szCs w:val="28"/>
                <w:u w:val="none"/>
                <w:lang w:eastAsia="zh-CN"/>
              </w:rPr>
              <w:drawing>
                <wp:inline distT="0" distB="0" distL="114300" distR="114300">
                  <wp:extent cx="2000250" cy="1239520"/>
                  <wp:effectExtent l="0" t="0" r="0" b="17780"/>
                  <wp:docPr id="6" name="图片 3" descr="06877821b73fb672d9b6fe5a4450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06877821b73fb672d9b6fe5a44505b8"/>
                          <pic:cNvPicPr>
                            <a:picLocks noChangeAspect="1"/>
                          </pic:cNvPicPr>
                        </pic:nvPicPr>
                        <pic:blipFill>
                          <a:blip r:embed="rId8"/>
                          <a:stretch>
                            <a:fillRect/>
                          </a:stretch>
                        </pic:blipFill>
                        <pic:spPr>
                          <a:xfrm>
                            <a:off x="0" y="0"/>
                            <a:ext cx="2000250" cy="1239520"/>
                          </a:xfrm>
                          <a:prstGeom prst="rect">
                            <a:avLst/>
                          </a:prstGeom>
                          <a:noFill/>
                          <a:ln>
                            <a:noFill/>
                          </a:ln>
                        </pic:spPr>
                      </pic:pic>
                    </a:graphicData>
                  </a:graphic>
                </wp:inline>
              </w:drawing>
            </w:r>
          </w:p>
        </w:tc>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1.6㎡</w:t>
            </w:r>
          </w:p>
        </w:tc>
        <w:tc>
          <w:tcPr>
            <w:tcW w:w="10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kern w:val="0"/>
                <w:sz w:val="28"/>
                <w:szCs w:val="2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53" w:hRule="atLeast"/>
        </w:trPr>
        <w:tc>
          <w:tcPr>
            <w:tcW w:w="4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3</w:t>
            </w:r>
          </w:p>
        </w:tc>
        <w:tc>
          <w:tcPr>
            <w:tcW w:w="6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辅料新棚</w:t>
            </w:r>
          </w:p>
        </w:tc>
        <w:tc>
          <w:tcPr>
            <w:tcW w:w="1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料棚北侧顶部多处刮开且顶部支撑连接断开</w:t>
            </w:r>
          </w:p>
        </w:tc>
        <w:tc>
          <w:tcPr>
            <w:tcW w:w="4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drawing>
                <wp:inline distT="0" distB="0" distL="114300" distR="114300">
                  <wp:extent cx="682625" cy="1282065"/>
                  <wp:effectExtent l="0" t="0" r="3175" b="13335"/>
                  <wp:docPr id="9" name="图片 4" descr="a5de172900ada6160107c2bfa40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a5de172900ada6160107c2bfa405159"/>
                          <pic:cNvPicPr>
                            <a:picLocks noChangeAspect="1"/>
                          </pic:cNvPicPr>
                        </pic:nvPicPr>
                        <pic:blipFill>
                          <a:blip r:embed="rId9"/>
                          <a:stretch>
                            <a:fillRect/>
                          </a:stretch>
                        </pic:blipFill>
                        <pic:spPr>
                          <a:xfrm>
                            <a:off x="0" y="0"/>
                            <a:ext cx="682625" cy="1282065"/>
                          </a:xfrm>
                          <a:prstGeom prst="rect">
                            <a:avLst/>
                          </a:prstGeom>
                          <a:noFill/>
                          <a:ln>
                            <a:noFill/>
                          </a:ln>
                        </pic:spPr>
                      </pic:pic>
                    </a:graphicData>
                  </a:graphic>
                </wp:inline>
              </w:drawing>
            </w:r>
            <w:r>
              <w:rPr>
                <w:rFonts w:hint="default" w:ascii="宋体" w:hAnsi="宋体" w:eastAsia="宋体" w:cs="宋体"/>
                <w:i w:val="0"/>
                <w:color w:val="000000"/>
                <w:sz w:val="24"/>
                <w:szCs w:val="24"/>
                <w:u w:val="none"/>
                <w:lang w:val="en-US" w:eastAsia="zh-CN"/>
              </w:rPr>
              <w:drawing>
                <wp:inline distT="0" distB="0" distL="114300" distR="114300">
                  <wp:extent cx="721995" cy="1282700"/>
                  <wp:effectExtent l="0" t="0" r="1905" b="12700"/>
                  <wp:docPr id="7" name="图片 5" descr="a87c797cb867948cd7af5554dc2e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a87c797cb867948cd7af5554dc2e34f"/>
                          <pic:cNvPicPr>
                            <a:picLocks noChangeAspect="1"/>
                          </pic:cNvPicPr>
                        </pic:nvPicPr>
                        <pic:blipFill>
                          <a:blip r:embed="rId10"/>
                          <a:stretch>
                            <a:fillRect/>
                          </a:stretch>
                        </pic:blipFill>
                        <pic:spPr>
                          <a:xfrm>
                            <a:off x="0" y="0"/>
                            <a:ext cx="721995" cy="1282700"/>
                          </a:xfrm>
                          <a:prstGeom prst="rect">
                            <a:avLst/>
                          </a:prstGeom>
                          <a:noFill/>
                          <a:ln>
                            <a:noFill/>
                          </a:ln>
                        </pic:spPr>
                      </pic:pic>
                    </a:graphicData>
                  </a:graphic>
                </wp:inline>
              </w:drawing>
            </w:r>
            <w:r>
              <w:rPr>
                <w:rFonts w:hint="eastAsia" w:ascii="仿宋" w:hAnsi="仿宋" w:eastAsia="仿宋" w:cs="仿宋"/>
                <w:i w:val="0"/>
                <w:color w:val="000000"/>
                <w:kern w:val="0"/>
                <w:sz w:val="28"/>
                <w:szCs w:val="28"/>
                <w:u w:val="none"/>
                <w:lang w:val="en-US" w:eastAsia="zh-CN" w:bidi="ar"/>
              </w:rPr>
              <w:drawing>
                <wp:inline distT="0" distB="0" distL="114300" distR="114300">
                  <wp:extent cx="895985" cy="1259840"/>
                  <wp:effectExtent l="0" t="0" r="18415" b="16510"/>
                  <wp:docPr id="8" name="图片 6" descr="15819fd778d4e68ecde81dad92ca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15819fd778d4e68ecde81dad92ca79b"/>
                          <pic:cNvPicPr>
                            <a:picLocks noChangeAspect="1"/>
                          </pic:cNvPicPr>
                        </pic:nvPicPr>
                        <pic:blipFill>
                          <a:blip r:embed="rId11"/>
                          <a:stretch>
                            <a:fillRect/>
                          </a:stretch>
                        </pic:blipFill>
                        <pic:spPr>
                          <a:xfrm>
                            <a:off x="0" y="0"/>
                            <a:ext cx="895985" cy="1259840"/>
                          </a:xfrm>
                          <a:prstGeom prst="rect">
                            <a:avLst/>
                          </a:prstGeom>
                          <a:noFill/>
                          <a:ln>
                            <a:noFill/>
                          </a:ln>
                        </pic:spPr>
                      </pic:pic>
                    </a:graphicData>
                  </a:graphic>
                </wp:inline>
              </w:drawing>
            </w:r>
          </w:p>
        </w:tc>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14㎡</w:t>
            </w:r>
          </w:p>
        </w:tc>
        <w:tc>
          <w:tcPr>
            <w:tcW w:w="10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涉及高空作业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4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4</w:t>
            </w:r>
          </w:p>
        </w:tc>
        <w:tc>
          <w:tcPr>
            <w:tcW w:w="6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预热器出口管道</w:t>
            </w:r>
          </w:p>
        </w:tc>
        <w:tc>
          <w:tcPr>
            <w:tcW w:w="13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出口管道保温层刮开</w:t>
            </w:r>
          </w:p>
        </w:tc>
        <w:tc>
          <w:tcPr>
            <w:tcW w:w="4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drawing>
                <wp:inline distT="0" distB="0" distL="114300" distR="114300">
                  <wp:extent cx="1097915" cy="1324610"/>
                  <wp:effectExtent l="0" t="0" r="6985" b="8890"/>
                  <wp:docPr id="10" name="图片 7" descr="aa79690873337a1819afb18d10bd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aa79690873337a1819afb18d10bde4a"/>
                          <pic:cNvPicPr>
                            <a:picLocks noChangeAspect="1"/>
                          </pic:cNvPicPr>
                        </pic:nvPicPr>
                        <pic:blipFill>
                          <a:blip r:embed="rId12"/>
                          <a:stretch>
                            <a:fillRect/>
                          </a:stretch>
                        </pic:blipFill>
                        <pic:spPr>
                          <a:xfrm>
                            <a:off x="0" y="0"/>
                            <a:ext cx="1097915" cy="1324610"/>
                          </a:xfrm>
                          <a:prstGeom prst="rect">
                            <a:avLst/>
                          </a:prstGeom>
                          <a:noFill/>
                          <a:ln>
                            <a:noFill/>
                          </a:ln>
                        </pic:spPr>
                      </pic:pic>
                    </a:graphicData>
                  </a:graphic>
                </wp:inline>
              </w:drawing>
            </w:r>
            <w:r>
              <w:rPr>
                <w:rFonts w:hint="eastAsia" w:ascii="仿宋" w:hAnsi="仿宋" w:eastAsia="仿宋" w:cs="仿宋"/>
                <w:i w:val="0"/>
                <w:color w:val="000000"/>
                <w:kern w:val="0"/>
                <w:sz w:val="28"/>
                <w:szCs w:val="28"/>
                <w:u w:val="none"/>
                <w:lang w:val="en-US" w:eastAsia="zh-CN" w:bidi="ar"/>
              </w:rPr>
              <w:drawing>
                <wp:inline distT="0" distB="0" distL="114300" distR="114300">
                  <wp:extent cx="1171575" cy="1327785"/>
                  <wp:effectExtent l="0" t="0" r="9525" b="5715"/>
                  <wp:docPr id="12" name="图片 8" descr="d408e94123f901ded2ff2fc59030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d408e94123f901ded2ff2fc590306ec"/>
                          <pic:cNvPicPr>
                            <a:picLocks noChangeAspect="1"/>
                          </pic:cNvPicPr>
                        </pic:nvPicPr>
                        <pic:blipFill>
                          <a:blip r:embed="rId13"/>
                          <a:stretch>
                            <a:fillRect/>
                          </a:stretch>
                        </pic:blipFill>
                        <pic:spPr>
                          <a:xfrm>
                            <a:off x="0" y="0"/>
                            <a:ext cx="1171575" cy="1327785"/>
                          </a:xfrm>
                          <a:prstGeom prst="rect">
                            <a:avLst/>
                          </a:prstGeom>
                          <a:noFill/>
                          <a:ln>
                            <a:noFill/>
                          </a:ln>
                        </pic:spPr>
                      </pic:pic>
                    </a:graphicData>
                  </a:graphic>
                </wp:inline>
              </w:drawing>
            </w:r>
          </w:p>
        </w:tc>
        <w:tc>
          <w:tcPr>
            <w:tcW w:w="10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21㎡</w:t>
            </w:r>
          </w:p>
        </w:tc>
        <w:tc>
          <w:tcPr>
            <w:tcW w:w="10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涉及高空作业</w:t>
            </w:r>
          </w:p>
        </w:tc>
      </w:tr>
    </w:tbl>
    <w:p>
      <w:pPr>
        <w:pStyle w:val="15"/>
        <w:spacing w:line="520" w:lineRule="exact"/>
        <w:ind w:firstLine="480"/>
        <w:rPr>
          <w:rFonts w:hint="eastAsia" w:ascii="宋体" w:hAnsi="宋体" w:eastAsia="宋体"/>
          <w:b/>
          <w:bCs/>
          <w:color w:val="000000"/>
          <w:sz w:val="24"/>
          <w:lang w:eastAsia="zh-CN"/>
        </w:rPr>
      </w:pPr>
      <w:r>
        <w:rPr>
          <w:rFonts w:hint="eastAsia" w:ascii="宋体" w:hAnsi="宋体"/>
          <w:b/>
          <w:bCs/>
          <w:color w:val="000000"/>
          <w:sz w:val="24"/>
        </w:rPr>
        <w:t>备注：</w:t>
      </w:r>
      <w:r>
        <w:rPr>
          <w:rFonts w:hint="eastAsia" w:ascii="宋体" w:hAnsi="宋体"/>
          <w:b/>
          <w:bCs/>
          <w:color w:val="000000"/>
          <w:sz w:val="24"/>
          <w:lang w:val="en-US" w:eastAsia="zh-CN"/>
        </w:rPr>
        <w:t>乙方</w:t>
      </w:r>
      <w:r>
        <w:rPr>
          <w:rFonts w:hint="eastAsia" w:ascii="宋体" w:hAnsi="宋体"/>
          <w:b/>
          <w:bCs/>
          <w:color w:val="000000"/>
          <w:sz w:val="24"/>
        </w:rPr>
        <w:t>负责甲方</w:t>
      </w:r>
      <w:r>
        <w:rPr>
          <w:rFonts w:hint="eastAsia" w:ascii="宋体" w:hAnsi="宋体"/>
          <w:b/>
          <w:bCs/>
          <w:color w:val="000000"/>
          <w:sz w:val="24"/>
          <w:lang w:val="en-US" w:eastAsia="zh-CN"/>
        </w:rPr>
        <w:t>暂估施工</w:t>
      </w:r>
      <w:r>
        <w:rPr>
          <w:rFonts w:hint="eastAsia" w:ascii="宋体" w:hAnsi="宋体"/>
          <w:b/>
          <w:bCs/>
          <w:color w:val="000000"/>
          <w:sz w:val="24"/>
        </w:rPr>
        <w:t>范围</w:t>
      </w:r>
      <w:r>
        <w:rPr>
          <w:rFonts w:hint="eastAsia" w:ascii="宋体" w:hAnsi="宋体"/>
          <w:b/>
          <w:bCs/>
          <w:color w:val="000000"/>
          <w:sz w:val="24"/>
          <w:lang w:val="en-US" w:eastAsia="zh-CN"/>
        </w:rPr>
        <w:t>工程的</w:t>
      </w:r>
      <w:r>
        <w:rPr>
          <w:rFonts w:hint="eastAsia" w:ascii="宋体" w:hAnsi="宋体"/>
          <w:b/>
          <w:bCs/>
          <w:color w:val="000000"/>
          <w:sz w:val="24"/>
        </w:rPr>
        <w:t>损坏部位维修恢复，乙方现场测量和统计，并承揽工程量增减风险</w:t>
      </w:r>
      <w:r>
        <w:rPr>
          <w:rFonts w:hint="eastAsia" w:ascii="宋体" w:hAnsi="宋体"/>
          <w:b/>
          <w:bCs/>
          <w:color w:val="000000"/>
          <w:sz w:val="24"/>
          <w:lang w:eastAsia="zh-CN"/>
        </w:rPr>
        <w:t>。</w:t>
      </w:r>
    </w:p>
    <w:p>
      <w:pPr>
        <w:pStyle w:val="15"/>
        <w:keepNext w:val="0"/>
        <w:keepLines w:val="0"/>
        <w:pageBreakBefore w:val="0"/>
        <w:numPr>
          <w:ilvl w:val="0"/>
          <w:numId w:val="0"/>
        </w:numPr>
        <w:kinsoku/>
        <w:wordWrap/>
        <w:overflowPunct/>
        <w:topLinePunct w:val="0"/>
        <w:autoSpaceDE/>
        <w:autoSpaceDN/>
        <w:bidi w:val="0"/>
        <w:adjustRightInd/>
        <w:snapToGrid/>
        <w:spacing w:line="240" w:lineRule="auto"/>
        <w:rPr>
          <w:rFonts w:hint="default" w:ascii="仿宋" w:hAnsi="仿宋" w:eastAsia="仿宋" w:cs="仿宋"/>
          <w:color w:val="000000"/>
          <w:sz w:val="32"/>
          <w:szCs w:val="32"/>
          <w:lang w:val="en-US" w:eastAsia="zh-CN"/>
        </w:rPr>
      </w:pPr>
    </w:p>
    <w:sectPr>
      <w:headerReference r:id="rId3" w:type="default"/>
      <w:footerReference r:id="rId4" w:type="default"/>
      <w:pgSz w:w="11906" w:h="16838"/>
      <w:pgMar w:top="1440" w:right="128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auto" w:sz="4" w:space="1"/>
      </w:pBdr>
      <w:jc w:val="center"/>
    </w:pP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w:t>
    </w:r>
    <w:r>
      <w:rPr>
        <w:b/>
        <w:bCs/>
        <w:sz w:val="24"/>
        <w:szCs w:val="24"/>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ind w:right="180"/>
      <w:jc w:val="right"/>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7D7"/>
    <w:rsid w:val="000007B4"/>
    <w:rsid w:val="000049A3"/>
    <w:rsid w:val="00021E8C"/>
    <w:rsid w:val="00027EE1"/>
    <w:rsid w:val="000318A4"/>
    <w:rsid w:val="00032FAA"/>
    <w:rsid w:val="00053BDA"/>
    <w:rsid w:val="000561B4"/>
    <w:rsid w:val="00060638"/>
    <w:rsid w:val="00064724"/>
    <w:rsid w:val="00071CCC"/>
    <w:rsid w:val="00072325"/>
    <w:rsid w:val="00073A41"/>
    <w:rsid w:val="0007531E"/>
    <w:rsid w:val="0007726D"/>
    <w:rsid w:val="000839E8"/>
    <w:rsid w:val="00092BB6"/>
    <w:rsid w:val="00094B5C"/>
    <w:rsid w:val="000975EA"/>
    <w:rsid w:val="000A1C80"/>
    <w:rsid w:val="000A2080"/>
    <w:rsid w:val="000A6664"/>
    <w:rsid w:val="000A79F2"/>
    <w:rsid w:val="000B23FF"/>
    <w:rsid w:val="000D224C"/>
    <w:rsid w:val="000D267C"/>
    <w:rsid w:val="000E2E87"/>
    <w:rsid w:val="000E35E7"/>
    <w:rsid w:val="000F0C3F"/>
    <w:rsid w:val="000F367F"/>
    <w:rsid w:val="000F4D45"/>
    <w:rsid w:val="001104CF"/>
    <w:rsid w:val="001113FB"/>
    <w:rsid w:val="001124F4"/>
    <w:rsid w:val="00112BFF"/>
    <w:rsid w:val="00126D90"/>
    <w:rsid w:val="00127D7F"/>
    <w:rsid w:val="00130AC8"/>
    <w:rsid w:val="0013409F"/>
    <w:rsid w:val="0013447C"/>
    <w:rsid w:val="0013535B"/>
    <w:rsid w:val="00135E07"/>
    <w:rsid w:val="00141142"/>
    <w:rsid w:val="0015435D"/>
    <w:rsid w:val="0015513F"/>
    <w:rsid w:val="001632C7"/>
    <w:rsid w:val="00170A26"/>
    <w:rsid w:val="00176227"/>
    <w:rsid w:val="00185DEE"/>
    <w:rsid w:val="0019435D"/>
    <w:rsid w:val="0019642F"/>
    <w:rsid w:val="001A0951"/>
    <w:rsid w:val="001A2512"/>
    <w:rsid w:val="001B0673"/>
    <w:rsid w:val="001B5EDD"/>
    <w:rsid w:val="001B7D0D"/>
    <w:rsid w:val="001D0605"/>
    <w:rsid w:val="001F04C3"/>
    <w:rsid w:val="001F05DA"/>
    <w:rsid w:val="0020037C"/>
    <w:rsid w:val="0020199B"/>
    <w:rsid w:val="00211164"/>
    <w:rsid w:val="00211864"/>
    <w:rsid w:val="00214590"/>
    <w:rsid w:val="002154AB"/>
    <w:rsid w:val="0022139E"/>
    <w:rsid w:val="00225494"/>
    <w:rsid w:val="002360D0"/>
    <w:rsid w:val="0024682D"/>
    <w:rsid w:val="002509DB"/>
    <w:rsid w:val="002515F3"/>
    <w:rsid w:val="002632A4"/>
    <w:rsid w:val="00263D78"/>
    <w:rsid w:val="00267354"/>
    <w:rsid w:val="00271747"/>
    <w:rsid w:val="00272917"/>
    <w:rsid w:val="00282BA6"/>
    <w:rsid w:val="002843E0"/>
    <w:rsid w:val="00287BA6"/>
    <w:rsid w:val="00290163"/>
    <w:rsid w:val="00291D23"/>
    <w:rsid w:val="002937AF"/>
    <w:rsid w:val="002B5A7E"/>
    <w:rsid w:val="002C2655"/>
    <w:rsid w:val="002C5BE0"/>
    <w:rsid w:val="002D494E"/>
    <w:rsid w:val="002E1833"/>
    <w:rsid w:val="002E25CC"/>
    <w:rsid w:val="002E638C"/>
    <w:rsid w:val="002F7671"/>
    <w:rsid w:val="002F7C47"/>
    <w:rsid w:val="002F7E93"/>
    <w:rsid w:val="003035D6"/>
    <w:rsid w:val="00307276"/>
    <w:rsid w:val="00320C2D"/>
    <w:rsid w:val="003317D7"/>
    <w:rsid w:val="00334AF7"/>
    <w:rsid w:val="003378E3"/>
    <w:rsid w:val="00337D58"/>
    <w:rsid w:val="00344396"/>
    <w:rsid w:val="00346FFE"/>
    <w:rsid w:val="00353BCC"/>
    <w:rsid w:val="00356F5F"/>
    <w:rsid w:val="00362A0C"/>
    <w:rsid w:val="00364BE9"/>
    <w:rsid w:val="00366DC9"/>
    <w:rsid w:val="00371716"/>
    <w:rsid w:val="003727A8"/>
    <w:rsid w:val="00380AFD"/>
    <w:rsid w:val="00381DF5"/>
    <w:rsid w:val="003914A8"/>
    <w:rsid w:val="003A1BA7"/>
    <w:rsid w:val="003A2AB2"/>
    <w:rsid w:val="003A3144"/>
    <w:rsid w:val="003B4DBA"/>
    <w:rsid w:val="003B523E"/>
    <w:rsid w:val="003D343E"/>
    <w:rsid w:val="003D7E32"/>
    <w:rsid w:val="003E4FA9"/>
    <w:rsid w:val="003F79AA"/>
    <w:rsid w:val="004022DD"/>
    <w:rsid w:val="00402FAD"/>
    <w:rsid w:val="0040425A"/>
    <w:rsid w:val="00407ECD"/>
    <w:rsid w:val="00412392"/>
    <w:rsid w:val="00412E6B"/>
    <w:rsid w:val="00414B6A"/>
    <w:rsid w:val="00424962"/>
    <w:rsid w:val="004255F1"/>
    <w:rsid w:val="00427C8C"/>
    <w:rsid w:val="004308EB"/>
    <w:rsid w:val="004314F9"/>
    <w:rsid w:val="00434865"/>
    <w:rsid w:val="00443D96"/>
    <w:rsid w:val="00446BE2"/>
    <w:rsid w:val="0045489A"/>
    <w:rsid w:val="00461F19"/>
    <w:rsid w:val="00474241"/>
    <w:rsid w:val="00474806"/>
    <w:rsid w:val="00476684"/>
    <w:rsid w:val="00481631"/>
    <w:rsid w:val="00481899"/>
    <w:rsid w:val="00481F60"/>
    <w:rsid w:val="00484A27"/>
    <w:rsid w:val="004908F1"/>
    <w:rsid w:val="00497646"/>
    <w:rsid w:val="004A5306"/>
    <w:rsid w:val="004A7AF7"/>
    <w:rsid w:val="004B5E8B"/>
    <w:rsid w:val="004B7EC0"/>
    <w:rsid w:val="004C751F"/>
    <w:rsid w:val="004C78FF"/>
    <w:rsid w:val="004D0B52"/>
    <w:rsid w:val="004D1392"/>
    <w:rsid w:val="004D7E9E"/>
    <w:rsid w:val="004F434E"/>
    <w:rsid w:val="004F6B50"/>
    <w:rsid w:val="00505AC4"/>
    <w:rsid w:val="00514C0F"/>
    <w:rsid w:val="00522417"/>
    <w:rsid w:val="005247D8"/>
    <w:rsid w:val="005301D8"/>
    <w:rsid w:val="00536B48"/>
    <w:rsid w:val="005457BA"/>
    <w:rsid w:val="00560A69"/>
    <w:rsid w:val="00571B4F"/>
    <w:rsid w:val="005728A1"/>
    <w:rsid w:val="00582DED"/>
    <w:rsid w:val="005871E2"/>
    <w:rsid w:val="00597C0C"/>
    <w:rsid w:val="005A12B3"/>
    <w:rsid w:val="005A37F2"/>
    <w:rsid w:val="005A48DF"/>
    <w:rsid w:val="005A788C"/>
    <w:rsid w:val="005B24FD"/>
    <w:rsid w:val="005B2BC2"/>
    <w:rsid w:val="005C090A"/>
    <w:rsid w:val="005C4234"/>
    <w:rsid w:val="005C71B5"/>
    <w:rsid w:val="005D04BA"/>
    <w:rsid w:val="005D141B"/>
    <w:rsid w:val="005D3EF9"/>
    <w:rsid w:val="005D7DA6"/>
    <w:rsid w:val="005E16E9"/>
    <w:rsid w:val="005E2E6E"/>
    <w:rsid w:val="005F0EA1"/>
    <w:rsid w:val="005F4835"/>
    <w:rsid w:val="00613064"/>
    <w:rsid w:val="00632CC1"/>
    <w:rsid w:val="006338EE"/>
    <w:rsid w:val="00645B77"/>
    <w:rsid w:val="0065799E"/>
    <w:rsid w:val="006629DC"/>
    <w:rsid w:val="00665E0E"/>
    <w:rsid w:val="0067292A"/>
    <w:rsid w:val="00682478"/>
    <w:rsid w:val="006848F6"/>
    <w:rsid w:val="00687793"/>
    <w:rsid w:val="00693AC7"/>
    <w:rsid w:val="006A35F0"/>
    <w:rsid w:val="006A50F8"/>
    <w:rsid w:val="006C0454"/>
    <w:rsid w:val="006C2EDF"/>
    <w:rsid w:val="006D30E3"/>
    <w:rsid w:val="006D5DCD"/>
    <w:rsid w:val="006D6418"/>
    <w:rsid w:val="006D7145"/>
    <w:rsid w:val="006E59FB"/>
    <w:rsid w:val="006F4B3C"/>
    <w:rsid w:val="0070361D"/>
    <w:rsid w:val="00704F60"/>
    <w:rsid w:val="007051A2"/>
    <w:rsid w:val="00713619"/>
    <w:rsid w:val="00714B03"/>
    <w:rsid w:val="0071511E"/>
    <w:rsid w:val="0073368D"/>
    <w:rsid w:val="0073697C"/>
    <w:rsid w:val="007377E0"/>
    <w:rsid w:val="00737C72"/>
    <w:rsid w:val="00741E73"/>
    <w:rsid w:val="0074394A"/>
    <w:rsid w:val="0075243A"/>
    <w:rsid w:val="007557BB"/>
    <w:rsid w:val="00761952"/>
    <w:rsid w:val="00762441"/>
    <w:rsid w:val="00763BD0"/>
    <w:rsid w:val="00772827"/>
    <w:rsid w:val="00773F98"/>
    <w:rsid w:val="00781984"/>
    <w:rsid w:val="007945FB"/>
    <w:rsid w:val="007A7D57"/>
    <w:rsid w:val="007D1DE8"/>
    <w:rsid w:val="007E5289"/>
    <w:rsid w:val="007E753C"/>
    <w:rsid w:val="007F0047"/>
    <w:rsid w:val="007F19C3"/>
    <w:rsid w:val="007F26C6"/>
    <w:rsid w:val="007F3444"/>
    <w:rsid w:val="007F6957"/>
    <w:rsid w:val="008043B5"/>
    <w:rsid w:val="008069BF"/>
    <w:rsid w:val="0081211B"/>
    <w:rsid w:val="00814851"/>
    <w:rsid w:val="00830179"/>
    <w:rsid w:val="00832569"/>
    <w:rsid w:val="00832976"/>
    <w:rsid w:val="008342D2"/>
    <w:rsid w:val="008502E0"/>
    <w:rsid w:val="008516A0"/>
    <w:rsid w:val="008658D1"/>
    <w:rsid w:val="00867DFC"/>
    <w:rsid w:val="00871B58"/>
    <w:rsid w:val="00875B69"/>
    <w:rsid w:val="008771CD"/>
    <w:rsid w:val="00880D27"/>
    <w:rsid w:val="00885780"/>
    <w:rsid w:val="0089214B"/>
    <w:rsid w:val="008A0DC9"/>
    <w:rsid w:val="008A7215"/>
    <w:rsid w:val="008B55F3"/>
    <w:rsid w:val="008C05BA"/>
    <w:rsid w:val="008C659D"/>
    <w:rsid w:val="008D79DC"/>
    <w:rsid w:val="008E3F95"/>
    <w:rsid w:val="008E4F48"/>
    <w:rsid w:val="008E5AAD"/>
    <w:rsid w:val="008E6A8E"/>
    <w:rsid w:val="008E7BFB"/>
    <w:rsid w:val="008F31F3"/>
    <w:rsid w:val="008F5A40"/>
    <w:rsid w:val="008F77DF"/>
    <w:rsid w:val="009071DC"/>
    <w:rsid w:val="0090725F"/>
    <w:rsid w:val="0091362E"/>
    <w:rsid w:val="009139D3"/>
    <w:rsid w:val="00931F6D"/>
    <w:rsid w:val="009335DD"/>
    <w:rsid w:val="0094435A"/>
    <w:rsid w:val="00946666"/>
    <w:rsid w:val="00947159"/>
    <w:rsid w:val="00957F67"/>
    <w:rsid w:val="00960BEA"/>
    <w:rsid w:val="009628D3"/>
    <w:rsid w:val="009656DE"/>
    <w:rsid w:val="00975820"/>
    <w:rsid w:val="00975CA1"/>
    <w:rsid w:val="00976C65"/>
    <w:rsid w:val="0098012C"/>
    <w:rsid w:val="00991CB9"/>
    <w:rsid w:val="0099268D"/>
    <w:rsid w:val="00993301"/>
    <w:rsid w:val="00994894"/>
    <w:rsid w:val="009A18E0"/>
    <w:rsid w:val="009A1B6F"/>
    <w:rsid w:val="009A45D1"/>
    <w:rsid w:val="009A67C1"/>
    <w:rsid w:val="009B0B55"/>
    <w:rsid w:val="009C0B3E"/>
    <w:rsid w:val="009C112A"/>
    <w:rsid w:val="009C4C2E"/>
    <w:rsid w:val="009D3E24"/>
    <w:rsid w:val="009E2720"/>
    <w:rsid w:val="009E74C5"/>
    <w:rsid w:val="009E7B0E"/>
    <w:rsid w:val="009F5E15"/>
    <w:rsid w:val="00A07984"/>
    <w:rsid w:val="00A1167D"/>
    <w:rsid w:val="00A13EDE"/>
    <w:rsid w:val="00A17F4A"/>
    <w:rsid w:val="00A345DE"/>
    <w:rsid w:val="00A40501"/>
    <w:rsid w:val="00A46A2F"/>
    <w:rsid w:val="00A535A7"/>
    <w:rsid w:val="00A567A5"/>
    <w:rsid w:val="00A6112D"/>
    <w:rsid w:val="00A645BF"/>
    <w:rsid w:val="00A70FD1"/>
    <w:rsid w:val="00A97C20"/>
    <w:rsid w:val="00AA0F4B"/>
    <w:rsid w:val="00AA1446"/>
    <w:rsid w:val="00AA1BC0"/>
    <w:rsid w:val="00AA641C"/>
    <w:rsid w:val="00AA67F3"/>
    <w:rsid w:val="00AC16A4"/>
    <w:rsid w:val="00AC5EAF"/>
    <w:rsid w:val="00AF7EB5"/>
    <w:rsid w:val="00B030BB"/>
    <w:rsid w:val="00B106B7"/>
    <w:rsid w:val="00B10F69"/>
    <w:rsid w:val="00B12802"/>
    <w:rsid w:val="00B13FCD"/>
    <w:rsid w:val="00B16020"/>
    <w:rsid w:val="00B20364"/>
    <w:rsid w:val="00B2734D"/>
    <w:rsid w:val="00B33E0C"/>
    <w:rsid w:val="00B34B9C"/>
    <w:rsid w:val="00B419BD"/>
    <w:rsid w:val="00B44543"/>
    <w:rsid w:val="00B455D3"/>
    <w:rsid w:val="00B47831"/>
    <w:rsid w:val="00B5078D"/>
    <w:rsid w:val="00B52A14"/>
    <w:rsid w:val="00B71831"/>
    <w:rsid w:val="00B73443"/>
    <w:rsid w:val="00B807DF"/>
    <w:rsid w:val="00B8780E"/>
    <w:rsid w:val="00B90937"/>
    <w:rsid w:val="00B9623F"/>
    <w:rsid w:val="00B9676C"/>
    <w:rsid w:val="00B97F6F"/>
    <w:rsid w:val="00BA055C"/>
    <w:rsid w:val="00BA10B9"/>
    <w:rsid w:val="00BA131B"/>
    <w:rsid w:val="00BA2A6B"/>
    <w:rsid w:val="00BB1843"/>
    <w:rsid w:val="00BB1FB6"/>
    <w:rsid w:val="00BB2A9B"/>
    <w:rsid w:val="00BB2D2D"/>
    <w:rsid w:val="00BB3A98"/>
    <w:rsid w:val="00BC38A0"/>
    <w:rsid w:val="00BE0446"/>
    <w:rsid w:val="00BE0CE5"/>
    <w:rsid w:val="00BE66BD"/>
    <w:rsid w:val="00BE7AD4"/>
    <w:rsid w:val="00BF2836"/>
    <w:rsid w:val="00BF7874"/>
    <w:rsid w:val="00C05F5F"/>
    <w:rsid w:val="00C069CF"/>
    <w:rsid w:val="00C16767"/>
    <w:rsid w:val="00C22F51"/>
    <w:rsid w:val="00C23C6A"/>
    <w:rsid w:val="00C250C7"/>
    <w:rsid w:val="00C2741B"/>
    <w:rsid w:val="00C31FF9"/>
    <w:rsid w:val="00C32D5C"/>
    <w:rsid w:val="00C44D55"/>
    <w:rsid w:val="00C4586B"/>
    <w:rsid w:val="00C45C4B"/>
    <w:rsid w:val="00C50C04"/>
    <w:rsid w:val="00C52A30"/>
    <w:rsid w:val="00C53A9D"/>
    <w:rsid w:val="00C54F95"/>
    <w:rsid w:val="00C578CD"/>
    <w:rsid w:val="00C62379"/>
    <w:rsid w:val="00C66232"/>
    <w:rsid w:val="00C7107C"/>
    <w:rsid w:val="00C75F3F"/>
    <w:rsid w:val="00C75FEE"/>
    <w:rsid w:val="00C8037E"/>
    <w:rsid w:val="00C8174E"/>
    <w:rsid w:val="00C861AB"/>
    <w:rsid w:val="00C92308"/>
    <w:rsid w:val="00C93A53"/>
    <w:rsid w:val="00CA09E6"/>
    <w:rsid w:val="00CA29EE"/>
    <w:rsid w:val="00CA395E"/>
    <w:rsid w:val="00CA529F"/>
    <w:rsid w:val="00CA6E1F"/>
    <w:rsid w:val="00CB1970"/>
    <w:rsid w:val="00CB6C90"/>
    <w:rsid w:val="00CC1969"/>
    <w:rsid w:val="00CC473E"/>
    <w:rsid w:val="00CC47A8"/>
    <w:rsid w:val="00CE30F4"/>
    <w:rsid w:val="00CE7B74"/>
    <w:rsid w:val="00D04F32"/>
    <w:rsid w:val="00D10019"/>
    <w:rsid w:val="00D1657E"/>
    <w:rsid w:val="00D24C4F"/>
    <w:rsid w:val="00D25E97"/>
    <w:rsid w:val="00D35E65"/>
    <w:rsid w:val="00D4471E"/>
    <w:rsid w:val="00D51FEE"/>
    <w:rsid w:val="00D55C24"/>
    <w:rsid w:val="00D57FCB"/>
    <w:rsid w:val="00D61996"/>
    <w:rsid w:val="00D824E8"/>
    <w:rsid w:val="00DA077B"/>
    <w:rsid w:val="00DA662F"/>
    <w:rsid w:val="00DB4A3C"/>
    <w:rsid w:val="00DB60E7"/>
    <w:rsid w:val="00DB7890"/>
    <w:rsid w:val="00DD21AA"/>
    <w:rsid w:val="00DD26F6"/>
    <w:rsid w:val="00DD42CA"/>
    <w:rsid w:val="00DE2B7E"/>
    <w:rsid w:val="00DE4D28"/>
    <w:rsid w:val="00DF1DAD"/>
    <w:rsid w:val="00DF3C3E"/>
    <w:rsid w:val="00E040B6"/>
    <w:rsid w:val="00E04A00"/>
    <w:rsid w:val="00E24DDC"/>
    <w:rsid w:val="00E27D1A"/>
    <w:rsid w:val="00E34BA9"/>
    <w:rsid w:val="00E51AF5"/>
    <w:rsid w:val="00E60EBE"/>
    <w:rsid w:val="00E61EFA"/>
    <w:rsid w:val="00E622FE"/>
    <w:rsid w:val="00E663BD"/>
    <w:rsid w:val="00E70C71"/>
    <w:rsid w:val="00E91A6E"/>
    <w:rsid w:val="00E97406"/>
    <w:rsid w:val="00EA144D"/>
    <w:rsid w:val="00EB178E"/>
    <w:rsid w:val="00EB5D07"/>
    <w:rsid w:val="00EC2FD3"/>
    <w:rsid w:val="00EC5CBC"/>
    <w:rsid w:val="00EC5DB0"/>
    <w:rsid w:val="00EC787C"/>
    <w:rsid w:val="00ED6D41"/>
    <w:rsid w:val="00ED7E8A"/>
    <w:rsid w:val="00EE0C7D"/>
    <w:rsid w:val="00EE0FD0"/>
    <w:rsid w:val="00F02BA5"/>
    <w:rsid w:val="00F10ADB"/>
    <w:rsid w:val="00F13A2E"/>
    <w:rsid w:val="00F13CD5"/>
    <w:rsid w:val="00F21FC6"/>
    <w:rsid w:val="00F361A2"/>
    <w:rsid w:val="00F42A78"/>
    <w:rsid w:val="00F73DD4"/>
    <w:rsid w:val="00F815A2"/>
    <w:rsid w:val="00F850B7"/>
    <w:rsid w:val="00F90DB1"/>
    <w:rsid w:val="00F9432F"/>
    <w:rsid w:val="00F9528D"/>
    <w:rsid w:val="00FA1495"/>
    <w:rsid w:val="00FA20B4"/>
    <w:rsid w:val="00FA5F7E"/>
    <w:rsid w:val="00FB5BD5"/>
    <w:rsid w:val="00FB6274"/>
    <w:rsid w:val="00FB7B2E"/>
    <w:rsid w:val="00FC474F"/>
    <w:rsid w:val="00FD7657"/>
    <w:rsid w:val="00FE4841"/>
    <w:rsid w:val="00FE4B23"/>
    <w:rsid w:val="00FE4F87"/>
    <w:rsid w:val="085B7F83"/>
    <w:rsid w:val="104C481E"/>
    <w:rsid w:val="19985B80"/>
    <w:rsid w:val="233250C4"/>
    <w:rsid w:val="2F7D7AA4"/>
    <w:rsid w:val="42B65813"/>
    <w:rsid w:val="57285ED5"/>
    <w:rsid w:val="6730254B"/>
    <w:rsid w:val="6963052F"/>
    <w:rsid w:val="6F2D3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First Indent"/>
    <w:basedOn w:val="3"/>
    <w:qFormat/>
    <w:uiPriority w:val="0"/>
    <w:pPr>
      <w:tabs>
        <w:tab w:val="left" w:pos="686"/>
      </w:tabs>
      <w:ind w:firstLine="420" w:firstLineChars="100"/>
    </w:pPr>
    <w:rPr>
      <w:rFonts w:ascii="宋体" w:hAnsi="宋体"/>
      <w:sz w:val="24"/>
      <w:szCs w:val="24"/>
    </w:rPr>
  </w:style>
  <w:style w:type="paragraph" w:styleId="3">
    <w:name w:val="Body Text"/>
    <w:basedOn w:val="1"/>
    <w:next w:val="4"/>
    <w:qFormat/>
    <w:uiPriority w:val="0"/>
    <w:pPr>
      <w:spacing w:line="360" w:lineRule="auto"/>
    </w:pPr>
    <w:rPr>
      <w:sz w:val="24"/>
      <w:szCs w:val="24"/>
    </w:rPr>
  </w:style>
  <w:style w:type="paragraph" w:customStyle="1" w:styleId="4">
    <w:name w:val="_Style 2"/>
    <w:basedOn w:val="1"/>
    <w:qFormat/>
    <w:uiPriority w:val="0"/>
    <w:pPr>
      <w:ind w:firstLine="420" w:firstLineChars="200"/>
    </w:pPr>
  </w:style>
  <w:style w:type="paragraph" w:styleId="5">
    <w:name w:val="Balloon Text"/>
    <w:basedOn w:val="1"/>
    <w:semiHidden/>
    <w:uiPriority w:val="0"/>
    <w:rPr>
      <w:sz w:val="18"/>
      <w:szCs w:val="18"/>
    </w:rPr>
  </w:style>
  <w:style w:type="paragraph" w:styleId="6">
    <w:name w:val="footer"/>
    <w:basedOn w:val="1"/>
    <w:link w:val="14"/>
    <w:qFormat/>
    <w:uiPriority w:val="99"/>
    <w:pPr>
      <w:tabs>
        <w:tab w:val="center" w:pos="4153"/>
        <w:tab w:val="right" w:pos="8306"/>
      </w:tabs>
      <w:snapToGrid w:val="0"/>
      <w:jc w:val="left"/>
    </w:pPr>
    <w:rPr>
      <w:sz w:val="18"/>
      <w:szCs w:val="18"/>
    </w:rPr>
  </w:style>
  <w:style w:type="paragraph" w:styleId="7">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000FF"/>
      <w:u w:val="single"/>
    </w:rPr>
  </w:style>
  <w:style w:type="character" w:customStyle="1" w:styleId="13">
    <w:name w:val="页眉 Char"/>
    <w:basedOn w:val="11"/>
    <w:link w:val="7"/>
    <w:qFormat/>
    <w:uiPriority w:val="99"/>
    <w:rPr>
      <w:kern w:val="2"/>
      <w:sz w:val="18"/>
      <w:szCs w:val="18"/>
    </w:rPr>
  </w:style>
  <w:style w:type="character" w:customStyle="1" w:styleId="14">
    <w:name w:val="页脚 Char"/>
    <w:basedOn w:val="11"/>
    <w:link w:val="6"/>
    <w:qFormat/>
    <w:uiPriority w:val="99"/>
    <w:rPr>
      <w:kern w:val="2"/>
      <w:sz w:val="18"/>
      <w:szCs w:val="18"/>
    </w:rPr>
  </w:style>
  <w:style w:type="paragraph" w:styleId="15">
    <w:name w:val="List Paragraph"/>
    <w:basedOn w:val="1"/>
    <w:qFormat/>
    <w:uiPriority w:val="34"/>
    <w:pPr>
      <w:ind w:firstLine="420" w:firstLineChars="200"/>
    </w:pPr>
  </w:style>
  <w:style w:type="paragraph" w:customStyle="1" w:styleId="16">
    <w:name w:val="样式 行距: 1.5 倍行距 首行缩进:  2 字符"/>
    <w:basedOn w:val="1"/>
    <w:qFormat/>
    <w:uiPriority w:val="0"/>
    <w:pPr>
      <w:adjustRightInd w:val="0"/>
      <w:snapToGrid w:val="0"/>
      <w:spacing w:line="460" w:lineRule="exac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76EED-5812-4A6F-A0AF-2D7B4B780A3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2</Pages>
  <Words>130</Words>
  <Characters>743</Characters>
  <Lines>6</Lines>
  <Paragraphs>1</Paragraphs>
  <TotalTime>1</TotalTime>
  <ScaleCrop>false</ScaleCrop>
  <LinksUpToDate>false</LinksUpToDate>
  <CharactersWithSpaces>872</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2020-07-21T08:59:00Z</dcterms:created>
  <dc:creator>null</dc:creator>
  <cp:lastModifiedBy>依若林风 Mr Chen</cp:lastModifiedBy>
  <cp:lastPrinted>2013-07-05T00:55:00Z</cp:lastPrinted>
  <dcterms:modified xsi:type="dcterms:W3CDTF">2023-04-15T06:28:35Z</dcterms:modified>
  <dc:title>施工合同</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