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37"/>
        <w:gridCol w:w="1320"/>
        <w:gridCol w:w="1080"/>
        <w:gridCol w:w="138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施工内容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数量（暂估）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2312" w:hAnsi="方正仿宋_GB2312" w:eastAsia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单价上限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tabs>
                <w:tab w:val="left" w:pos="499"/>
              </w:tabs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打碱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更换一次滤芯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更换二次滤芯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更换三次滤芯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更换次过滤芯800加RO膜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更换次过滤芯后置碳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维保稳压罐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更换水嘴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更换加热管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更换下水软管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更换电路板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维修水箱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更换稳压泵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更换水位计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更换温度传感器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更换电磁阀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mQ0OTRhNWQ5YmRmZjcwNzZhMDlhZTkzMzliZTEifQ=="/>
  </w:docVars>
  <w:rsids>
    <w:rsidRoot w:val="087C3712"/>
    <w:rsid w:val="087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single"/>
    </w:rPr>
  </w:style>
  <w:style w:type="character" w:customStyle="1" w:styleId="5">
    <w:name w:val="font0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2023-03-07T08:44:00Z</dcterms:created>
  <dc:creator>易晓刚</dc:creator>
  <cp:lastModifiedBy>易晓刚</cp:lastModifiedBy>
  <dcterms:modified xsi:type="dcterms:W3CDTF">2023-03-07T08:46:59Z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036388A12F7E49ABBE3A6962A4949571</vt:lpwstr>
  </property>
</Properties>
</file>