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外委施工方案要求</w:t>
      </w:r>
      <w:r>
        <w:rPr>
          <w:rFonts w:hint="eastAsia"/>
          <w:lang w:val="en-US" w:eastAsia="zh-CN"/>
        </w:rPr>
        <w:br w:type="textWrapping"/>
      </w:r>
    </w:p>
    <w:p>
      <w:pPr>
        <w:numPr>
          <w:ilvl w:val="0"/>
          <w:numId w:val="0"/>
        </w:numPr>
        <w:rPr>
          <w:rFonts w:hint="eastAsia"/>
          <w:b/>
          <w:bCs/>
          <w:sz w:val="28"/>
          <w:szCs w:val="28"/>
          <w:lang w:val="en-US" w:eastAsia="zh-CN"/>
        </w:rPr>
      </w:pPr>
      <w:r>
        <w:rPr>
          <w:rFonts w:hint="eastAsia"/>
          <w:b/>
          <w:bCs/>
          <w:sz w:val="32"/>
          <w:szCs w:val="32"/>
          <w:lang w:val="en-US" w:eastAsia="zh-CN"/>
        </w:rPr>
        <w:t>一、项目名称：</w:t>
      </w:r>
      <w:r>
        <w:rPr>
          <w:rFonts w:hint="eastAsia"/>
          <w:b w:val="0"/>
          <w:bCs w:val="0"/>
          <w:sz w:val="32"/>
          <w:szCs w:val="32"/>
          <w:lang w:val="en-US" w:eastAsia="zh-CN"/>
        </w:rPr>
        <w:t>张金2023年度空压机维护保养</w:t>
      </w:r>
    </w:p>
    <w:p>
      <w:pPr>
        <w:numPr>
          <w:ilvl w:val="0"/>
          <w:numId w:val="0"/>
        </w:numPr>
        <w:rPr>
          <w:rFonts w:hint="default"/>
          <w:b w:val="0"/>
          <w:bCs w:val="0"/>
          <w:sz w:val="32"/>
          <w:szCs w:val="32"/>
          <w:lang w:val="en-US" w:eastAsia="zh-CN"/>
        </w:rPr>
      </w:pPr>
      <w:r>
        <w:rPr>
          <w:rFonts w:hint="eastAsia"/>
          <w:b/>
          <w:bCs/>
          <w:sz w:val="32"/>
          <w:szCs w:val="32"/>
          <w:lang w:val="en-US" w:eastAsia="zh-CN"/>
        </w:rPr>
        <w:t>二、工期要求：</w:t>
      </w:r>
      <w:r>
        <w:rPr>
          <w:rFonts w:hint="eastAsia"/>
          <w:b w:val="0"/>
          <w:bCs w:val="0"/>
          <w:sz w:val="32"/>
          <w:szCs w:val="32"/>
          <w:lang w:val="en-US" w:eastAsia="zh-CN"/>
        </w:rPr>
        <w:t>合同签</w:t>
      </w:r>
      <w:bookmarkStart w:id="0" w:name="_GoBack"/>
      <w:r>
        <w:rPr>
          <w:rFonts w:hint="eastAsia"/>
          <w:b w:val="0"/>
          <w:bCs w:val="0"/>
          <w:sz w:val="32"/>
          <w:szCs w:val="32"/>
          <w:lang w:val="en-US" w:eastAsia="zh-CN"/>
        </w:rPr>
        <w:t>订日期至2023年12</w:t>
      </w:r>
      <w:bookmarkEnd w:id="0"/>
      <w:r>
        <w:rPr>
          <w:rFonts w:hint="eastAsia"/>
          <w:b w:val="0"/>
          <w:bCs w:val="0"/>
          <w:sz w:val="32"/>
          <w:szCs w:val="32"/>
          <w:lang w:val="en-US" w:eastAsia="zh-CN"/>
        </w:rPr>
        <w:t>月31日</w:t>
      </w:r>
    </w:p>
    <w:p>
      <w:pPr>
        <w:spacing w:line="500" w:lineRule="exact"/>
        <w:rPr>
          <w:rFonts w:hint="default"/>
          <w:b w:val="0"/>
          <w:bCs w:val="0"/>
          <w:sz w:val="32"/>
          <w:szCs w:val="32"/>
          <w:lang w:val="en-US" w:eastAsia="zh-CN"/>
        </w:rPr>
      </w:pPr>
      <w:r>
        <w:rPr>
          <w:rFonts w:hint="eastAsia"/>
          <w:b/>
          <w:bCs/>
          <w:sz w:val="32"/>
          <w:szCs w:val="32"/>
          <w:lang w:val="en-US" w:eastAsia="zh-CN"/>
        </w:rPr>
        <w:t>三、针对此外委施工承包方需要提供的资质：</w:t>
      </w:r>
      <w:r>
        <w:rPr>
          <w:rFonts w:hint="eastAsia"/>
          <w:b w:val="0"/>
          <w:bCs w:val="0"/>
          <w:sz w:val="32"/>
          <w:szCs w:val="32"/>
          <w:lang w:val="en-US" w:eastAsia="zh-CN"/>
        </w:rPr>
        <w:t>具有空压机维修保养相关经营范围；提供意朗品牌配件的授权书。（空压机油汽桶、储气罐为特种设备，维修人员必须持有《特种设备作业人员证》）</w:t>
      </w:r>
    </w:p>
    <w:p>
      <w:pPr>
        <w:numPr>
          <w:ilvl w:val="0"/>
          <w:numId w:val="0"/>
        </w:numPr>
        <w:rPr>
          <w:rFonts w:hint="default"/>
          <w:b w:val="0"/>
          <w:bCs w:val="0"/>
          <w:sz w:val="32"/>
          <w:szCs w:val="32"/>
          <w:lang w:val="en-US" w:eastAsia="zh-CN"/>
        </w:rPr>
      </w:pPr>
      <w:r>
        <w:rPr>
          <w:rFonts w:hint="eastAsia"/>
          <w:b/>
          <w:bCs/>
          <w:sz w:val="32"/>
          <w:szCs w:val="32"/>
          <w:lang w:val="en-US" w:eastAsia="zh-CN"/>
        </w:rPr>
        <w:t>四、是否需要勘踏现场：</w:t>
      </w:r>
      <w:r>
        <w:rPr>
          <w:rFonts w:hint="eastAsia"/>
          <w:b w:val="0"/>
          <w:bCs w:val="0"/>
          <w:sz w:val="32"/>
          <w:szCs w:val="32"/>
          <w:lang w:val="en-US" w:eastAsia="zh-CN"/>
        </w:rPr>
        <w:t>否，如需勘踏请联系现场对接人：王树钢，电话：18832307886。</w:t>
      </w:r>
    </w:p>
    <w:p>
      <w:pPr>
        <w:numPr>
          <w:ilvl w:val="0"/>
          <w:numId w:val="0"/>
        </w:numPr>
        <w:rPr>
          <w:rFonts w:hint="default"/>
          <w:sz w:val="28"/>
          <w:szCs w:val="28"/>
          <w:lang w:val="en-US" w:eastAsia="zh-CN"/>
        </w:rPr>
      </w:pPr>
      <w:r>
        <w:rPr>
          <w:rFonts w:hint="eastAsia"/>
          <w:b/>
          <w:bCs/>
          <w:sz w:val="32"/>
          <w:szCs w:val="32"/>
          <w:lang w:val="en-US" w:eastAsia="zh-CN"/>
        </w:rPr>
        <w:t>五、施工内容</w:t>
      </w:r>
    </w:p>
    <w:tbl>
      <w:tblPr>
        <w:tblStyle w:val="4"/>
        <w:tblpPr w:leftFromText="180" w:rightFromText="180" w:vertAnchor="text" w:tblpXSpec="center" w:tblpY="1"/>
        <w:tblOverlap w:val="never"/>
        <w:tblW w:w="8291" w:type="dxa"/>
        <w:tblInd w:w="-7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934"/>
        <w:gridCol w:w="861"/>
        <w:gridCol w:w="735"/>
        <w:gridCol w:w="1564"/>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序号</w:t>
            </w:r>
          </w:p>
        </w:tc>
        <w:tc>
          <w:tcPr>
            <w:tcW w:w="293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施工内容</w:t>
            </w:r>
          </w:p>
        </w:tc>
        <w:tc>
          <w:tcPr>
            <w:tcW w:w="861"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数量</w:t>
            </w:r>
          </w:p>
        </w:tc>
        <w:tc>
          <w:tcPr>
            <w:tcW w:w="73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单位</w:t>
            </w:r>
          </w:p>
        </w:tc>
        <w:tc>
          <w:tcPr>
            <w:tcW w:w="156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单价金额上限（元）</w:t>
            </w:r>
          </w:p>
        </w:tc>
        <w:tc>
          <w:tcPr>
            <w:tcW w:w="1538"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质量验收标准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293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空气滤芯保养更换（ERC-270SAL新40立方）</w:t>
            </w:r>
          </w:p>
        </w:tc>
        <w:tc>
          <w:tcPr>
            <w:tcW w:w="861"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73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2385</w:t>
            </w:r>
          </w:p>
        </w:tc>
        <w:tc>
          <w:tcPr>
            <w:tcW w:w="1538" w:type="dxa"/>
            <w:vMerge w:val="restart"/>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乙方应严格按照甲方要求的品牌供货，满足甲方使用要求。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293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机油滤芯保养更换（ERC-270SAL新40立方）</w:t>
            </w:r>
          </w:p>
        </w:tc>
        <w:tc>
          <w:tcPr>
            <w:tcW w:w="861"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73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595</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293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冷却液保养更换（ERC-270SAL新40立方）</w:t>
            </w:r>
          </w:p>
        </w:tc>
        <w:tc>
          <w:tcPr>
            <w:tcW w:w="861"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20</w:t>
            </w:r>
          </w:p>
        </w:tc>
        <w:tc>
          <w:tcPr>
            <w:tcW w:w="73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桶</w:t>
            </w:r>
          </w:p>
        </w:tc>
        <w:tc>
          <w:tcPr>
            <w:tcW w:w="1564" w:type="dxa"/>
            <w:vAlign w:val="center"/>
          </w:tcPr>
          <w:p>
            <w:pPr>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2190</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2934"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精气分离器芯保养更换（ERC-270SAL新40立方）</w:t>
            </w:r>
          </w:p>
        </w:tc>
        <w:tc>
          <w:tcPr>
            <w:tcW w:w="861"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735"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10855</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空气滤芯保养更换YSD250（40立方）</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1158</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机油滤芯保养更换YSD250（40立方）</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8</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595</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冷却液保养更换YSD250（40立方）</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12</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桶</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1501</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精气分离器芯保养更换YSD250（40立方）</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7490</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吸干机氧化铝保养更换</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3210</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公斤</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13.9</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吸干机分子筛保养更换</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1500</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公斤</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16.8</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温度传感器（ERC330）</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1265</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加载电磁阀保养更换（ERC330）</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1085</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2934"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进气控制阀保养更换（ERC330）</w:t>
            </w:r>
          </w:p>
        </w:tc>
        <w:tc>
          <w:tcPr>
            <w:tcW w:w="861"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1</w:t>
            </w:r>
          </w:p>
        </w:tc>
        <w:tc>
          <w:tcPr>
            <w:tcW w:w="735" w:type="dxa"/>
            <w:vAlign w:val="center"/>
          </w:tcPr>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1564" w:type="dxa"/>
            <w:vAlign w:val="center"/>
          </w:tcPr>
          <w:p>
            <w:pPr>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6800</w:t>
            </w:r>
          </w:p>
        </w:tc>
        <w:tc>
          <w:tcPr>
            <w:tcW w:w="1538" w:type="dxa"/>
            <w:vMerge w:val="continue"/>
            <w:vAlign w:val="center"/>
          </w:tcPr>
          <w:p>
            <w:pPr>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1" w:type="dxa"/>
            <w:gridSpan w:val="6"/>
            <w:vAlign w:val="center"/>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合计金额209545元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291" w:type="dxa"/>
            <w:gridSpan w:val="6"/>
            <w:vAlign w:val="center"/>
          </w:tcPr>
          <w:p>
            <w:pPr>
              <w:numPr>
                <w:ilvl w:val="0"/>
                <w:numId w:val="0"/>
              </w:numPr>
              <w:spacing w:line="360" w:lineRule="auto"/>
              <w:ind w:left="108" w:leftChars="0"/>
              <w:outlineLvl w:val="0"/>
              <w:rPr>
                <w:rFonts w:hint="default"/>
                <w:b w:val="0"/>
                <w:bCs w:val="0"/>
                <w:sz w:val="21"/>
                <w:szCs w:val="21"/>
                <w:vertAlign w:val="baseline"/>
                <w:lang w:val="en-US" w:eastAsia="zh-CN"/>
              </w:rPr>
            </w:pPr>
            <w:r>
              <w:rPr>
                <w:rFonts w:hint="default"/>
                <w:b/>
                <w:bCs/>
                <w:sz w:val="21"/>
                <w:szCs w:val="21"/>
                <w:vertAlign w:val="baseline"/>
                <w:lang w:val="en-US" w:eastAsia="zh-CN"/>
              </w:rPr>
              <w:t>结算方式:</w:t>
            </w:r>
            <w:r>
              <w:rPr>
                <w:rFonts w:hint="eastAsia" w:ascii="宋体" w:hAnsi="宋体"/>
                <w:b w:val="0"/>
                <w:bCs w:val="0"/>
                <w:sz w:val="21"/>
                <w:szCs w:val="21"/>
                <w:lang w:val="en-US" w:eastAsia="zh-CN"/>
              </w:rPr>
              <w:t>每月</w:t>
            </w:r>
            <w:r>
              <w:rPr>
                <w:rFonts w:hint="eastAsia" w:ascii="宋体" w:hAnsi="宋体"/>
                <w:b w:val="0"/>
                <w:bCs w:val="0"/>
                <w:sz w:val="21"/>
                <w:szCs w:val="21"/>
              </w:rPr>
              <w:t>按照实际结算单总价开具有效增值税专用发票并财务录入后，付款90%，质保金10%，质保期12个月，质保期到无任何问题无息付清。</w:t>
            </w:r>
            <w:r>
              <w:rPr>
                <w:rFonts w:hint="default"/>
                <w:b w:val="0"/>
                <w:bCs w:val="0"/>
                <w:sz w:val="21"/>
                <w:szCs w:val="21"/>
                <w:vertAlign w:val="baseline"/>
                <w:lang w:val="en-US" w:eastAsia="zh-CN"/>
              </w:rPr>
              <w:br w:type="textWrapping"/>
            </w:r>
            <w:r>
              <w:rPr>
                <w:rFonts w:hint="default"/>
                <w:b/>
                <w:bCs/>
                <w:sz w:val="21"/>
                <w:szCs w:val="21"/>
                <w:vertAlign w:val="baseline"/>
                <w:lang w:val="en-US" w:eastAsia="zh-CN"/>
              </w:rPr>
              <w:t>付款方式</w:t>
            </w:r>
            <w:r>
              <w:rPr>
                <w:rFonts w:hint="default"/>
                <w:b w:val="0"/>
                <w:bCs w:val="0"/>
                <w:sz w:val="21"/>
                <w:szCs w:val="21"/>
                <w:vertAlign w:val="baseline"/>
                <w:lang w:val="en-US" w:eastAsia="zh-CN"/>
              </w:rPr>
              <w:t>：</w:t>
            </w:r>
            <w:r>
              <w:rPr>
                <w:rFonts w:hint="eastAsia"/>
                <w:b w:val="0"/>
                <w:bCs w:val="0"/>
                <w:sz w:val="21"/>
                <w:szCs w:val="21"/>
                <w:vertAlign w:val="baseline"/>
                <w:lang w:val="en-US" w:eastAsia="zh-CN"/>
              </w:rPr>
              <w:t>电汇</w:t>
            </w:r>
            <w:r>
              <w:rPr>
                <w:rFonts w:hint="default"/>
                <w:b w:val="0"/>
                <w:bCs w:val="0"/>
                <w:sz w:val="21"/>
                <w:szCs w:val="21"/>
                <w:vertAlign w:val="baseline"/>
                <w:lang w:val="en-US" w:eastAsia="zh-CN"/>
              </w:rPr>
              <w:t>。</w:t>
            </w:r>
            <w:r>
              <w:rPr>
                <w:rFonts w:hint="default"/>
                <w:b w:val="0"/>
                <w:bCs w:val="0"/>
                <w:sz w:val="21"/>
                <w:szCs w:val="21"/>
                <w:vertAlign w:val="baseline"/>
                <w:lang w:val="en-US" w:eastAsia="zh-CN"/>
              </w:rPr>
              <w:br w:type="textWrapping"/>
            </w:r>
            <w:r>
              <w:rPr>
                <w:rFonts w:hint="default"/>
                <w:b/>
                <w:bCs/>
                <w:sz w:val="21"/>
                <w:szCs w:val="21"/>
                <w:vertAlign w:val="baseline"/>
                <w:lang w:val="en-US" w:eastAsia="zh-CN"/>
              </w:rPr>
              <w:t>承包方式：</w:t>
            </w:r>
            <w:r>
              <w:rPr>
                <w:rFonts w:hint="eastAsia"/>
                <w:b w:val="0"/>
                <w:bCs w:val="0"/>
                <w:sz w:val="21"/>
                <w:szCs w:val="21"/>
                <w:vertAlign w:val="baseline"/>
                <w:lang w:val="en-US" w:eastAsia="zh-CN"/>
              </w:rPr>
              <w:t>包工包料。</w:t>
            </w:r>
          </w:p>
        </w:tc>
      </w:tr>
    </w:tbl>
    <w:p>
      <w:pPr>
        <w:spacing w:line="500" w:lineRule="exact"/>
        <w:rPr>
          <w:rFonts w:hint="eastAsia"/>
          <w:b/>
          <w:bCs/>
          <w:sz w:val="32"/>
          <w:szCs w:val="32"/>
          <w:lang w:val="en-US" w:eastAsia="zh-CN"/>
        </w:rPr>
      </w:pPr>
      <w:r>
        <w:rPr>
          <w:rFonts w:hint="eastAsia"/>
          <w:b/>
          <w:bCs/>
          <w:sz w:val="32"/>
          <w:szCs w:val="32"/>
          <w:lang w:val="en-US" w:eastAsia="zh-CN"/>
        </w:rPr>
        <w:t>六、本次施工要求及规范说明：</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1、质量标准：乙方应严格按照甲方要求的品牌供货，满足甲方使用要求。</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2、执行国标或行业内标准。</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3、乙方必须每周对我厂空压机和吸干机免费巡检一次，并做好设备巡检记录，并给出保养维护建议，由甲方设备负责部门签字。</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4、甲方以书面通知乙方维保更换配件内容，乙方必须携带配件在72小时内到达甲方现场进行免费维保。</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5、乙方保养后空压机出口压力： 宇盛和意郎空压机不低于0.8 </w:t>
      </w:r>
      <w:r>
        <w:rPr>
          <w:rFonts w:hint="eastAsia" w:asciiTheme="minorEastAsia" w:hAnsiTheme="minorEastAsia" w:cstheme="minorEastAsia"/>
          <w:b w:val="0"/>
          <w:bCs w:val="0"/>
          <w:sz w:val="21"/>
          <w:szCs w:val="21"/>
          <w:lang w:val="en-US" w:eastAsia="zh-CN"/>
        </w:rPr>
        <w:t>兆帕</w:t>
      </w:r>
      <w:r>
        <w:rPr>
          <w:rFonts w:hint="eastAsia" w:asciiTheme="minorEastAsia" w:hAnsiTheme="minorEastAsia" w:eastAsiaTheme="minorEastAsia" w:cstheme="minorEastAsia"/>
          <w:b w:val="0"/>
          <w:bCs w:val="0"/>
          <w:sz w:val="21"/>
          <w:szCs w:val="21"/>
          <w:u w:val="none"/>
        </w:rPr>
        <w:t>。</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6、按乙方提供方案维修保养后所有空压机造气量不低于90%。</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7、按乙方提供方案保养后室内自然温度时吸干机排气含水量不能高于排气露点温度为-40C°的含水量。</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8、乙方保养后设备终端压缩空气不能有水。</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9、乙方保养维修后，确保设备的正常运转，并负责解决设备存在的技术问题。</w:t>
      </w:r>
    </w:p>
    <w:p>
      <w:pPr>
        <w:widowControl w:val="0"/>
        <w:numPr>
          <w:ilvl w:val="0"/>
          <w:numId w:val="0"/>
        </w:numPr>
        <w:jc w:val="both"/>
        <w:rPr>
          <w:rFonts w:hint="default"/>
          <w:b/>
          <w:bCs/>
          <w:sz w:val="32"/>
          <w:szCs w:val="32"/>
          <w:highlight w:val="yellow"/>
          <w:lang w:val="en-US" w:eastAsia="zh-CN"/>
        </w:rPr>
      </w:pPr>
      <w:r>
        <w:rPr>
          <w:rFonts w:hint="eastAsia"/>
          <w:b/>
          <w:bCs/>
          <w:sz w:val="32"/>
          <w:szCs w:val="32"/>
          <w:lang w:val="en-US" w:eastAsia="zh-CN"/>
        </w:rPr>
        <w:t>七、中标后承包方签订合同需准备资料</w:t>
      </w:r>
      <w:r>
        <w:rPr>
          <w:rFonts w:hint="eastAsia"/>
          <w:b/>
          <w:bCs/>
          <w:sz w:val="32"/>
          <w:szCs w:val="32"/>
          <w:lang w:val="en-US" w:eastAsia="zh-CN"/>
        </w:rPr>
        <w:br w:type="textWrapping"/>
      </w:r>
    </w:p>
    <w:tbl>
      <w:tblPr>
        <w:tblStyle w:val="4"/>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718"/>
        <w:gridCol w:w="6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审查内容</w:t>
            </w:r>
          </w:p>
        </w:tc>
        <w:tc>
          <w:tcPr>
            <w:tcW w:w="642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营业执照</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2</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法定代表人身份证</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3</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法定代表人授权委托书及身份证</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合同或安全协议签订人不是法人代表本人时，须提供授权委托书（由法定代表人签字或签章，有身份证照片并加盖公司公章。）及委托代理人身份证。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4</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施工业绩</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5</w:t>
            </w:r>
          </w:p>
        </w:tc>
        <w:tc>
          <w:tcPr>
            <w:tcW w:w="1718" w:type="dxa"/>
            <w:vAlign w:val="center"/>
          </w:tcPr>
          <w:p>
            <w:pPr>
              <w:widowControl/>
              <w:jc w:val="center"/>
              <w:rPr>
                <w:rFonts w:hint="eastAsia" w:ascii="仿宋" w:hAnsi="仿宋" w:eastAsia="仿宋" w:cs="仿宋"/>
                <w:bCs/>
                <w:sz w:val="21"/>
                <w:szCs w:val="21"/>
              </w:rPr>
            </w:pPr>
            <w:r>
              <w:rPr>
                <w:rFonts w:hint="eastAsia" w:ascii="仿宋" w:hAnsi="仿宋" w:eastAsia="仿宋" w:cs="仿宋"/>
                <w:bCs/>
                <w:sz w:val="21"/>
                <w:szCs w:val="21"/>
              </w:rPr>
              <w:t>安全施工保证金</w:t>
            </w:r>
          </w:p>
        </w:tc>
        <w:tc>
          <w:tcPr>
            <w:tcW w:w="6428" w:type="dxa"/>
          </w:tcPr>
          <w:p>
            <w:pPr>
              <w:widowControl/>
              <w:rPr>
                <w:rFonts w:hint="eastAsia" w:ascii="仿宋" w:hAnsi="仿宋" w:eastAsia="仿宋" w:cs="仿宋"/>
                <w:bCs/>
                <w:sz w:val="21"/>
                <w:szCs w:val="21"/>
              </w:rPr>
            </w:pPr>
            <w:r>
              <w:rPr>
                <w:rFonts w:hint="eastAsia" w:ascii="仿宋" w:hAnsi="仿宋" w:eastAsia="仿宋" w:cs="仿宋"/>
                <w:bCs/>
                <w:sz w:val="21"/>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6</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安全承诺</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7</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三项管理制度及生产安全事故应急救援预案</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8</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项目负责人、拟进场专（兼）职安全管理人员的证书及特种作业人员操作证</w:t>
            </w:r>
          </w:p>
        </w:tc>
        <w:tc>
          <w:tcPr>
            <w:tcW w:w="6428" w:type="dxa"/>
          </w:tcPr>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1、项目负责人、安全管理人员培训合格证明必须真实有效，且在有效期内，加盖单位公章。提供的安全管理人员必须在本次作业人员名单中，并负责现场安全。</w:t>
            </w:r>
          </w:p>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2、特种作业人员操作证应提供国家应急管理部网站查询结果纸质版并加盖公司公章。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9</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拟进场作业人员清单及身份证件</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10</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全体项目人员的安全教育培训考核记录</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提供每名进场作业人员考试试卷，必须本人答题，不得出现代答代签、替考问题，得分、判分有效，不得随意涂改；加盖公司公章。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11</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涉及职业禁忌症作业人员的健康体检证明</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12</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涉及职业健康危害岗位人员的职业健康岗前体检证明</w:t>
            </w:r>
          </w:p>
        </w:tc>
        <w:tc>
          <w:tcPr>
            <w:tcW w:w="6428" w:type="dxa"/>
          </w:tcPr>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13</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拟进场作业人员缴纳工伤保险或人身意外伤害险证明</w:t>
            </w:r>
          </w:p>
        </w:tc>
        <w:tc>
          <w:tcPr>
            <w:tcW w:w="6428" w:type="dxa"/>
          </w:tcPr>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1、提供的保险证明需由社保局或保险公司提供，并有社保局或保险公司印章。</w:t>
            </w:r>
          </w:p>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2、人身意外伤害险保额不应低于工伤保险一次性工亡补助金的额度。</w:t>
            </w:r>
          </w:p>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3、保险的范围要包括作业项目。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14</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拟进厂设备登记表</w:t>
            </w:r>
          </w:p>
        </w:tc>
        <w:tc>
          <w:tcPr>
            <w:tcW w:w="6428" w:type="dxa"/>
          </w:tcPr>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1、需登记设备设施包含电焊机、手持电动工具、吊车、叉车及其他车辆、吊篮、起重工具（手拉葫芦、吊索具、千斤顶等）等，保证进场的设备设施安全可靠（需提供登记设备设施实际照片）。</w:t>
            </w:r>
          </w:p>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15</w:t>
            </w:r>
          </w:p>
        </w:tc>
        <w:tc>
          <w:tcPr>
            <w:tcW w:w="1718"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Cs/>
                <w:sz w:val="21"/>
                <w:szCs w:val="21"/>
              </w:rPr>
              <w:t>安全施工（作业）方案</w:t>
            </w:r>
          </w:p>
        </w:tc>
        <w:tc>
          <w:tcPr>
            <w:tcW w:w="6428" w:type="dxa"/>
          </w:tcPr>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 xml:space="preserve">1、施工方案：安全管理网络、施工方式、作业流程、技术方案措施等； </w:t>
            </w:r>
          </w:p>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hint="eastAsia" w:ascii="仿宋" w:hAnsi="仿宋" w:eastAsia="仿宋" w:cs="仿宋"/>
                <w:bCs/>
                <w:sz w:val="21"/>
                <w:szCs w:val="21"/>
              </w:rPr>
            </w:pPr>
            <w:r>
              <w:rPr>
                <w:rFonts w:hint="eastAsia" w:ascii="仿宋" w:hAnsi="仿宋" w:eastAsia="仿宋" w:cs="仿宋"/>
                <w:bCs/>
                <w:sz w:val="21"/>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hint="eastAsia" w:ascii="仿宋" w:hAnsi="仿宋" w:eastAsia="仿宋" w:cs="仿宋"/>
                <w:b/>
                <w:bCs/>
                <w:color w:val="000000"/>
                <w:kern w:val="0"/>
                <w:sz w:val="21"/>
                <w:szCs w:val="21"/>
              </w:rPr>
            </w:pPr>
            <w:r>
              <w:rPr>
                <w:rFonts w:hint="eastAsia" w:ascii="仿宋" w:hAnsi="仿宋" w:eastAsia="仿宋" w:cs="仿宋"/>
                <w:bCs/>
                <w:sz w:val="21"/>
                <w:szCs w:val="21"/>
              </w:rPr>
              <w:t>4、应急处置措施：即发生事故后的应急处置措施，如何抢救伤者、如何逃离、如何扑灭初起火灾、如何进行事故报告等。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485" w:type="dxa"/>
            <w:vAlign w:val="center"/>
          </w:tcPr>
          <w:p>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rPr>
              <w:t>16</w:t>
            </w:r>
          </w:p>
        </w:tc>
        <w:tc>
          <w:tcPr>
            <w:tcW w:w="1718" w:type="dxa"/>
            <w:vAlign w:val="center"/>
          </w:tcPr>
          <w:p>
            <w:pPr>
              <w:widowControl/>
              <w:jc w:val="center"/>
              <w:rPr>
                <w:rFonts w:hint="eastAsia" w:ascii="仿宋" w:hAnsi="仿宋" w:eastAsia="仿宋" w:cs="仿宋"/>
                <w:bCs/>
                <w:sz w:val="21"/>
                <w:szCs w:val="21"/>
              </w:rPr>
            </w:pPr>
            <w:r>
              <w:rPr>
                <w:rFonts w:hint="eastAsia" w:ascii="仿宋" w:hAnsi="仿宋" w:eastAsia="仿宋" w:cs="仿宋"/>
                <w:bCs/>
                <w:sz w:val="21"/>
                <w:szCs w:val="21"/>
              </w:rPr>
              <w:t>视具体情况需要审查的其他有关材料</w:t>
            </w:r>
          </w:p>
        </w:tc>
        <w:tc>
          <w:tcPr>
            <w:tcW w:w="6428" w:type="dxa"/>
          </w:tcPr>
          <w:p>
            <w:pPr>
              <w:widowControl/>
              <w:spacing w:line="340" w:lineRule="exact"/>
              <w:jc w:val="left"/>
              <w:rPr>
                <w:rFonts w:hint="eastAsia" w:ascii="仿宋" w:hAnsi="仿宋" w:eastAsia="仿宋" w:cs="仿宋"/>
                <w:bCs/>
                <w:sz w:val="21"/>
                <w:szCs w:val="21"/>
              </w:rPr>
            </w:pPr>
          </w:p>
        </w:tc>
      </w:tr>
    </w:tbl>
    <w:p>
      <w:pPr>
        <w:widowControl w:val="0"/>
        <w:numPr>
          <w:ilvl w:val="0"/>
          <w:numId w:val="0"/>
        </w:numPr>
        <w:jc w:val="both"/>
        <w:rPr>
          <w:rFonts w:hint="default"/>
          <w:b/>
          <w:bCs/>
          <w:sz w:val="32"/>
          <w:szCs w:val="32"/>
          <w:highlight w:val="yellow"/>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mQ0OTRhNWQ5YmRmZjcwNzZhMDlhZTkzMzliZTEifQ=="/>
  </w:docVars>
  <w:rsids>
    <w:rsidRoot w:val="73E2521C"/>
    <w:rsid w:val="085212BA"/>
    <w:rsid w:val="09472D42"/>
    <w:rsid w:val="13866E57"/>
    <w:rsid w:val="1A365DCC"/>
    <w:rsid w:val="1D2006A2"/>
    <w:rsid w:val="1E38542E"/>
    <w:rsid w:val="284B2E0F"/>
    <w:rsid w:val="287E25A7"/>
    <w:rsid w:val="322C2960"/>
    <w:rsid w:val="3E8F17EC"/>
    <w:rsid w:val="4D99066F"/>
    <w:rsid w:val="50456430"/>
    <w:rsid w:val="642E2746"/>
    <w:rsid w:val="65314B5F"/>
    <w:rsid w:val="73E2521C"/>
    <w:rsid w:val="76BB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2371</Words>
  <Characters>2574</Characters>
  <Lines>0</Lines>
  <Paragraphs>0</Paragraphs>
  <TotalTime>5</TotalTime>
  <ScaleCrop>false</ScaleCrop>
  <LinksUpToDate>false</LinksUpToDate>
  <CharactersWithSpaces>2577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2022-12-04T10:31:00Z</dcterms:created>
  <dc:creator>沈</dc:creator>
  <cp:lastModifiedBy>易晓刚</cp:lastModifiedBy>
  <dcterms:modified xsi:type="dcterms:W3CDTF">2022-12-27T10:01:56Z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21C10FF6CF924B8B859E05DA1057FF01</vt:lpwstr>
  </property>
</Properties>
</file>