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外委服务方案要求</w:t>
      </w:r>
    </w:p>
    <w:p>
      <w:pPr>
        <w:numPr>
          <w:ilvl w:val="0"/>
          <w:numId w:val="1"/>
        </w:numPr>
        <w:rPr>
          <w:b/>
          <w:bCs/>
          <w:sz w:val="32"/>
          <w:szCs w:val="32"/>
        </w:rPr>
      </w:pPr>
      <w:r>
        <w:rPr>
          <w:rFonts w:hint="eastAsia"/>
          <w:b/>
          <w:bCs/>
          <w:sz w:val="32"/>
          <w:szCs w:val="32"/>
        </w:rPr>
        <w:t>服务名称：</w:t>
      </w:r>
      <w:r>
        <w:rPr>
          <w:rFonts w:hint="eastAsia"/>
          <w:b w:val="0"/>
          <w:bCs w:val="0"/>
          <w:sz w:val="32"/>
          <w:szCs w:val="32"/>
        </w:rPr>
        <w:t>2023年度汽车吊</w:t>
      </w:r>
      <w:r>
        <w:rPr>
          <w:rFonts w:hint="eastAsia"/>
          <w:b w:val="0"/>
          <w:bCs w:val="0"/>
          <w:sz w:val="32"/>
          <w:szCs w:val="32"/>
        </w:rPr>
        <w:t>租赁</w:t>
      </w:r>
    </w:p>
    <w:p>
      <w:pPr>
        <w:numPr>
          <w:ilvl w:val="0"/>
          <w:numId w:val="1"/>
        </w:numPr>
        <w:rPr>
          <w:b/>
          <w:bCs/>
          <w:sz w:val="32"/>
          <w:szCs w:val="32"/>
        </w:rPr>
      </w:pPr>
      <w:r>
        <w:rPr>
          <w:rFonts w:hint="eastAsia"/>
          <w:b/>
          <w:bCs/>
          <w:sz w:val="32"/>
          <w:szCs w:val="32"/>
        </w:rPr>
        <w:t>工期要求：</w:t>
      </w:r>
      <w:r>
        <w:rPr>
          <w:rFonts w:hint="eastAsia"/>
          <w:b w:val="0"/>
          <w:bCs w:val="0"/>
          <w:sz w:val="32"/>
          <w:szCs w:val="32"/>
          <w:lang w:val="en-US" w:eastAsia="zh-CN"/>
        </w:rPr>
        <w:t>合同签订日期至2023年12月31日</w:t>
      </w:r>
    </w:p>
    <w:p>
      <w:pPr>
        <w:numPr>
          <w:ilvl w:val="0"/>
          <w:numId w:val="1"/>
        </w:numPr>
        <w:rPr>
          <w:rFonts w:hint="eastAsia"/>
          <w:b w:val="0"/>
          <w:bCs w:val="0"/>
          <w:sz w:val="32"/>
          <w:szCs w:val="32"/>
        </w:rPr>
      </w:pPr>
      <w:r>
        <w:rPr>
          <w:rFonts w:hint="eastAsia"/>
          <w:b/>
          <w:bCs/>
          <w:sz w:val="32"/>
          <w:szCs w:val="32"/>
        </w:rPr>
        <w:t>针对此服务承包方需要提供的资质：</w:t>
      </w:r>
      <w:r>
        <w:rPr>
          <w:rFonts w:hint="eastAsia"/>
          <w:b w:val="0"/>
          <w:bCs w:val="0"/>
          <w:sz w:val="32"/>
          <w:szCs w:val="32"/>
        </w:rPr>
        <w:t>营业执照中须</w:t>
      </w:r>
      <w:r>
        <w:rPr>
          <w:rFonts w:hint="eastAsia"/>
          <w:b w:val="0"/>
          <w:bCs w:val="0"/>
          <w:sz w:val="32"/>
          <w:szCs w:val="32"/>
          <w:lang w:val="en-US" w:eastAsia="zh-CN"/>
        </w:rPr>
        <w:t>包含</w:t>
      </w:r>
      <w:r>
        <w:rPr>
          <w:rFonts w:hint="eastAsia"/>
          <w:b w:val="0"/>
          <w:bCs w:val="0"/>
          <w:sz w:val="32"/>
          <w:szCs w:val="32"/>
        </w:rPr>
        <w:t>工程机械租赁</w:t>
      </w:r>
      <w:r>
        <w:rPr>
          <w:rFonts w:hint="eastAsia"/>
          <w:b w:val="0"/>
          <w:bCs w:val="0"/>
          <w:sz w:val="32"/>
          <w:szCs w:val="32"/>
          <w:lang w:val="en-US" w:eastAsia="zh-CN"/>
        </w:rPr>
        <w:t>相关经营范围</w:t>
      </w:r>
      <w:r>
        <w:rPr>
          <w:rFonts w:hint="eastAsia"/>
          <w:b w:val="0"/>
          <w:bCs w:val="0"/>
          <w:sz w:val="32"/>
          <w:szCs w:val="32"/>
        </w:rPr>
        <w:t>。</w:t>
      </w:r>
    </w:p>
    <w:p>
      <w:pPr>
        <w:numPr>
          <w:ilvl w:val="0"/>
          <w:numId w:val="1"/>
        </w:numPr>
        <w:rPr>
          <w:sz w:val="32"/>
          <w:szCs w:val="32"/>
        </w:rPr>
      </w:pPr>
      <w:r>
        <w:rPr>
          <w:rFonts w:hint="eastAsia"/>
          <w:b/>
          <w:bCs/>
          <w:sz w:val="32"/>
          <w:szCs w:val="32"/>
        </w:rPr>
        <w:t>是否需要勘踏现场：</w:t>
      </w:r>
      <w:r>
        <w:rPr>
          <w:rFonts w:hint="eastAsia"/>
          <w:sz w:val="32"/>
          <w:szCs w:val="32"/>
          <w:lang w:val="en-US" w:eastAsia="zh-CN"/>
        </w:rPr>
        <w:t>否</w:t>
      </w:r>
      <w:r>
        <w:rPr>
          <w:rFonts w:hint="eastAsia"/>
          <w:sz w:val="32"/>
          <w:szCs w:val="32"/>
        </w:rPr>
        <w:t>，如需现场勘踏请联系张翠果，电话：1</w:t>
      </w:r>
      <w:r>
        <w:rPr>
          <w:sz w:val="32"/>
          <w:szCs w:val="32"/>
        </w:rPr>
        <w:t>3722</w:t>
      </w:r>
      <w:bookmarkStart w:id="0" w:name="_GoBack"/>
      <w:r>
        <w:rPr>
          <w:sz w:val="32"/>
          <w:szCs w:val="32"/>
        </w:rPr>
        <w:t>314289</w:t>
      </w:r>
      <w:bookmarkEnd w:id="0"/>
      <w:r>
        <w:rPr>
          <w:rFonts w:hint="eastAsia"/>
          <w:sz w:val="32"/>
          <w:szCs w:val="32"/>
          <w:lang w:eastAsia="zh-CN"/>
        </w:rPr>
        <w:t>。</w:t>
      </w:r>
    </w:p>
    <w:p>
      <w:pPr>
        <w:numPr>
          <w:ilvl w:val="0"/>
          <w:numId w:val="1"/>
        </w:numPr>
        <w:rPr>
          <w:b/>
          <w:bCs/>
          <w:sz w:val="32"/>
          <w:szCs w:val="32"/>
        </w:rPr>
      </w:pPr>
      <w:r>
        <w:rPr>
          <w:rFonts w:hint="eastAsia"/>
          <w:b/>
          <w:bCs/>
          <w:sz w:val="32"/>
          <w:szCs w:val="32"/>
        </w:rPr>
        <w:t>服务内容</w:t>
      </w:r>
    </w:p>
    <w:tbl>
      <w:tblPr>
        <w:tblStyle w:val="6"/>
        <w:tblpPr w:leftFromText="180" w:rightFromText="180" w:vertAnchor="text" w:horzAnchor="margin" w:tblpXSpec="center" w:tblpY="703"/>
        <w:tblOverlap w:val="never"/>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458"/>
        <w:gridCol w:w="1134"/>
        <w:gridCol w:w="1276"/>
        <w:gridCol w:w="1418"/>
        <w:gridCol w:w="1417"/>
        <w:gridCol w:w="1638"/>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29" w:hRule="atLeast"/>
        </w:trPr>
        <w:tc>
          <w:tcPr>
            <w:tcW w:w="918" w:type="dxa"/>
            <w:vAlign w:val="center"/>
          </w:tcPr>
          <w:p>
            <w:pPr>
              <w:jc w:val="center"/>
              <w:rPr>
                <w:rFonts w:hint="eastAsia"/>
                <w:szCs w:val="21"/>
              </w:rPr>
            </w:pPr>
            <w:r>
              <w:rPr>
                <w:rFonts w:hint="eastAsia"/>
                <w:szCs w:val="21"/>
              </w:rPr>
              <w:t>序号</w:t>
            </w:r>
          </w:p>
        </w:tc>
        <w:tc>
          <w:tcPr>
            <w:tcW w:w="1458" w:type="dxa"/>
            <w:vAlign w:val="center"/>
          </w:tcPr>
          <w:p>
            <w:pPr>
              <w:jc w:val="center"/>
              <w:rPr>
                <w:rFonts w:hint="eastAsia"/>
                <w:szCs w:val="21"/>
              </w:rPr>
            </w:pPr>
            <w:r>
              <w:rPr>
                <w:rFonts w:hint="eastAsia"/>
                <w:szCs w:val="21"/>
              </w:rPr>
              <w:t>服务内容</w:t>
            </w:r>
          </w:p>
        </w:tc>
        <w:tc>
          <w:tcPr>
            <w:tcW w:w="1134" w:type="dxa"/>
            <w:vAlign w:val="center"/>
          </w:tcPr>
          <w:p>
            <w:pPr>
              <w:jc w:val="center"/>
              <w:rPr>
                <w:rFonts w:hint="eastAsia"/>
                <w:szCs w:val="21"/>
              </w:rPr>
            </w:pPr>
            <w:r>
              <w:rPr>
                <w:rFonts w:hint="eastAsia"/>
                <w:szCs w:val="21"/>
              </w:rPr>
              <w:t>规格型号</w:t>
            </w:r>
          </w:p>
        </w:tc>
        <w:tc>
          <w:tcPr>
            <w:tcW w:w="1276" w:type="dxa"/>
            <w:vAlign w:val="center"/>
          </w:tcPr>
          <w:p>
            <w:pPr>
              <w:jc w:val="center"/>
              <w:rPr>
                <w:rFonts w:hint="eastAsia"/>
                <w:szCs w:val="21"/>
              </w:rPr>
            </w:pPr>
            <w:r>
              <w:rPr>
                <w:rFonts w:hint="eastAsia"/>
                <w:szCs w:val="21"/>
              </w:rPr>
              <w:t>预估台班数</w:t>
            </w:r>
          </w:p>
        </w:tc>
        <w:tc>
          <w:tcPr>
            <w:tcW w:w="1418" w:type="dxa"/>
            <w:vAlign w:val="center"/>
          </w:tcPr>
          <w:p>
            <w:pPr>
              <w:jc w:val="center"/>
              <w:rPr>
                <w:rFonts w:hint="eastAsia"/>
                <w:szCs w:val="21"/>
              </w:rPr>
            </w:pPr>
            <w:r>
              <w:rPr>
                <w:rFonts w:hint="eastAsia"/>
                <w:szCs w:val="21"/>
              </w:rPr>
              <w:t>最高单价（元/台班）</w:t>
            </w:r>
          </w:p>
        </w:tc>
        <w:tc>
          <w:tcPr>
            <w:tcW w:w="1417" w:type="dxa"/>
            <w:vAlign w:val="center"/>
          </w:tcPr>
          <w:p>
            <w:pPr>
              <w:jc w:val="center"/>
              <w:rPr>
                <w:rFonts w:hint="eastAsia"/>
                <w:szCs w:val="21"/>
              </w:rPr>
            </w:pPr>
            <w:r>
              <w:rPr>
                <w:rFonts w:hint="eastAsia"/>
                <w:szCs w:val="21"/>
              </w:rPr>
              <w:t>预估金额</w:t>
            </w:r>
          </w:p>
        </w:tc>
        <w:tc>
          <w:tcPr>
            <w:tcW w:w="1638" w:type="dxa"/>
            <w:vAlign w:val="center"/>
          </w:tcPr>
          <w:p>
            <w:pPr>
              <w:jc w:val="center"/>
              <w:rPr>
                <w:rFonts w:hint="eastAsia"/>
                <w:szCs w:val="21"/>
              </w:rPr>
            </w:pPr>
            <w:r>
              <w:rPr>
                <w:rFonts w:hint="eastAsia"/>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29" w:hRule="atLeast"/>
        </w:trPr>
        <w:tc>
          <w:tcPr>
            <w:tcW w:w="918" w:type="dxa"/>
            <w:vAlign w:val="center"/>
          </w:tcPr>
          <w:p>
            <w:pPr>
              <w:jc w:val="center"/>
              <w:rPr>
                <w:rFonts w:hint="eastAsia"/>
                <w:szCs w:val="21"/>
              </w:rPr>
            </w:pPr>
            <w:r>
              <w:rPr>
                <w:rFonts w:hint="eastAsia"/>
                <w:szCs w:val="21"/>
              </w:rPr>
              <w:t>1</w:t>
            </w:r>
          </w:p>
        </w:tc>
        <w:tc>
          <w:tcPr>
            <w:tcW w:w="1458" w:type="dxa"/>
            <w:vAlign w:val="center"/>
          </w:tcPr>
          <w:p>
            <w:pPr>
              <w:jc w:val="center"/>
              <w:rPr>
                <w:rFonts w:hint="eastAsia"/>
                <w:szCs w:val="21"/>
              </w:rPr>
            </w:pPr>
            <w:r>
              <w:rPr>
                <w:rFonts w:hint="eastAsia"/>
                <w:szCs w:val="21"/>
              </w:rPr>
              <w:t>汽车吊租赁</w:t>
            </w:r>
          </w:p>
        </w:tc>
        <w:tc>
          <w:tcPr>
            <w:tcW w:w="1134" w:type="dxa"/>
            <w:vAlign w:val="center"/>
          </w:tcPr>
          <w:p>
            <w:pPr>
              <w:jc w:val="center"/>
              <w:rPr>
                <w:rFonts w:hint="eastAsia"/>
                <w:szCs w:val="21"/>
              </w:rPr>
            </w:pPr>
            <w:r>
              <w:rPr>
                <w:rFonts w:hint="eastAsia"/>
                <w:szCs w:val="21"/>
              </w:rPr>
              <w:t>25t</w:t>
            </w:r>
          </w:p>
        </w:tc>
        <w:tc>
          <w:tcPr>
            <w:tcW w:w="1276" w:type="dxa"/>
            <w:vAlign w:val="center"/>
          </w:tcPr>
          <w:p>
            <w:pPr>
              <w:jc w:val="center"/>
              <w:rPr>
                <w:rFonts w:hint="eastAsia"/>
                <w:szCs w:val="21"/>
              </w:rPr>
            </w:pPr>
            <w:r>
              <w:rPr>
                <w:rFonts w:hint="eastAsia"/>
                <w:szCs w:val="21"/>
              </w:rPr>
              <w:t>72</w:t>
            </w:r>
          </w:p>
        </w:tc>
        <w:tc>
          <w:tcPr>
            <w:tcW w:w="1418" w:type="dxa"/>
            <w:vAlign w:val="center"/>
          </w:tcPr>
          <w:p>
            <w:pPr>
              <w:jc w:val="center"/>
              <w:rPr>
                <w:rFonts w:hint="eastAsia"/>
                <w:szCs w:val="21"/>
              </w:rPr>
            </w:pPr>
            <w:r>
              <w:rPr>
                <w:rFonts w:hint="eastAsia"/>
                <w:szCs w:val="21"/>
              </w:rPr>
              <w:t>1200</w:t>
            </w:r>
          </w:p>
        </w:tc>
        <w:tc>
          <w:tcPr>
            <w:tcW w:w="1417" w:type="dxa"/>
            <w:vAlign w:val="center"/>
          </w:tcPr>
          <w:p>
            <w:pPr>
              <w:jc w:val="center"/>
              <w:rPr>
                <w:rFonts w:hint="eastAsia"/>
                <w:szCs w:val="21"/>
              </w:rPr>
            </w:pPr>
            <w:r>
              <w:rPr>
                <w:rFonts w:hint="eastAsia"/>
                <w:szCs w:val="21"/>
              </w:rPr>
              <w:t>86400</w:t>
            </w:r>
          </w:p>
        </w:tc>
        <w:tc>
          <w:tcPr>
            <w:tcW w:w="1638" w:type="dxa"/>
            <w:vAlign w:val="center"/>
          </w:tcPr>
          <w:p>
            <w:pPr>
              <w:jc w:val="center"/>
              <w:rPr>
                <w:rFonts w:hint="eastAsia"/>
                <w:szCs w:val="21"/>
              </w:rPr>
            </w:pPr>
            <w:r>
              <w:rPr>
                <w:rFonts w:hint="eastAsia"/>
                <w:szCs w:val="21"/>
              </w:rPr>
              <w:t>国家标准、行业标准及甲方技术要求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40" w:hRule="atLeast"/>
        </w:trPr>
        <w:tc>
          <w:tcPr>
            <w:tcW w:w="918" w:type="dxa"/>
            <w:vAlign w:val="center"/>
          </w:tcPr>
          <w:p>
            <w:pPr>
              <w:jc w:val="center"/>
              <w:rPr>
                <w:rFonts w:hint="eastAsia"/>
                <w:szCs w:val="21"/>
              </w:rPr>
            </w:pPr>
            <w:r>
              <w:rPr>
                <w:rFonts w:hint="eastAsia"/>
                <w:szCs w:val="21"/>
              </w:rPr>
              <w:t>2</w:t>
            </w:r>
          </w:p>
        </w:tc>
        <w:tc>
          <w:tcPr>
            <w:tcW w:w="1458" w:type="dxa"/>
            <w:vAlign w:val="center"/>
          </w:tcPr>
          <w:p>
            <w:pPr>
              <w:jc w:val="center"/>
              <w:rPr>
                <w:rFonts w:hint="eastAsia"/>
                <w:szCs w:val="21"/>
              </w:rPr>
            </w:pPr>
            <w:r>
              <w:rPr>
                <w:rFonts w:hint="eastAsia"/>
                <w:szCs w:val="21"/>
              </w:rPr>
              <w:t>汽车吊租赁</w:t>
            </w:r>
          </w:p>
        </w:tc>
        <w:tc>
          <w:tcPr>
            <w:tcW w:w="1134" w:type="dxa"/>
            <w:vAlign w:val="center"/>
          </w:tcPr>
          <w:p>
            <w:pPr>
              <w:jc w:val="center"/>
              <w:rPr>
                <w:rFonts w:hint="eastAsia"/>
                <w:szCs w:val="21"/>
              </w:rPr>
            </w:pPr>
            <w:r>
              <w:rPr>
                <w:rFonts w:hint="eastAsia"/>
                <w:szCs w:val="21"/>
              </w:rPr>
              <w:t>35t</w:t>
            </w:r>
          </w:p>
        </w:tc>
        <w:tc>
          <w:tcPr>
            <w:tcW w:w="1276" w:type="dxa"/>
            <w:vAlign w:val="center"/>
          </w:tcPr>
          <w:p>
            <w:pPr>
              <w:jc w:val="center"/>
              <w:rPr>
                <w:rFonts w:hint="eastAsia"/>
                <w:szCs w:val="21"/>
              </w:rPr>
            </w:pPr>
            <w:r>
              <w:rPr>
                <w:rFonts w:hint="eastAsia"/>
                <w:szCs w:val="21"/>
              </w:rPr>
              <w:t>2</w:t>
            </w:r>
          </w:p>
        </w:tc>
        <w:tc>
          <w:tcPr>
            <w:tcW w:w="1418" w:type="dxa"/>
            <w:vAlign w:val="center"/>
          </w:tcPr>
          <w:p>
            <w:pPr>
              <w:jc w:val="center"/>
              <w:rPr>
                <w:rFonts w:hint="eastAsia"/>
                <w:szCs w:val="21"/>
              </w:rPr>
            </w:pPr>
            <w:r>
              <w:rPr>
                <w:rFonts w:hint="eastAsia"/>
                <w:szCs w:val="21"/>
              </w:rPr>
              <w:t>1400</w:t>
            </w:r>
          </w:p>
        </w:tc>
        <w:tc>
          <w:tcPr>
            <w:tcW w:w="1417" w:type="dxa"/>
            <w:vAlign w:val="center"/>
          </w:tcPr>
          <w:p>
            <w:pPr>
              <w:jc w:val="center"/>
              <w:rPr>
                <w:rFonts w:hint="eastAsia"/>
                <w:szCs w:val="21"/>
              </w:rPr>
            </w:pPr>
            <w:r>
              <w:rPr>
                <w:rFonts w:hint="eastAsia"/>
                <w:szCs w:val="21"/>
              </w:rPr>
              <w:t>2800</w:t>
            </w:r>
          </w:p>
        </w:tc>
        <w:tc>
          <w:tcPr>
            <w:tcW w:w="1638" w:type="dxa"/>
            <w:vAlign w:val="center"/>
          </w:tcPr>
          <w:p>
            <w:pPr>
              <w:jc w:val="center"/>
              <w:rPr>
                <w:rFonts w:hint="eastAsia"/>
                <w:szCs w:val="21"/>
              </w:rPr>
            </w:pPr>
            <w:r>
              <w:rPr>
                <w:rFonts w:hint="eastAsia"/>
                <w:szCs w:val="21"/>
              </w:rPr>
              <w:t>国家标准、行业标准及甲方技术要求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29" w:hRule="atLeast"/>
        </w:trPr>
        <w:tc>
          <w:tcPr>
            <w:tcW w:w="918" w:type="dxa"/>
            <w:vAlign w:val="center"/>
          </w:tcPr>
          <w:p>
            <w:pPr>
              <w:jc w:val="center"/>
              <w:rPr>
                <w:rFonts w:hint="eastAsia"/>
                <w:szCs w:val="21"/>
              </w:rPr>
            </w:pPr>
            <w:r>
              <w:rPr>
                <w:rFonts w:hint="eastAsia"/>
                <w:szCs w:val="21"/>
              </w:rPr>
              <w:t>3</w:t>
            </w:r>
          </w:p>
        </w:tc>
        <w:tc>
          <w:tcPr>
            <w:tcW w:w="1458" w:type="dxa"/>
            <w:vAlign w:val="center"/>
          </w:tcPr>
          <w:p>
            <w:pPr>
              <w:jc w:val="center"/>
              <w:rPr>
                <w:rFonts w:hint="eastAsia"/>
                <w:szCs w:val="21"/>
              </w:rPr>
            </w:pPr>
            <w:r>
              <w:rPr>
                <w:rFonts w:hint="eastAsia"/>
                <w:szCs w:val="21"/>
              </w:rPr>
              <w:t>汽车吊租赁</w:t>
            </w:r>
          </w:p>
        </w:tc>
        <w:tc>
          <w:tcPr>
            <w:tcW w:w="1134" w:type="dxa"/>
            <w:vAlign w:val="center"/>
          </w:tcPr>
          <w:p>
            <w:pPr>
              <w:jc w:val="center"/>
              <w:rPr>
                <w:rFonts w:hint="eastAsia"/>
                <w:szCs w:val="21"/>
              </w:rPr>
            </w:pPr>
            <w:r>
              <w:rPr>
                <w:rFonts w:hint="eastAsia"/>
                <w:szCs w:val="21"/>
              </w:rPr>
              <w:t>50t</w:t>
            </w:r>
          </w:p>
        </w:tc>
        <w:tc>
          <w:tcPr>
            <w:tcW w:w="1276" w:type="dxa"/>
            <w:vAlign w:val="center"/>
          </w:tcPr>
          <w:p>
            <w:pPr>
              <w:jc w:val="center"/>
              <w:rPr>
                <w:rFonts w:hint="eastAsia"/>
                <w:szCs w:val="21"/>
              </w:rPr>
            </w:pPr>
            <w:r>
              <w:rPr>
                <w:rFonts w:hint="eastAsia"/>
                <w:szCs w:val="21"/>
              </w:rPr>
              <w:t>3</w:t>
            </w:r>
          </w:p>
        </w:tc>
        <w:tc>
          <w:tcPr>
            <w:tcW w:w="1418" w:type="dxa"/>
            <w:vAlign w:val="center"/>
          </w:tcPr>
          <w:p>
            <w:pPr>
              <w:jc w:val="center"/>
              <w:rPr>
                <w:rFonts w:hint="eastAsia"/>
                <w:szCs w:val="21"/>
              </w:rPr>
            </w:pPr>
            <w:r>
              <w:rPr>
                <w:rFonts w:hint="eastAsia"/>
                <w:szCs w:val="21"/>
              </w:rPr>
              <w:t>1500</w:t>
            </w:r>
          </w:p>
        </w:tc>
        <w:tc>
          <w:tcPr>
            <w:tcW w:w="1417" w:type="dxa"/>
            <w:vAlign w:val="center"/>
          </w:tcPr>
          <w:p>
            <w:pPr>
              <w:jc w:val="center"/>
              <w:rPr>
                <w:rFonts w:hint="eastAsia"/>
                <w:szCs w:val="21"/>
              </w:rPr>
            </w:pPr>
            <w:r>
              <w:rPr>
                <w:rFonts w:hint="eastAsia"/>
                <w:szCs w:val="21"/>
              </w:rPr>
              <w:t>4500</w:t>
            </w:r>
          </w:p>
        </w:tc>
        <w:tc>
          <w:tcPr>
            <w:tcW w:w="1638" w:type="dxa"/>
            <w:vAlign w:val="center"/>
          </w:tcPr>
          <w:p>
            <w:pPr>
              <w:jc w:val="center"/>
              <w:rPr>
                <w:rFonts w:hint="eastAsia"/>
                <w:szCs w:val="21"/>
              </w:rPr>
            </w:pPr>
            <w:r>
              <w:rPr>
                <w:rFonts w:hint="eastAsia"/>
                <w:szCs w:val="21"/>
              </w:rPr>
              <w:t>国家标准、行业标准及甲方技术要求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29" w:hRule="atLeast"/>
        </w:trPr>
        <w:tc>
          <w:tcPr>
            <w:tcW w:w="918" w:type="dxa"/>
            <w:vAlign w:val="center"/>
          </w:tcPr>
          <w:p>
            <w:pPr>
              <w:jc w:val="center"/>
              <w:rPr>
                <w:rFonts w:hint="eastAsia"/>
                <w:szCs w:val="21"/>
              </w:rPr>
            </w:pPr>
            <w:r>
              <w:rPr>
                <w:rFonts w:hint="eastAsia"/>
                <w:szCs w:val="21"/>
              </w:rPr>
              <w:t>4</w:t>
            </w:r>
          </w:p>
        </w:tc>
        <w:tc>
          <w:tcPr>
            <w:tcW w:w="1458" w:type="dxa"/>
            <w:vAlign w:val="center"/>
          </w:tcPr>
          <w:p>
            <w:pPr>
              <w:jc w:val="center"/>
              <w:rPr>
                <w:rFonts w:hint="eastAsia"/>
                <w:szCs w:val="21"/>
              </w:rPr>
            </w:pPr>
            <w:r>
              <w:rPr>
                <w:rFonts w:hint="eastAsia"/>
                <w:szCs w:val="21"/>
              </w:rPr>
              <w:t>汽车吊租赁</w:t>
            </w:r>
          </w:p>
        </w:tc>
        <w:tc>
          <w:tcPr>
            <w:tcW w:w="1134" w:type="dxa"/>
            <w:vAlign w:val="center"/>
          </w:tcPr>
          <w:p>
            <w:pPr>
              <w:jc w:val="center"/>
              <w:rPr>
                <w:rFonts w:hint="eastAsia"/>
                <w:szCs w:val="21"/>
              </w:rPr>
            </w:pPr>
            <w:r>
              <w:rPr>
                <w:rFonts w:hint="eastAsia"/>
                <w:szCs w:val="21"/>
              </w:rPr>
              <w:t>70t</w:t>
            </w:r>
          </w:p>
        </w:tc>
        <w:tc>
          <w:tcPr>
            <w:tcW w:w="1276" w:type="dxa"/>
            <w:vAlign w:val="center"/>
          </w:tcPr>
          <w:p>
            <w:pPr>
              <w:jc w:val="center"/>
              <w:rPr>
                <w:rFonts w:hint="eastAsia"/>
                <w:szCs w:val="21"/>
              </w:rPr>
            </w:pPr>
            <w:r>
              <w:rPr>
                <w:rFonts w:hint="eastAsia"/>
                <w:szCs w:val="21"/>
              </w:rPr>
              <w:t>13</w:t>
            </w:r>
          </w:p>
        </w:tc>
        <w:tc>
          <w:tcPr>
            <w:tcW w:w="1418" w:type="dxa"/>
            <w:vAlign w:val="center"/>
          </w:tcPr>
          <w:p>
            <w:pPr>
              <w:jc w:val="center"/>
              <w:rPr>
                <w:rFonts w:hint="eastAsia"/>
                <w:szCs w:val="21"/>
              </w:rPr>
            </w:pPr>
            <w:r>
              <w:rPr>
                <w:rFonts w:hint="eastAsia"/>
                <w:szCs w:val="21"/>
              </w:rPr>
              <w:t>2500</w:t>
            </w:r>
          </w:p>
        </w:tc>
        <w:tc>
          <w:tcPr>
            <w:tcW w:w="1417" w:type="dxa"/>
            <w:vAlign w:val="center"/>
          </w:tcPr>
          <w:p>
            <w:pPr>
              <w:jc w:val="center"/>
              <w:rPr>
                <w:rFonts w:hint="eastAsia"/>
                <w:szCs w:val="21"/>
              </w:rPr>
            </w:pPr>
            <w:r>
              <w:rPr>
                <w:rFonts w:hint="eastAsia"/>
                <w:szCs w:val="21"/>
              </w:rPr>
              <w:t>32500</w:t>
            </w:r>
          </w:p>
        </w:tc>
        <w:tc>
          <w:tcPr>
            <w:tcW w:w="1638" w:type="dxa"/>
            <w:vAlign w:val="center"/>
          </w:tcPr>
          <w:p>
            <w:pPr>
              <w:jc w:val="center"/>
              <w:rPr>
                <w:rFonts w:hint="eastAsia"/>
                <w:szCs w:val="21"/>
              </w:rPr>
            </w:pPr>
            <w:r>
              <w:rPr>
                <w:rFonts w:hint="eastAsia"/>
                <w:szCs w:val="21"/>
              </w:rPr>
              <w:t>国家标准、行业标准及甲方技术要求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29" w:hRule="atLeast"/>
        </w:trPr>
        <w:tc>
          <w:tcPr>
            <w:tcW w:w="918" w:type="dxa"/>
            <w:vAlign w:val="center"/>
          </w:tcPr>
          <w:p>
            <w:pPr>
              <w:jc w:val="center"/>
              <w:rPr>
                <w:rFonts w:hint="eastAsia"/>
                <w:szCs w:val="21"/>
              </w:rPr>
            </w:pPr>
            <w:r>
              <w:rPr>
                <w:rFonts w:hint="eastAsia"/>
                <w:szCs w:val="21"/>
              </w:rPr>
              <w:t>5</w:t>
            </w:r>
          </w:p>
        </w:tc>
        <w:tc>
          <w:tcPr>
            <w:tcW w:w="1458" w:type="dxa"/>
            <w:vAlign w:val="center"/>
          </w:tcPr>
          <w:p>
            <w:pPr>
              <w:jc w:val="center"/>
              <w:rPr>
                <w:rFonts w:hint="eastAsia"/>
                <w:szCs w:val="21"/>
              </w:rPr>
            </w:pPr>
            <w:r>
              <w:rPr>
                <w:rFonts w:hint="eastAsia"/>
                <w:szCs w:val="21"/>
              </w:rPr>
              <w:t>汽车吊租赁</w:t>
            </w:r>
          </w:p>
        </w:tc>
        <w:tc>
          <w:tcPr>
            <w:tcW w:w="1134" w:type="dxa"/>
            <w:vAlign w:val="center"/>
          </w:tcPr>
          <w:p>
            <w:pPr>
              <w:jc w:val="center"/>
              <w:rPr>
                <w:rFonts w:hint="eastAsia"/>
                <w:szCs w:val="21"/>
              </w:rPr>
            </w:pPr>
            <w:r>
              <w:rPr>
                <w:rFonts w:hint="eastAsia"/>
                <w:szCs w:val="21"/>
              </w:rPr>
              <w:t>100t</w:t>
            </w:r>
          </w:p>
        </w:tc>
        <w:tc>
          <w:tcPr>
            <w:tcW w:w="1276" w:type="dxa"/>
            <w:vAlign w:val="center"/>
          </w:tcPr>
          <w:p>
            <w:pPr>
              <w:jc w:val="center"/>
              <w:rPr>
                <w:rFonts w:hint="eastAsia"/>
                <w:szCs w:val="21"/>
              </w:rPr>
            </w:pPr>
            <w:r>
              <w:rPr>
                <w:rFonts w:hint="eastAsia"/>
                <w:szCs w:val="21"/>
              </w:rPr>
              <w:t>6</w:t>
            </w:r>
          </w:p>
        </w:tc>
        <w:tc>
          <w:tcPr>
            <w:tcW w:w="1418" w:type="dxa"/>
            <w:vAlign w:val="center"/>
          </w:tcPr>
          <w:p>
            <w:pPr>
              <w:jc w:val="center"/>
              <w:rPr>
                <w:rFonts w:hint="eastAsia"/>
                <w:szCs w:val="21"/>
              </w:rPr>
            </w:pPr>
            <w:r>
              <w:rPr>
                <w:rFonts w:hint="eastAsia"/>
                <w:szCs w:val="21"/>
              </w:rPr>
              <w:t>5000</w:t>
            </w:r>
          </w:p>
        </w:tc>
        <w:tc>
          <w:tcPr>
            <w:tcW w:w="1417" w:type="dxa"/>
            <w:vAlign w:val="center"/>
          </w:tcPr>
          <w:p>
            <w:pPr>
              <w:jc w:val="center"/>
              <w:rPr>
                <w:rFonts w:hint="eastAsia"/>
                <w:szCs w:val="21"/>
              </w:rPr>
            </w:pPr>
            <w:r>
              <w:rPr>
                <w:rFonts w:hint="eastAsia"/>
                <w:szCs w:val="21"/>
              </w:rPr>
              <w:t>30000</w:t>
            </w:r>
          </w:p>
        </w:tc>
        <w:tc>
          <w:tcPr>
            <w:tcW w:w="1638" w:type="dxa"/>
            <w:vAlign w:val="center"/>
          </w:tcPr>
          <w:p>
            <w:pPr>
              <w:jc w:val="center"/>
              <w:rPr>
                <w:rFonts w:hint="eastAsia"/>
                <w:szCs w:val="21"/>
              </w:rPr>
            </w:pPr>
            <w:r>
              <w:rPr>
                <w:rFonts w:hint="eastAsia"/>
                <w:szCs w:val="21"/>
              </w:rPr>
              <w:t>国家标准、行业标准及甲方技术要求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29" w:hRule="atLeast"/>
        </w:trPr>
        <w:tc>
          <w:tcPr>
            <w:tcW w:w="918" w:type="dxa"/>
            <w:vAlign w:val="center"/>
          </w:tcPr>
          <w:p>
            <w:pPr>
              <w:jc w:val="center"/>
              <w:rPr>
                <w:rFonts w:hint="eastAsia"/>
                <w:szCs w:val="21"/>
              </w:rPr>
            </w:pPr>
            <w:r>
              <w:rPr>
                <w:rFonts w:hint="eastAsia"/>
                <w:szCs w:val="21"/>
              </w:rPr>
              <w:t>6</w:t>
            </w:r>
          </w:p>
        </w:tc>
        <w:tc>
          <w:tcPr>
            <w:tcW w:w="1458" w:type="dxa"/>
            <w:vAlign w:val="center"/>
          </w:tcPr>
          <w:p>
            <w:pPr>
              <w:jc w:val="center"/>
              <w:rPr>
                <w:rFonts w:hint="eastAsia"/>
                <w:szCs w:val="21"/>
              </w:rPr>
            </w:pPr>
            <w:r>
              <w:rPr>
                <w:rFonts w:hint="eastAsia"/>
                <w:szCs w:val="21"/>
              </w:rPr>
              <w:t>汽车吊租赁</w:t>
            </w:r>
          </w:p>
        </w:tc>
        <w:tc>
          <w:tcPr>
            <w:tcW w:w="1134" w:type="dxa"/>
            <w:vAlign w:val="center"/>
          </w:tcPr>
          <w:p>
            <w:pPr>
              <w:jc w:val="center"/>
              <w:rPr>
                <w:rFonts w:hint="eastAsia"/>
                <w:szCs w:val="21"/>
              </w:rPr>
            </w:pPr>
            <w:r>
              <w:rPr>
                <w:rFonts w:hint="eastAsia"/>
                <w:szCs w:val="21"/>
              </w:rPr>
              <w:t>200t</w:t>
            </w:r>
          </w:p>
        </w:tc>
        <w:tc>
          <w:tcPr>
            <w:tcW w:w="1276" w:type="dxa"/>
            <w:vAlign w:val="center"/>
          </w:tcPr>
          <w:p>
            <w:pPr>
              <w:jc w:val="center"/>
              <w:rPr>
                <w:rFonts w:hint="eastAsia"/>
                <w:szCs w:val="21"/>
              </w:rPr>
            </w:pPr>
            <w:r>
              <w:rPr>
                <w:rFonts w:hint="eastAsia"/>
                <w:szCs w:val="21"/>
              </w:rPr>
              <w:t>3</w:t>
            </w:r>
          </w:p>
        </w:tc>
        <w:tc>
          <w:tcPr>
            <w:tcW w:w="1418" w:type="dxa"/>
            <w:vAlign w:val="center"/>
          </w:tcPr>
          <w:p>
            <w:pPr>
              <w:jc w:val="center"/>
              <w:rPr>
                <w:rFonts w:hint="eastAsia"/>
                <w:szCs w:val="21"/>
              </w:rPr>
            </w:pPr>
            <w:r>
              <w:rPr>
                <w:rFonts w:hint="eastAsia"/>
                <w:szCs w:val="21"/>
              </w:rPr>
              <w:t>15000</w:t>
            </w:r>
          </w:p>
        </w:tc>
        <w:tc>
          <w:tcPr>
            <w:tcW w:w="1417" w:type="dxa"/>
            <w:vAlign w:val="center"/>
          </w:tcPr>
          <w:p>
            <w:pPr>
              <w:jc w:val="center"/>
              <w:rPr>
                <w:rFonts w:hint="eastAsia"/>
                <w:szCs w:val="21"/>
              </w:rPr>
            </w:pPr>
            <w:r>
              <w:rPr>
                <w:rFonts w:hint="eastAsia"/>
                <w:szCs w:val="21"/>
              </w:rPr>
              <w:t>45000</w:t>
            </w:r>
          </w:p>
        </w:tc>
        <w:tc>
          <w:tcPr>
            <w:tcW w:w="1638" w:type="dxa"/>
            <w:vAlign w:val="center"/>
          </w:tcPr>
          <w:p>
            <w:pPr>
              <w:jc w:val="center"/>
              <w:rPr>
                <w:rFonts w:hint="eastAsia"/>
                <w:szCs w:val="21"/>
              </w:rPr>
            </w:pPr>
            <w:r>
              <w:rPr>
                <w:rFonts w:hint="eastAsia"/>
                <w:szCs w:val="21"/>
              </w:rPr>
              <w:t>国家标准、行业标准及甲方技术要求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29" w:hRule="atLeast"/>
        </w:trPr>
        <w:tc>
          <w:tcPr>
            <w:tcW w:w="918" w:type="dxa"/>
            <w:vAlign w:val="center"/>
          </w:tcPr>
          <w:p>
            <w:pPr>
              <w:jc w:val="center"/>
              <w:rPr>
                <w:rFonts w:hint="eastAsia"/>
                <w:szCs w:val="21"/>
              </w:rPr>
            </w:pPr>
          </w:p>
        </w:tc>
        <w:tc>
          <w:tcPr>
            <w:tcW w:w="1458" w:type="dxa"/>
            <w:vAlign w:val="center"/>
          </w:tcPr>
          <w:p>
            <w:pPr>
              <w:jc w:val="center"/>
              <w:rPr>
                <w:rFonts w:hint="eastAsia"/>
                <w:szCs w:val="21"/>
              </w:rPr>
            </w:pPr>
            <w:r>
              <w:rPr>
                <w:rFonts w:hint="eastAsia"/>
                <w:szCs w:val="21"/>
              </w:rPr>
              <w:t>合计</w:t>
            </w:r>
          </w:p>
        </w:tc>
        <w:tc>
          <w:tcPr>
            <w:tcW w:w="1134" w:type="dxa"/>
            <w:vAlign w:val="center"/>
          </w:tcPr>
          <w:p>
            <w:pPr>
              <w:jc w:val="center"/>
              <w:rPr>
                <w:rFonts w:hint="eastAsia"/>
                <w:szCs w:val="21"/>
              </w:rPr>
            </w:pPr>
          </w:p>
        </w:tc>
        <w:tc>
          <w:tcPr>
            <w:tcW w:w="1276" w:type="dxa"/>
            <w:vAlign w:val="center"/>
          </w:tcPr>
          <w:p>
            <w:pPr>
              <w:jc w:val="center"/>
              <w:rPr>
                <w:rFonts w:hint="eastAsia"/>
                <w:szCs w:val="21"/>
              </w:rPr>
            </w:pPr>
          </w:p>
        </w:tc>
        <w:tc>
          <w:tcPr>
            <w:tcW w:w="1418" w:type="dxa"/>
            <w:vAlign w:val="center"/>
          </w:tcPr>
          <w:p>
            <w:pPr>
              <w:jc w:val="center"/>
              <w:rPr>
                <w:rFonts w:hint="eastAsia"/>
                <w:szCs w:val="21"/>
              </w:rPr>
            </w:pPr>
          </w:p>
        </w:tc>
        <w:tc>
          <w:tcPr>
            <w:tcW w:w="1417" w:type="dxa"/>
            <w:vAlign w:val="center"/>
          </w:tcPr>
          <w:p>
            <w:pPr>
              <w:jc w:val="center"/>
              <w:rPr>
                <w:rFonts w:hint="eastAsia"/>
                <w:szCs w:val="21"/>
              </w:rPr>
            </w:pPr>
            <w:r>
              <w:rPr>
                <w:rFonts w:hint="eastAsia"/>
                <w:szCs w:val="21"/>
              </w:rPr>
              <w:t>201200</w:t>
            </w:r>
          </w:p>
        </w:tc>
        <w:tc>
          <w:tcPr>
            <w:tcW w:w="1638"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275" w:type="dxa"/>
            <w:gridSpan w:val="8"/>
            <w:vAlign w:val="center"/>
          </w:tcPr>
          <w:p>
            <w:pPr>
              <w:pStyle w:val="12"/>
              <w:numPr>
                <w:ilvl w:val="0"/>
                <w:numId w:val="0"/>
              </w:numPr>
              <w:spacing w:line="360" w:lineRule="auto"/>
              <w:outlineLvl w:val="0"/>
              <w:rPr>
                <w:rFonts w:ascii="宋体" w:hAnsi="宋体"/>
                <w:sz w:val="24"/>
              </w:rPr>
            </w:pPr>
            <w:r>
              <w:rPr>
                <w:sz w:val="24"/>
              </w:rPr>
              <w:t>结算方式</w:t>
            </w:r>
            <w:r>
              <w:rPr>
                <w:szCs w:val="21"/>
              </w:rPr>
              <w:t>:</w:t>
            </w:r>
            <w:r>
              <w:rPr>
                <w:rFonts w:hint="eastAsia" w:ascii="宋体" w:hAnsi="宋体"/>
                <w:sz w:val="24"/>
              </w:rPr>
              <w:t>合同生效后，乙方以甲方电话通知进场作业。待每次作业完毕甲、乙双方办理验收结算单，每</w:t>
            </w:r>
            <w:r>
              <w:rPr>
                <w:rFonts w:hint="eastAsia" w:ascii="宋体" w:hAnsi="宋体"/>
                <w:sz w:val="24"/>
                <w:lang w:val="en-US" w:eastAsia="zh-CN"/>
              </w:rPr>
              <w:t>月</w:t>
            </w:r>
            <w:r>
              <w:rPr>
                <w:rFonts w:hint="eastAsia" w:ascii="宋体" w:hAnsi="宋体"/>
                <w:sz w:val="24"/>
              </w:rPr>
              <w:t>乙方按照结算单的累积总价开具全额有效增值税专用发票并财务录入后根据甲方资金计划付款。每次作业完毕，甲方对本次作业进行验收结算，</w:t>
            </w:r>
            <w:r>
              <w:rPr>
                <w:rFonts w:hint="eastAsia" w:ascii="宋体" w:hAnsi="宋体"/>
                <w:sz w:val="24"/>
                <w:lang w:val="en-US" w:eastAsia="zh-CN"/>
              </w:rPr>
              <w:t>1</w:t>
            </w:r>
            <w:r>
              <w:rPr>
                <w:rFonts w:hint="eastAsia" w:ascii="宋体" w:hAnsi="宋体"/>
                <w:sz w:val="24"/>
              </w:rPr>
              <w:t>台班</w:t>
            </w:r>
            <w:r>
              <w:rPr>
                <w:rFonts w:ascii="宋体" w:hAnsi="宋体"/>
                <w:sz w:val="24"/>
              </w:rPr>
              <w:t>=8</w:t>
            </w:r>
            <w:r>
              <w:rPr>
                <w:rFonts w:hint="eastAsia" w:ascii="宋体" w:hAnsi="宋体"/>
                <w:sz w:val="24"/>
              </w:rPr>
              <w:t>小时，吊装作业以进入吊装现场计时，吊装作业时间不足</w:t>
            </w:r>
            <w:r>
              <w:rPr>
                <w:rFonts w:ascii="宋体" w:hAnsi="宋体"/>
                <w:sz w:val="24"/>
              </w:rPr>
              <w:t>4</w:t>
            </w:r>
            <w:r>
              <w:rPr>
                <w:rFonts w:hint="eastAsia" w:ascii="宋体" w:hAnsi="宋体"/>
                <w:sz w:val="24"/>
              </w:rPr>
              <w:t>小时按半个台班计算费用，超出</w:t>
            </w:r>
            <w:r>
              <w:rPr>
                <w:rFonts w:ascii="宋体" w:hAnsi="宋体"/>
                <w:sz w:val="24"/>
              </w:rPr>
              <w:t>4</w:t>
            </w:r>
            <w:r>
              <w:rPr>
                <w:rFonts w:hint="eastAsia" w:ascii="宋体" w:hAnsi="宋体"/>
                <w:sz w:val="24"/>
              </w:rPr>
              <w:t>小时不足</w:t>
            </w:r>
            <w:r>
              <w:rPr>
                <w:rFonts w:ascii="宋体" w:hAnsi="宋体"/>
                <w:sz w:val="24"/>
              </w:rPr>
              <w:t>8</w:t>
            </w:r>
            <w:r>
              <w:rPr>
                <w:rFonts w:hint="eastAsia" w:ascii="宋体" w:hAnsi="宋体"/>
                <w:sz w:val="24"/>
              </w:rPr>
              <w:t>小时按</w:t>
            </w:r>
            <w:r>
              <w:rPr>
                <w:rFonts w:ascii="宋体" w:hAnsi="宋体"/>
                <w:sz w:val="24"/>
              </w:rPr>
              <w:t>1</w:t>
            </w:r>
            <w:r>
              <w:rPr>
                <w:rFonts w:hint="eastAsia" w:ascii="宋体" w:hAnsi="宋体"/>
                <w:sz w:val="24"/>
              </w:rPr>
              <w:t>个台班计算费用。</w:t>
            </w:r>
          </w:p>
          <w:p>
            <w:pPr>
              <w:jc w:val="left"/>
              <w:rPr>
                <w:szCs w:val="21"/>
              </w:rPr>
            </w:pPr>
            <w:r>
              <w:rPr>
                <w:szCs w:val="21"/>
              </w:rPr>
              <w:t>付款方式：</w:t>
            </w:r>
            <w:r>
              <w:rPr>
                <w:rFonts w:hint="eastAsia"/>
                <w:szCs w:val="21"/>
              </w:rPr>
              <w:t>电汇</w:t>
            </w:r>
            <w:r>
              <w:rPr>
                <w:szCs w:val="21"/>
              </w:rPr>
              <w:t>。</w:t>
            </w:r>
            <w:r>
              <w:rPr>
                <w:szCs w:val="21"/>
              </w:rPr>
              <w:br w:type="textWrapping"/>
            </w:r>
            <w:r>
              <w:rPr>
                <w:szCs w:val="21"/>
              </w:rPr>
              <w:t>承包方式：</w:t>
            </w:r>
            <w:r>
              <w:rPr>
                <w:rFonts w:hint="eastAsia" w:ascii="宋体" w:hAnsi="宋体"/>
                <w:sz w:val="24"/>
              </w:rPr>
              <w:t>包工包吊车，</w:t>
            </w:r>
            <w:r>
              <w:rPr>
                <w:sz w:val="24"/>
              </w:rPr>
              <w:t>含</w:t>
            </w:r>
            <w:r>
              <w:rPr>
                <w:rFonts w:hint="eastAsia"/>
                <w:sz w:val="24"/>
              </w:rPr>
              <w:t>服务</w:t>
            </w:r>
            <w:r>
              <w:rPr>
                <w:sz w:val="24"/>
              </w:rPr>
              <w:t>中所有产生的费用</w:t>
            </w:r>
            <w:r>
              <w:rPr>
                <w:szCs w:val="21"/>
              </w:rPr>
              <w:t>。</w:t>
            </w:r>
          </w:p>
        </w:tc>
      </w:tr>
    </w:tbl>
    <w:p>
      <w:pPr>
        <w:rPr>
          <w:sz w:val="32"/>
          <w:szCs w:val="32"/>
        </w:rPr>
      </w:pPr>
    </w:p>
    <w:p>
      <w:pPr>
        <w:numPr>
          <w:ilvl w:val="0"/>
          <w:numId w:val="1"/>
        </w:numPr>
        <w:rPr>
          <w:b/>
          <w:bCs/>
          <w:sz w:val="32"/>
          <w:szCs w:val="32"/>
        </w:rPr>
      </w:pPr>
      <w:r>
        <w:rPr>
          <w:rFonts w:hint="eastAsia"/>
          <w:b/>
          <w:bCs/>
          <w:sz w:val="32"/>
          <w:szCs w:val="32"/>
        </w:rPr>
        <w:t>本次服务其他要求及规范说明</w:t>
      </w:r>
    </w:p>
    <w:p>
      <w:pPr>
        <w:spacing w:line="500" w:lineRule="exact"/>
        <w:outlineLvl w:val="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（1）乙方安排项目负责人，负责安全、环保、作业质量、作业进度、作业验收等全部工作；项目负责人指定专职安全员负责安全方面工作。</w:t>
      </w:r>
    </w:p>
    <w:p>
      <w:pPr>
        <w:spacing w:line="500" w:lineRule="exact"/>
        <w:outlineLvl w:val="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（2）保证作业现场清洁卫生，真正达到工完场地清等有关规定，并承担因违反规定造成的损失和罚款。</w:t>
      </w:r>
    </w:p>
    <w:p>
      <w:pPr>
        <w:spacing w:line="500" w:lineRule="exact"/>
        <w:outlineLvl w:val="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（3）乙方项目负责人接受甲方项目负责人做书面技术安全交底。</w:t>
      </w:r>
    </w:p>
    <w:p>
      <w:pPr>
        <w:spacing w:line="500" w:lineRule="exact"/>
        <w:outlineLvl w:val="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（4）乙方项目负责人吊装作业前必须与甲方合同签订部门签订安全生产管理协议。</w:t>
      </w:r>
    </w:p>
    <w:p>
      <w:pPr>
        <w:spacing w:line="500" w:lineRule="exact"/>
        <w:outlineLvl w:val="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（5）起重吊装的作业人员必须经过专业培训并持证上岗。</w:t>
      </w:r>
    </w:p>
    <w:p>
      <w:pPr>
        <w:spacing w:line="500" w:lineRule="exact"/>
        <w:outlineLvl w:val="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（6）在卸车，转运，吊装过程中，听从起重工的指挥，确保货物和人员的安全，如因乙方原因造成双方财产损坏和人员受伤应由乙方承担责任负责赔偿。</w:t>
      </w:r>
    </w:p>
    <w:p>
      <w:pPr>
        <w:spacing w:line="500" w:lineRule="exact"/>
        <w:outlineLvl w:val="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（7）甲方对乙方吊装服务的管理部门为设备管理部，乙方按甲方设备管理部负责人的要求时间到达指定地点，吊装过程中服从甲方人员的统一管理。</w:t>
      </w:r>
    </w:p>
    <w:p>
      <w:pPr>
        <w:spacing w:line="500" w:lineRule="exact"/>
        <w:outlineLvl w:val="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（8）服从甲方起重工的指挥调度，严格遵守吊装规程和《十不吊》有权拒绝违章指挥。</w:t>
      </w:r>
    </w:p>
    <w:p>
      <w:pPr>
        <w:spacing w:line="500" w:lineRule="exact"/>
        <w:outlineLvl w:val="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（9）在吊装前，双方根据现场的实际情况制定吊装方案，并经甲方安全部门或使用部门批准后方可实施。</w:t>
      </w:r>
    </w:p>
    <w:p>
      <w:pPr>
        <w:spacing w:line="500" w:lineRule="exact"/>
        <w:outlineLvl w:val="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（10）乙方应提供性能良好、证件齐全的车辆，相关人员持证上岗，吊装作业的机械，车辆及人员费用由乙方承担。</w:t>
      </w:r>
    </w:p>
    <w:p>
      <w:pPr>
        <w:spacing w:line="500" w:lineRule="exact"/>
        <w:outlineLvl w:val="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（11）乙方应对甲方所租用的吊车及乙方现场施工人员上有商业车辆保险和人身工伤或意外伤害保险。</w:t>
      </w:r>
    </w:p>
    <w:p>
      <w:pPr>
        <w:spacing w:line="500" w:lineRule="exact"/>
        <w:outlineLvl w:val="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（12）乙方应给乙方施工人员提供必要的劳动保护用品（安全帽，手套，劳保鞋等）并要求甲方安全员告知并辨识施工作业中的危险源并采取相应的安全措施。</w:t>
      </w:r>
    </w:p>
    <w:p>
      <w:pPr>
        <w:spacing w:line="500" w:lineRule="exact"/>
        <w:outlineLvl w:val="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（13）进入甲方场地，应遵守甲方的各项安全规章制度。</w:t>
      </w:r>
    </w:p>
    <w:p>
      <w:pPr>
        <w:spacing w:line="500" w:lineRule="exact"/>
        <w:outlineLvl w:val="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（14）乙方在作业前需提供对应型号吊车的检验报告及相关手续，方可使用吊车。</w:t>
      </w:r>
    </w:p>
    <w:p>
      <w:pPr>
        <w:spacing w:line="500" w:lineRule="exact"/>
        <w:outlineLvl w:val="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（15）对作业人员加强安全教育工作，遵守安全技术操作规程和安全制度。作业车辆机械的事故引起的一切经济损失，由乙方承担全部责任。</w:t>
      </w:r>
    </w:p>
    <w:p>
      <w:pPr>
        <w:rPr>
          <w:b/>
          <w:bCs/>
          <w:sz w:val="32"/>
          <w:szCs w:val="32"/>
          <w:highlight w:val="yellow"/>
        </w:rPr>
      </w:pPr>
      <w:r>
        <w:rPr>
          <w:rFonts w:hint="eastAsia"/>
          <w:b/>
          <w:bCs/>
          <w:sz w:val="32"/>
          <w:szCs w:val="32"/>
        </w:rPr>
        <w:t>七、中标后签订合同需准备资料</w:t>
      </w:r>
    </w:p>
    <w:tbl>
      <w:tblPr>
        <w:tblStyle w:val="6"/>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718"/>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序号</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审查内容</w:t>
            </w:r>
          </w:p>
        </w:tc>
        <w:tc>
          <w:tcPr>
            <w:tcW w:w="642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lang w:val="en-US" w:eastAsia="zh-CN"/>
              </w:rPr>
              <w:t>1</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营业执照</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lang w:val="en-US" w:eastAsia="zh-CN"/>
              </w:rPr>
              <w:t>2</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法定代表人身份证</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lang w:val="en-US" w:eastAsia="zh-CN"/>
              </w:rPr>
              <w:t>3</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法定代表人授权委托书及身份证</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合同或安全协议签订人不是法人代表本人时，须提供授权委托书（由法定代表人签字或签章，有身份证照片并加盖公司公章。）及委托代理人身份证。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lang w:val="en-US" w:eastAsia="zh-CN"/>
              </w:rPr>
              <w:t>4</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施工业绩</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485" w:type="dxa"/>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lang w:val="en-US" w:eastAsia="zh-CN"/>
              </w:rPr>
              <w:t>5</w:t>
            </w:r>
          </w:p>
        </w:tc>
        <w:tc>
          <w:tcPr>
            <w:tcW w:w="1718" w:type="dxa"/>
            <w:vAlign w:val="center"/>
          </w:tcPr>
          <w:p>
            <w:pPr>
              <w:widowControl/>
              <w:jc w:val="center"/>
              <w:rPr>
                <w:rFonts w:ascii="仿宋" w:hAnsi="仿宋" w:eastAsia="仿宋" w:cs="仿宋"/>
                <w:bCs/>
                <w:szCs w:val="21"/>
              </w:rPr>
            </w:pPr>
            <w:r>
              <w:rPr>
                <w:rFonts w:hint="eastAsia" w:ascii="仿宋" w:hAnsi="仿宋" w:eastAsia="仿宋" w:cs="仿宋"/>
                <w:bCs/>
                <w:szCs w:val="21"/>
              </w:rPr>
              <w:t>安全施工保证金</w:t>
            </w:r>
          </w:p>
        </w:tc>
        <w:tc>
          <w:tcPr>
            <w:tcW w:w="6428" w:type="dxa"/>
          </w:tcPr>
          <w:p>
            <w:pPr>
              <w:widowControl/>
              <w:rPr>
                <w:rFonts w:ascii="仿宋" w:hAnsi="仿宋" w:eastAsia="仿宋" w:cs="仿宋"/>
                <w:bCs/>
                <w:szCs w:val="21"/>
              </w:rPr>
            </w:pPr>
            <w:r>
              <w:rPr>
                <w:rFonts w:hint="eastAsia" w:ascii="仿宋" w:hAnsi="仿宋" w:eastAsia="仿宋" w:cs="仿宋"/>
                <w:bCs/>
                <w:szCs w:val="21"/>
              </w:rPr>
              <w:t>按照项目进行缴纳，每个项目均需缴纳安全保证金，金额按照合同标的2%-10%（最低不少于2000元，最高不多于20万元）；如外包单位没有缴纳安全责任险或意外险，需缴纳不低于150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lang w:val="en-US" w:eastAsia="zh-CN"/>
              </w:rPr>
              <w:t>6</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安全承诺</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lang w:val="en-US" w:eastAsia="zh-CN"/>
              </w:rPr>
              <w:t>7</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三项管理制度及生产安全事故应急救援预案</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485" w:type="dxa"/>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lang w:val="en-US" w:eastAsia="zh-CN"/>
              </w:rPr>
              <w:t>8</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项目负责人、拟进场专（兼）职安全管理人员的证书及特种作业人员操作证</w:t>
            </w:r>
          </w:p>
        </w:tc>
        <w:tc>
          <w:tcPr>
            <w:tcW w:w="6428" w:type="dxa"/>
          </w:tcPr>
          <w:p>
            <w:pPr>
              <w:widowControl/>
              <w:spacing w:line="340" w:lineRule="exact"/>
              <w:jc w:val="left"/>
              <w:rPr>
                <w:rFonts w:ascii="仿宋" w:hAnsi="仿宋" w:eastAsia="仿宋" w:cs="仿宋"/>
                <w:bCs/>
                <w:szCs w:val="21"/>
              </w:rPr>
            </w:pPr>
            <w:r>
              <w:rPr>
                <w:rFonts w:hint="eastAsia" w:ascii="仿宋" w:hAnsi="仿宋" w:eastAsia="仿宋" w:cs="仿宋"/>
                <w:bCs/>
                <w:szCs w:val="21"/>
              </w:rPr>
              <w:t>1、项目负责人、安全管理人员培训合格证明必须真实有效，且在有效期内，加盖单位公章。提供的安全管理人员必须在本次作业人员名单中，并负责现场安全。</w:t>
            </w:r>
          </w:p>
          <w:p>
            <w:pPr>
              <w:widowControl/>
              <w:rPr>
                <w:rFonts w:ascii="仿宋" w:hAnsi="仿宋" w:eastAsia="仿宋" w:cs="仿宋"/>
                <w:b/>
                <w:bCs/>
                <w:color w:val="000000"/>
                <w:kern w:val="0"/>
                <w:szCs w:val="21"/>
              </w:rPr>
            </w:pPr>
            <w:r>
              <w:rPr>
                <w:rFonts w:hint="eastAsia" w:ascii="仿宋" w:hAnsi="仿宋" w:eastAsia="仿宋" w:cs="仿宋"/>
                <w:bCs/>
                <w:szCs w:val="21"/>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85" w:type="dxa"/>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lang w:val="en-US" w:eastAsia="zh-CN"/>
              </w:rPr>
              <w:t>9</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拟进场作业人员清单及身份证件</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85" w:type="dxa"/>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lang w:val="en-US" w:eastAsia="zh-CN"/>
              </w:rPr>
              <w:t>10</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全体项目人员的安全教育培训考核记录</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提供每名进场作业人员考试试卷，必须本人答题，不得出现代答代签、替考问题，得分、判分有效，不得随意涂改；加盖公司公章。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85" w:type="dxa"/>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lang w:val="en-US" w:eastAsia="zh-CN"/>
              </w:rPr>
              <w:t>11</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涉及职业禁忌症作业人员的健康体检证明</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对电工、焊工等特种作业人员要提供由县级以上医院开具的体检报告原件及复印件。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485" w:type="dxa"/>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lang w:val="en-US" w:eastAsia="zh-CN"/>
              </w:rPr>
              <w:t>12</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涉及职业健康危害岗位人员的职业健康岗前体检证明</w:t>
            </w:r>
          </w:p>
        </w:tc>
        <w:tc>
          <w:tcPr>
            <w:tcW w:w="6428" w:type="dxa"/>
          </w:tcPr>
          <w:p>
            <w:pPr>
              <w:widowControl/>
              <w:rPr>
                <w:rFonts w:ascii="仿宋" w:hAnsi="仿宋" w:eastAsia="仿宋" w:cs="仿宋"/>
                <w:b/>
                <w:bCs/>
                <w:color w:val="000000"/>
                <w:kern w:val="0"/>
                <w:szCs w:val="21"/>
              </w:rPr>
            </w:pPr>
            <w:r>
              <w:rPr>
                <w:rFonts w:hint="eastAsia" w:ascii="仿宋" w:hAnsi="仿宋" w:eastAsia="仿宋" w:cs="仿宋"/>
                <w:bCs/>
                <w:szCs w:val="21"/>
              </w:rPr>
              <w:t>作业人员职业健康体检项目必须包含噪声、粉尘、高温项目（如作业项目确实不包含上述三项，经确认可减少），其他项目可根据实际情况进行添加。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485" w:type="dxa"/>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lang w:val="en-US" w:eastAsia="zh-CN"/>
              </w:rPr>
              <w:t>13</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拟进场作业人员缴纳工伤保险或人身意外伤害险证明</w:t>
            </w:r>
          </w:p>
        </w:tc>
        <w:tc>
          <w:tcPr>
            <w:tcW w:w="6428" w:type="dxa"/>
          </w:tcPr>
          <w:p>
            <w:pPr>
              <w:widowControl/>
              <w:spacing w:line="340" w:lineRule="exact"/>
              <w:jc w:val="left"/>
              <w:rPr>
                <w:rFonts w:ascii="仿宋" w:hAnsi="仿宋" w:eastAsia="仿宋" w:cs="仿宋"/>
                <w:bCs/>
                <w:szCs w:val="21"/>
              </w:rPr>
            </w:pPr>
            <w:r>
              <w:rPr>
                <w:rFonts w:hint="eastAsia" w:ascii="仿宋" w:hAnsi="仿宋" w:eastAsia="仿宋" w:cs="仿宋"/>
                <w:bCs/>
                <w:szCs w:val="21"/>
              </w:rPr>
              <w:t>1、提供的保险证明需由社保局或保险公司提供，并有社保局或保险公司印章。</w:t>
            </w:r>
          </w:p>
          <w:p>
            <w:pPr>
              <w:widowControl/>
              <w:spacing w:line="340" w:lineRule="exact"/>
              <w:jc w:val="left"/>
              <w:rPr>
                <w:rFonts w:ascii="仿宋" w:hAnsi="仿宋" w:eastAsia="仿宋" w:cs="仿宋"/>
                <w:bCs/>
                <w:szCs w:val="21"/>
              </w:rPr>
            </w:pPr>
            <w:r>
              <w:rPr>
                <w:rFonts w:hint="eastAsia" w:ascii="仿宋" w:hAnsi="仿宋" w:eastAsia="仿宋" w:cs="仿宋"/>
                <w:bCs/>
                <w:szCs w:val="21"/>
              </w:rPr>
              <w:t>2、人身意外伤害险保额不应低于工伤保险一次性工亡补助金的额度。</w:t>
            </w:r>
          </w:p>
          <w:p>
            <w:pPr>
              <w:widowControl/>
              <w:rPr>
                <w:rFonts w:ascii="仿宋" w:hAnsi="仿宋" w:eastAsia="仿宋" w:cs="仿宋"/>
                <w:b/>
                <w:bCs/>
                <w:color w:val="000000"/>
                <w:kern w:val="0"/>
                <w:szCs w:val="21"/>
              </w:rPr>
            </w:pPr>
            <w:r>
              <w:rPr>
                <w:rFonts w:hint="eastAsia" w:ascii="仿宋" w:hAnsi="仿宋" w:eastAsia="仿宋" w:cs="仿宋"/>
                <w:bCs/>
                <w:szCs w:val="21"/>
              </w:rPr>
              <w:t>3、保险的范围要包括作业项目。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5" w:type="dxa"/>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b/>
                <w:bCs/>
                <w:color w:val="000000"/>
                <w:kern w:val="0"/>
                <w:szCs w:val="21"/>
                <w:lang w:val="en-US" w:eastAsia="zh-CN"/>
              </w:rPr>
              <w:t>14</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拟进厂设备登记表</w:t>
            </w:r>
          </w:p>
        </w:tc>
        <w:tc>
          <w:tcPr>
            <w:tcW w:w="6428" w:type="dxa"/>
          </w:tcPr>
          <w:p>
            <w:pPr>
              <w:widowControl/>
              <w:spacing w:line="340" w:lineRule="exact"/>
              <w:jc w:val="left"/>
              <w:rPr>
                <w:rFonts w:ascii="仿宋" w:hAnsi="仿宋" w:eastAsia="仿宋" w:cs="仿宋"/>
                <w:bCs/>
                <w:szCs w:val="21"/>
              </w:rPr>
            </w:pPr>
            <w:r>
              <w:rPr>
                <w:rFonts w:hint="eastAsia" w:ascii="仿宋" w:hAnsi="仿宋" w:eastAsia="仿宋" w:cs="仿宋"/>
                <w:bCs/>
                <w:szCs w:val="21"/>
              </w:rPr>
              <w:t>1、需登记设备设施包含电焊机、手持电动工具、吊车、叉车及其他车辆、吊篮、起重工具（手拉葫芦、吊索具、千斤顶等）等，保证进场的设备设施安全可靠（需提供登记设备设施实际照片）。</w:t>
            </w:r>
          </w:p>
          <w:p>
            <w:pPr>
              <w:widowControl/>
              <w:rPr>
                <w:rFonts w:ascii="仿宋" w:hAnsi="仿宋" w:eastAsia="仿宋" w:cs="仿宋"/>
                <w:b/>
                <w:bCs/>
                <w:color w:val="000000"/>
                <w:kern w:val="0"/>
                <w:szCs w:val="21"/>
              </w:rPr>
            </w:pPr>
            <w:r>
              <w:rPr>
                <w:rFonts w:hint="eastAsia" w:ascii="仿宋" w:hAnsi="仿宋" w:eastAsia="仿宋" w:cs="仿宋"/>
                <w:bCs/>
                <w:szCs w:val="21"/>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485" w:type="dxa"/>
            <w:vAlign w:val="center"/>
          </w:tcPr>
          <w:p>
            <w:pPr>
              <w:widowControl/>
              <w:jc w:val="center"/>
              <w:rPr>
                <w:rFonts w:hint="default" w:ascii="仿宋" w:hAnsi="仿宋" w:eastAsia="仿宋" w:cs="仿宋"/>
                <w:b/>
                <w:bCs/>
                <w:color w:val="000000"/>
                <w:kern w:val="0"/>
                <w:szCs w:val="21"/>
                <w:lang w:val="en-US" w:eastAsia="zh-CN"/>
              </w:rPr>
            </w:pPr>
            <w:r>
              <w:rPr>
                <w:rFonts w:hint="eastAsia" w:ascii="仿宋" w:hAnsi="仿宋" w:eastAsia="仿宋" w:cs="仿宋"/>
                <w:b/>
                <w:bCs/>
                <w:color w:val="000000"/>
                <w:kern w:val="0"/>
                <w:szCs w:val="21"/>
                <w:lang w:val="en-US" w:eastAsia="zh-CN"/>
              </w:rPr>
              <w:t>15</w:t>
            </w:r>
          </w:p>
        </w:tc>
        <w:tc>
          <w:tcPr>
            <w:tcW w:w="1718" w:type="dxa"/>
            <w:vAlign w:val="center"/>
          </w:tcPr>
          <w:p>
            <w:pPr>
              <w:widowControl/>
              <w:jc w:val="center"/>
              <w:rPr>
                <w:rFonts w:ascii="仿宋" w:hAnsi="仿宋" w:eastAsia="仿宋" w:cs="仿宋"/>
                <w:b/>
                <w:bCs/>
                <w:color w:val="000000"/>
                <w:kern w:val="0"/>
                <w:szCs w:val="21"/>
              </w:rPr>
            </w:pPr>
            <w:r>
              <w:rPr>
                <w:rFonts w:hint="eastAsia" w:ascii="仿宋" w:hAnsi="仿宋" w:eastAsia="仿宋" w:cs="仿宋"/>
                <w:bCs/>
                <w:szCs w:val="21"/>
              </w:rPr>
              <w:t>安全施工（作业）方案</w:t>
            </w:r>
          </w:p>
        </w:tc>
        <w:tc>
          <w:tcPr>
            <w:tcW w:w="6428" w:type="dxa"/>
          </w:tcPr>
          <w:p>
            <w:pPr>
              <w:widowControl/>
              <w:spacing w:line="340" w:lineRule="exact"/>
              <w:jc w:val="left"/>
              <w:rPr>
                <w:rFonts w:ascii="仿宋" w:hAnsi="仿宋" w:eastAsia="仿宋" w:cs="仿宋"/>
                <w:bCs/>
                <w:szCs w:val="21"/>
              </w:rPr>
            </w:pPr>
            <w:r>
              <w:rPr>
                <w:rFonts w:hint="eastAsia" w:ascii="仿宋" w:hAnsi="仿宋" w:eastAsia="仿宋" w:cs="仿宋"/>
                <w:bCs/>
                <w:szCs w:val="21"/>
              </w:rPr>
              <w:t xml:space="preserve">1、施工方案：安全管理网络、施工方式、作业流程、技术方案措施等； </w:t>
            </w:r>
          </w:p>
          <w:p>
            <w:pPr>
              <w:widowControl/>
              <w:spacing w:line="340" w:lineRule="exact"/>
              <w:jc w:val="left"/>
              <w:rPr>
                <w:rFonts w:ascii="仿宋" w:hAnsi="仿宋" w:eastAsia="仿宋" w:cs="仿宋"/>
                <w:bCs/>
                <w:szCs w:val="21"/>
              </w:rPr>
            </w:pPr>
            <w:r>
              <w:rPr>
                <w:rFonts w:hint="eastAsia" w:ascii="仿宋" w:hAnsi="仿宋" w:eastAsia="仿宋" w:cs="仿宋"/>
                <w:bCs/>
                <w:szCs w:val="21"/>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ascii="仿宋" w:hAnsi="仿宋" w:eastAsia="仿宋" w:cs="仿宋"/>
                <w:bCs/>
                <w:szCs w:val="21"/>
              </w:rPr>
            </w:pPr>
            <w:r>
              <w:rPr>
                <w:rFonts w:hint="eastAsia" w:ascii="仿宋" w:hAnsi="仿宋" w:eastAsia="仿宋" w:cs="仿宋"/>
                <w:bCs/>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rPr>
                <w:rFonts w:ascii="仿宋" w:hAnsi="仿宋" w:eastAsia="仿宋" w:cs="仿宋"/>
                <w:b/>
                <w:bCs/>
                <w:color w:val="000000"/>
                <w:kern w:val="0"/>
                <w:szCs w:val="21"/>
              </w:rPr>
            </w:pPr>
            <w:r>
              <w:rPr>
                <w:rFonts w:hint="eastAsia" w:ascii="仿宋" w:hAnsi="仿宋" w:eastAsia="仿宋" w:cs="仿宋"/>
                <w:bCs/>
                <w:szCs w:val="21"/>
              </w:rPr>
              <w:t>4、应急处置措施：即发生事故后的应急处置措施，如何抢救伤者、如何逃离、如何扑灭初起火灾、如何进行事故报告等。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485" w:type="dxa"/>
            <w:vAlign w:val="center"/>
          </w:tcPr>
          <w:p>
            <w:pPr>
              <w:widowControl/>
              <w:jc w:val="center"/>
              <w:rPr>
                <w:rFonts w:hint="eastAsia" w:ascii="仿宋" w:hAnsi="仿宋" w:eastAsia="仿宋" w:cs="仿宋"/>
                <w:b/>
                <w:bCs/>
                <w:color w:val="000000"/>
                <w:kern w:val="0"/>
                <w:szCs w:val="21"/>
                <w:lang w:eastAsia="zh-CN"/>
              </w:rPr>
            </w:pPr>
            <w:r>
              <w:rPr>
                <w:rFonts w:hint="eastAsia" w:ascii="仿宋" w:hAnsi="仿宋" w:eastAsia="仿宋" w:cs="仿宋"/>
                <w:b/>
                <w:bCs/>
                <w:color w:val="000000"/>
                <w:kern w:val="0"/>
                <w:szCs w:val="21"/>
              </w:rPr>
              <w:t>1</w:t>
            </w:r>
            <w:r>
              <w:rPr>
                <w:rFonts w:hint="eastAsia" w:ascii="仿宋" w:hAnsi="仿宋" w:eastAsia="仿宋" w:cs="仿宋"/>
                <w:b/>
                <w:bCs/>
                <w:color w:val="000000"/>
                <w:kern w:val="0"/>
                <w:szCs w:val="21"/>
                <w:lang w:val="en-US" w:eastAsia="zh-CN"/>
              </w:rPr>
              <w:t>6</w:t>
            </w:r>
          </w:p>
        </w:tc>
        <w:tc>
          <w:tcPr>
            <w:tcW w:w="1718" w:type="dxa"/>
            <w:vAlign w:val="center"/>
          </w:tcPr>
          <w:p>
            <w:pPr>
              <w:widowControl/>
              <w:jc w:val="center"/>
              <w:rPr>
                <w:rFonts w:ascii="仿宋" w:hAnsi="仿宋" w:eastAsia="仿宋" w:cs="仿宋"/>
                <w:bCs/>
                <w:szCs w:val="21"/>
              </w:rPr>
            </w:pPr>
            <w:r>
              <w:rPr>
                <w:rFonts w:hint="eastAsia" w:ascii="仿宋" w:hAnsi="仿宋" w:eastAsia="仿宋" w:cs="仿宋"/>
                <w:bCs/>
                <w:szCs w:val="21"/>
              </w:rPr>
              <w:t>视具体情况需要审查的其他有关材料</w:t>
            </w:r>
          </w:p>
        </w:tc>
        <w:tc>
          <w:tcPr>
            <w:tcW w:w="6428" w:type="dxa"/>
          </w:tcPr>
          <w:p>
            <w:pPr>
              <w:widowControl/>
              <w:spacing w:line="340" w:lineRule="exact"/>
              <w:jc w:val="left"/>
              <w:rPr>
                <w:rFonts w:ascii="仿宋" w:hAnsi="仿宋" w:eastAsia="仿宋" w:cs="仿宋"/>
                <w:bCs/>
                <w:szCs w:val="21"/>
              </w:rPr>
            </w:pPr>
          </w:p>
        </w:tc>
      </w:tr>
    </w:tbl>
    <w:p>
      <w:pPr>
        <w:rPr>
          <w:b/>
          <w:bCs/>
          <w:sz w:val="32"/>
          <w:szCs w:val="32"/>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6A347"/>
    <w:multiLevelType w:val="singleLevel"/>
    <w:tmpl w:val="CB06A3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NmQ0OTRhNWQ5YmRmZjcwNzZhMDlhZTkzMzliZTEifQ=="/>
  </w:docVars>
  <w:rsids>
    <w:rsidRoot w:val="6A0718E3"/>
    <w:rsid w:val="00176385"/>
    <w:rsid w:val="00183956"/>
    <w:rsid w:val="00345A05"/>
    <w:rsid w:val="003B044F"/>
    <w:rsid w:val="003C1533"/>
    <w:rsid w:val="005340D2"/>
    <w:rsid w:val="005B2FD1"/>
    <w:rsid w:val="00694A4E"/>
    <w:rsid w:val="007271F5"/>
    <w:rsid w:val="007368AC"/>
    <w:rsid w:val="0074434B"/>
    <w:rsid w:val="007829D6"/>
    <w:rsid w:val="009741F5"/>
    <w:rsid w:val="00985ACD"/>
    <w:rsid w:val="00B54F9C"/>
    <w:rsid w:val="00B838B2"/>
    <w:rsid w:val="00C12254"/>
    <w:rsid w:val="00D876F2"/>
    <w:rsid w:val="00DE2BA0"/>
    <w:rsid w:val="00E47BBF"/>
    <w:rsid w:val="12923C1B"/>
    <w:rsid w:val="16F552AF"/>
    <w:rsid w:val="1D953CEF"/>
    <w:rsid w:val="322A1E2D"/>
    <w:rsid w:val="37742BDB"/>
    <w:rsid w:val="43CE13AD"/>
    <w:rsid w:val="44C72E65"/>
    <w:rsid w:val="4D3B236B"/>
    <w:rsid w:val="5C591A10"/>
    <w:rsid w:val="5DA13666"/>
    <w:rsid w:val="6A0718E3"/>
    <w:rsid w:val="75E867EB"/>
    <w:rsid w:val="7C3C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51"/>
    <w:basedOn w:val="7"/>
    <w:qFormat/>
    <w:uiPriority w:val="0"/>
    <w:rPr>
      <w:rFonts w:hint="eastAsia" w:ascii="等线" w:hAnsi="等线" w:eastAsia="等线" w:cs="等线"/>
      <w:color w:val="000000"/>
      <w:sz w:val="22"/>
      <w:szCs w:val="22"/>
      <w:u w:val="single"/>
    </w:rPr>
  </w:style>
  <w:style w:type="character" w:customStyle="1" w:styleId="9">
    <w:name w:val="font01"/>
    <w:basedOn w:val="7"/>
    <w:qFormat/>
    <w:uiPriority w:val="0"/>
    <w:rPr>
      <w:rFonts w:hint="eastAsia" w:ascii="等线" w:hAnsi="等线" w:eastAsia="等线" w:cs="等线"/>
      <w:color w:val="000000"/>
      <w:sz w:val="22"/>
      <w:szCs w:val="22"/>
      <w:u w:val="none"/>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 w:type="paragraph" w:styleId="12">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2722</Words>
  <Characters>2844</Characters>
  <Lines>22</Lines>
  <Paragraphs>6</Paragraphs>
  <TotalTime>1</TotalTime>
  <ScaleCrop>false</ScaleCrop>
  <LinksUpToDate>false</LinksUpToDate>
  <CharactersWithSpaces>2845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2022-12-04T07:16:00Z</dcterms:created>
  <dc:creator>沈</dc:creator>
  <cp:lastModifiedBy>易晓刚</cp:lastModifiedBy>
  <dcterms:modified xsi:type="dcterms:W3CDTF">2022-12-27T13:24:13Z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13C148C9A20649899E7C3FF3EB2B8F3C</vt:lpwstr>
  </property>
</Properties>
</file>