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0"/>
        <w:spacing w:before="360" w:line="360" w:lineRule="auto"/>
        <w:jc w:val="center"/>
        <w:rPr>
          <w:rFonts w:ascii="黑体" w:hAnsi="黑体" w:eastAsia="黑体"/>
          <w:color w:val="000000" w:themeColor="text1"/>
          <w:sz w:val="52"/>
          <w:szCs w:val="52"/>
          <w:lang w:val="en-US"/>
          <w14:textFill>
            <w14:solidFill>
              <w14:schemeClr w14:val="tx1"/>
            </w14:solidFill>
          </w14:textFill>
        </w:rPr>
      </w:pPr>
      <w:r>
        <w:rPr>
          <w:rFonts w:ascii="黑体" w:hAnsi="黑体" w:eastAsia="黑体"/>
          <w:color w:val="000000" w:themeColor="text1"/>
          <w:sz w:val="52"/>
          <w:szCs w:val="52"/>
          <w:lang w:val="en-US"/>
          <w14:textFill>
            <w14:solidFill>
              <w14:schemeClr w14:val="tx1"/>
            </w14:solidFill>
          </w14:textFill>
        </w:rPr>
        <w:t>天津</w:t>
      </w:r>
      <w:r>
        <w:rPr>
          <w:rFonts w:hint="eastAsia" w:ascii="黑体" w:hAnsi="黑体" w:eastAsia="黑体"/>
          <w:color w:val="000000" w:themeColor="text1"/>
          <w:sz w:val="52"/>
          <w:szCs w:val="52"/>
          <w:lang w:val="en-US"/>
          <w14:textFill>
            <w14:solidFill>
              <w14:schemeClr w14:val="tx1"/>
            </w14:solidFill>
          </w14:textFill>
        </w:rPr>
        <w:t>金隅振兴环保科技</w:t>
      </w:r>
      <w:r>
        <w:rPr>
          <w:rFonts w:ascii="黑体" w:hAnsi="黑体" w:eastAsia="黑体"/>
          <w:color w:val="000000" w:themeColor="text1"/>
          <w:sz w:val="52"/>
          <w:szCs w:val="52"/>
          <w:lang w:val="en-US"/>
          <w14:textFill>
            <w14:solidFill>
              <w14:schemeClr w14:val="tx1"/>
            </w14:solidFill>
          </w14:textFill>
        </w:rPr>
        <w:t>有限公司</w:t>
      </w:r>
    </w:p>
    <w:p>
      <w:pPr>
        <w:spacing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矿 渣 粉（天钢）</w:t>
      </w:r>
    </w:p>
    <w:p>
      <w:pPr>
        <w:spacing w:line="360" w:lineRule="auto"/>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竞 价 文 件</w:t>
      </w: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4"/>
          <w:szCs w:val="44"/>
          <w14:textFill>
            <w14:solidFill>
              <w14:schemeClr w14:val="tx1"/>
            </w14:solidFill>
          </w14:textFill>
        </w:rPr>
      </w:pPr>
    </w:p>
    <w:p>
      <w:pPr>
        <w:spacing w:line="360" w:lineRule="auto"/>
        <w:jc w:val="center"/>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天津金隅振兴环保科技有限公司</w:t>
      </w:r>
    </w:p>
    <w:p>
      <w:pPr>
        <w:spacing w:line="360" w:lineRule="auto"/>
        <w:jc w:val="center"/>
        <w:rPr>
          <w:rFonts w:ascii="黑体" w:hAnsi="黑体" w:eastAsia="黑体"/>
          <w:color w:val="000000" w:themeColor="text1"/>
          <w:sz w:val="40"/>
          <w:szCs w:val="40"/>
          <w14:textFill>
            <w14:solidFill>
              <w14:schemeClr w14:val="tx1"/>
            </w14:solidFill>
          </w14:textFill>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themeColor="text1"/>
          <w:sz w:val="40"/>
          <w:szCs w:val="40"/>
          <w14:textFill>
            <w14:solidFill>
              <w14:schemeClr w14:val="tx1"/>
            </w14:solidFill>
          </w14:textFill>
        </w:rPr>
        <w:t>2022年11月24日</w:t>
      </w:r>
    </w:p>
    <w:p>
      <w:pPr>
        <w:spacing w:line="360" w:lineRule="auto"/>
        <w:jc w:val="center"/>
        <w:rPr>
          <w:rFonts w:ascii="宋体" w:hAnsi="宋体"/>
          <w:color w:val="000000" w:themeColor="text1"/>
          <w:sz w:val="24"/>
          <w14:textFill>
            <w14:solidFill>
              <w14:schemeClr w14:val="tx1"/>
            </w14:solidFill>
          </w14:textFill>
        </w:rPr>
      </w:pPr>
    </w:p>
    <w:sdt>
      <w:sdtPr>
        <w:rPr>
          <w:b w:val="0"/>
          <w:bCs w:val="0"/>
          <w:kern w:val="2"/>
          <w:sz w:val="21"/>
          <w:szCs w:val="24"/>
          <w:lang w:val="zh-CN"/>
        </w:rPr>
        <w:id w:val="1369116532"/>
        <w:docPartObj>
          <w:docPartGallery w:val="Table of Contents"/>
          <w:docPartUnique/>
        </w:docPartObj>
      </w:sdtPr>
      <w:sdtEndPr>
        <w:rPr>
          <w:b w:val="0"/>
          <w:bCs w:val="0"/>
          <w:kern w:val="2"/>
          <w:sz w:val="21"/>
          <w:szCs w:val="24"/>
          <w:lang w:val="zh-CN"/>
        </w:rPr>
      </w:sdtEndPr>
      <w:sdtContent>
        <w:p>
          <w:pPr>
            <w:pStyle w:val="39"/>
            <w:jc w:val="center"/>
            <w:rPr>
              <w:rFonts w:hint="eastAsia"/>
            </w:rPr>
          </w:pPr>
          <w:r>
            <w:rPr>
              <w:lang w:val="zh-CN"/>
            </w:rPr>
            <w:t>目录</w:t>
          </w:r>
        </w:p>
        <w:p>
          <w:pPr>
            <w:pStyle w:val="14"/>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0"/>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"_Toc75176450" </w:instrText>
          </w:r>
          <w:r>
            <w:fldChar w:fldCharType="separate"/>
          </w:r>
          <w:r>
            <w:rPr>
              <w:rStyle w:val="20"/>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"_Toc75176451" </w:instrText>
          </w:r>
          <w:r>
            <w:fldChar w:fldCharType="separate"/>
          </w:r>
          <w:r>
            <w:rPr>
              <w:rStyle w:val="20"/>
            </w:rPr>
            <w:t>三、竞价要求</w:t>
          </w:r>
          <w:r>
            <w:tab/>
          </w:r>
          <w:r>
            <w:fldChar w:fldCharType="begin"/>
          </w:r>
          <w:r>
            <w:instrText xml:space="preserve"> PAGEREF _Toc75176451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"_Toc75176452" </w:instrText>
          </w:r>
          <w:r>
            <w:fldChar w:fldCharType="separate"/>
          </w:r>
          <w:r>
            <w:rPr>
              <w:rStyle w:val="20"/>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"_Toc75176453" </w:instrText>
          </w:r>
          <w:r>
            <w:fldChar w:fldCharType="separate"/>
          </w:r>
          <w:r>
            <w:rPr>
              <w:rStyle w:val="20"/>
            </w:rPr>
            <w:t>五、拟签订合同条款</w:t>
          </w:r>
          <w:r>
            <w:tab/>
          </w:r>
          <w:r>
            <w:fldChar w:fldCharType="begin"/>
          </w:r>
          <w:r>
            <w:instrText xml:space="preserve"> PAGEREF _Toc75176453 \h </w:instrText>
          </w:r>
          <w:r>
            <w:fldChar w:fldCharType="separate"/>
          </w:r>
          <w:r>
            <w:t>3</w:t>
          </w:r>
          <w:r>
            <w:fldChar w:fldCharType="end"/>
          </w:r>
          <w:r>
            <w:fldChar w:fldCharType="end"/>
          </w:r>
        </w:p>
        <w:p>
          <w:pPr>
            <w:rPr>
              <w:rFonts w:hint="eastAsia"/>
            </w:rPr>
          </w:pPr>
          <w:r>
            <w:rPr>
              <w:rFonts w:asciiTheme="minorHAnsi" w:hAnsiTheme="minorHAnsi"/>
              <w:kern w:val="0"/>
              <w:sz w:val="24"/>
              <w:szCs w:val="22"/>
            </w:rPr>
            <w:fldChar w:fldCharType="end"/>
          </w:r>
        </w:p>
      </w:sdtContent>
    </w:sdt>
    <w:p>
      <w:pPr>
        <w:widowControl/>
        <w:spacing w:line="360" w:lineRule="auto"/>
        <w:jc w:val="left"/>
        <w:rPr>
          <w:rFonts w:ascii="宋体" w:hAnsi="宋体"/>
          <w:color w:val="000000" w:themeColor="text1"/>
          <w:sz w:val="24"/>
          <w14:textFill>
            <w14:solidFill>
              <w14:schemeClr w14:val="tx1"/>
            </w14:solidFill>
          </w14:textFill>
        </w:rPr>
        <w:sectPr>
          <w:footerReference r:id="rId4" w:type="default"/>
          <w:pgSz w:w="11906" w:h="16838"/>
          <w:pgMar w:top="969" w:right="1466" w:bottom="975" w:left="1701" w:header="1134" w:footer="1134" w:gutter="0"/>
          <w:pgNumType w:start="1"/>
          <w:cols w:space="720" w:num="1"/>
          <w:docGrid w:type="lines" w:linePitch="312" w:charSpace="0"/>
        </w:sectPr>
      </w:pPr>
      <w:r>
        <w:rPr>
          <w:rFonts w:ascii="宋体" w:hAnsi="宋体"/>
          <w:color w:val="000000" w:themeColor="text1"/>
          <w:sz w:val="24"/>
          <w14:textFill>
            <w14:solidFill>
              <w14:schemeClr w14:val="tx1"/>
            </w14:solidFill>
          </w14:textFill>
        </w:rPr>
        <w:br w:type="page"/>
      </w:r>
    </w:p>
    <w:p>
      <w:pPr>
        <w:pStyle w:val="2"/>
        <w:spacing w:line="480" w:lineRule="exact"/>
      </w:pPr>
      <w:bookmarkStart w:id="0" w:name="_Toc75176449"/>
      <w:bookmarkStart w:id="1" w:name="_Toc54603432"/>
      <w:bookmarkStart w:id="2" w:name="_Toc54603369"/>
      <w:bookmarkStart w:id="3" w:name="_Toc54685363"/>
      <w:r>
        <w:rPr>
          <w:rFonts w:hint="eastAsia"/>
        </w:rPr>
        <w:t>一、竞价须知</w:t>
      </w:r>
      <w:bookmarkEnd w:id="0"/>
    </w:p>
    <w:tbl>
      <w:tblPr>
        <w:tblStyle w:val="16"/>
        <w:tblpPr w:leftFromText="180" w:rightFromText="180" w:vertAnchor="text" w:horzAnchor="margin" w:tblpY="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89"/>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1390" w:type="pct"/>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3145" w:type="pct"/>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矿渣粉（天钢）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r>
              <w:rPr>
                <w:rFonts w:hint="eastAsia" w:ascii="宋体" w:hAnsi="宋体"/>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3145" w:type="pct"/>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3145" w:type="pct"/>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3145" w:type="pct"/>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3145" w:type="pct"/>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End w:id="1"/>
      <w:bookmarkEnd w:id="2"/>
      <w:bookmarkEnd w:id="3"/>
      <w:bookmarkStart w:id="5" w:name="_Toc54603433"/>
      <w:bookmarkStart w:id="6" w:name="_Toc54685364"/>
      <w:bookmarkStart w:id="7" w:name="_Toc54603370"/>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bookmarkStart w:id="8" w:name="_Toc54603371"/>
      <w:bookmarkStart w:id="9" w:name="_Toc54603434"/>
      <w:r>
        <w:rPr>
          <w:rFonts w:hint="eastAsia" w:ascii="宋体" w:hAnsi="宋体"/>
          <w:color w:val="000000" w:themeColor="text1"/>
          <w:kern w:val="0"/>
          <w:sz w:val="24"/>
          <w14:textFill>
            <w14:solidFill>
              <w14:schemeClr w14:val="tx1"/>
            </w14:solidFill>
          </w14:textFill>
        </w:rPr>
        <w:t>（一）竞价项目概况：</w:t>
      </w:r>
      <w:bookmarkEnd w:id="8"/>
      <w:bookmarkEnd w:id="9"/>
    </w:p>
    <w:p>
      <w:pPr>
        <w:autoSpaceDE w:val="0"/>
        <w:spacing w:line="460" w:lineRule="exact"/>
        <w:ind w:firstLine="480" w:firstLineChars="200"/>
        <w:rPr>
          <w:rFonts w:ascii="宋体" w:hAnsi="宋体"/>
          <w:kern w:val="0"/>
          <w:sz w:val="24"/>
        </w:rPr>
      </w:pPr>
      <w:bookmarkStart w:id="10" w:name="_Toc54603435"/>
      <w:bookmarkStart w:id="11" w:name="_Toc54603372"/>
      <w:bookmarkStart w:id="12" w:name="_Toc54603373"/>
      <w:bookmarkStart w:id="13" w:name="_Toc54603436"/>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3年度矿渣粉（天钢）招标，根据公司2023年度生产经营计划需求，预计本区域全年用量</w:t>
      </w:r>
      <w:r>
        <w:rPr>
          <w:rFonts w:hint="eastAsia" w:ascii="宋体" w:hAnsi="宋体"/>
          <w:kern w:val="0"/>
          <w:sz w:val="24"/>
          <w:lang w:val="en-US" w:eastAsia="zh-CN"/>
        </w:rPr>
        <w:t>10</w:t>
      </w:r>
      <w:r>
        <w:rPr>
          <w:rFonts w:hint="eastAsia" w:ascii="宋体" w:hAnsi="宋体"/>
          <w:kern w:val="0"/>
          <w:sz w:val="24"/>
        </w:rPr>
        <w:t>万吨，按照物资供应管理中心及公司内控要求通过金隅冀东阳光采购平台进行竞价。</w:t>
      </w:r>
      <w:bookmarkEnd w:id="10"/>
      <w:bookmarkEnd w:id="11"/>
    </w:p>
    <w:bookmarkEnd w:id="12"/>
    <w:bookmarkEnd w:id="13"/>
    <w:p>
      <w:pPr>
        <w:numPr>
          <w:ilvl w:val="0"/>
          <w:numId w:val="2"/>
        </w:numPr>
        <w:spacing w:after="156" w:afterLines="50" w:line="460" w:lineRule="exact"/>
        <w:ind w:firstLine="480" w:firstLineChars="200"/>
        <w:rPr>
          <w:rFonts w:hint="eastAsia"/>
          <w:sz w:val="24"/>
        </w:rPr>
      </w:pPr>
      <w:r>
        <w:rPr>
          <w:rFonts w:hint="eastAsia"/>
          <w:sz w:val="24"/>
        </w:rPr>
        <w:t>竞价内容：</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blPrEx>
          <w:tblCellMar>
            <w:top w:w="0" w:type="dxa"/>
            <w:left w:w="0" w:type="dxa"/>
            <w:bottom w:w="0" w:type="dxa"/>
            <w:right w:w="0" w:type="dxa"/>
          </w:tblCellMar>
        </w:tblPrEx>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sz w:val="24"/>
              </w:rPr>
              <w:t>矿渣粉（天钢）</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备注：</w:t>
            </w:r>
            <w:r>
              <w:rPr>
                <w:rFonts w:ascii="宋体" w:hAnsi="宋体"/>
                <w:kern w:val="0"/>
                <w:sz w:val="24"/>
              </w:rPr>
              <w:t xml:space="preserve"> </w:t>
            </w:r>
            <w:r>
              <w:rPr>
                <w:rFonts w:hint="eastAsia" w:ascii="宋体" w:hAnsi="宋体"/>
                <w:kern w:val="0"/>
                <w:sz w:val="24"/>
                <w:lang w:val="en-US" w:eastAsia="zh-CN"/>
              </w:rPr>
              <w:t>现金结算时，料款在承兑价基础上减少5元/吨。</w:t>
            </w:r>
          </w:p>
        </w:tc>
      </w:tr>
    </w:tbl>
    <w:p>
      <w:pPr>
        <w:autoSpaceDE w:val="0"/>
        <w:spacing w:line="460" w:lineRule="exact"/>
        <w:ind w:firstLine="480" w:firstLineChars="200"/>
        <w:rPr>
          <w:rFonts w:ascii="宋体" w:hAnsi="宋体"/>
          <w:kern w:val="0"/>
          <w:sz w:val="24"/>
        </w:rPr>
      </w:pPr>
      <w:r>
        <w:rPr>
          <w:rFonts w:hint="eastAsia" w:ascii="宋体" w:hAnsi="宋体"/>
          <w:kern w:val="0"/>
          <w:sz w:val="24"/>
        </w:rPr>
        <w:t>注：招标数量为暂定数量，仅为投标报价的基础，具体数量以结算周期内实际到货数量为准。</w:t>
      </w:r>
    </w:p>
    <w:p>
      <w:pPr>
        <w:tabs>
          <w:tab w:val="left" w:pos="720"/>
          <w:tab w:val="left" w:pos="992"/>
        </w:tabs>
        <w:spacing w:line="460" w:lineRule="exact"/>
        <w:ind w:firstLine="480" w:firstLineChars="200"/>
        <w:rPr>
          <w:rFonts w:ascii="宋体" w:hAnsi="宋体"/>
          <w:sz w:val="24"/>
        </w:rPr>
      </w:pPr>
      <w:r>
        <w:rPr>
          <w:rFonts w:hint="eastAsia" w:ascii="宋体" w:hAnsi="宋体"/>
          <w:sz w:val="24"/>
        </w:rPr>
        <w:t>（三）质量要求：</w:t>
      </w:r>
    </w:p>
    <w:p>
      <w:pPr>
        <w:tabs>
          <w:tab w:val="left" w:pos="720"/>
          <w:tab w:val="left" w:pos="992"/>
        </w:tabs>
        <w:spacing w:after="156" w:afterLines="50" w:line="460" w:lineRule="exact"/>
        <w:ind w:firstLine="600" w:firstLineChars="250"/>
        <w:rPr>
          <w:rFonts w:ascii="宋体" w:hAnsi="宋体"/>
          <w:sz w:val="24"/>
        </w:rPr>
      </w:pPr>
      <w:r>
        <w:rPr>
          <w:rFonts w:hint="eastAsia" w:ascii="宋体" w:hAnsi="宋体"/>
          <w:sz w:val="24"/>
        </w:rPr>
        <w:t>符合天津金隅振兴环保科技有限公司《企业质量内部控制标准》：</w:t>
      </w:r>
    </w:p>
    <w:p>
      <w:pPr>
        <w:tabs>
          <w:tab w:val="left" w:pos="720"/>
          <w:tab w:val="left" w:pos="992"/>
        </w:tabs>
        <w:spacing w:after="156" w:afterLines="50" w:line="460" w:lineRule="exact"/>
        <w:ind w:firstLine="600" w:firstLineChars="250"/>
        <w:rPr>
          <w:rFonts w:ascii="宋体" w:hAnsi="宋体"/>
          <w:sz w:val="24"/>
        </w:rPr>
      </w:pPr>
    </w:p>
    <w:tbl>
      <w:tblPr>
        <w:tblStyle w:val="1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Cs w:val="21"/>
              </w:rPr>
            </w:pPr>
            <w:r>
              <w:rPr>
                <w:rFonts w:hint="eastAsia"/>
                <w:szCs w:val="21"/>
              </w:rPr>
              <w:t>比表面积</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≥405m</w:t>
            </w:r>
            <w:r>
              <w:rPr>
                <w:rFonts w:hint="eastAsia" w:ascii="等线" w:hAnsi="等线" w:eastAsia="等线"/>
                <w:color w:val="000000"/>
                <w:szCs w:val="21"/>
                <w:vertAlign w:val="superscript"/>
              </w:rPr>
              <w:t>2</w:t>
            </w:r>
            <w:r>
              <w:rPr>
                <w:rFonts w:hint="eastAsia" w:ascii="等线" w:hAnsi="等线" w:eastAsia="等线"/>
                <w:color w:val="00000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含水量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密度</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≥2.8g/cm</w:t>
            </w:r>
            <w:r>
              <w:rPr>
                <w:rFonts w:hint="eastAsia" w:ascii="等线" w:hAnsi="等线" w:eastAsia="等线"/>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活性指数%</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7天≥70，28天≥95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SO</w:t>
            </w:r>
            <w:r>
              <w:rPr>
                <w:rFonts w:hint="eastAsia"/>
                <w:szCs w:val="21"/>
                <w:vertAlign w:val="subscript"/>
              </w:rPr>
              <w:t>3</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Cl</w:t>
            </w:r>
            <w:r>
              <w:rPr>
                <w:rFonts w:hint="eastAsia"/>
                <w:szCs w:val="21"/>
                <w:vertAlign w:val="superscript"/>
              </w:rPr>
              <w:t>-</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MgO</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碱含量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烧失量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流动度比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初凝时间比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不溶物</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玻璃体含量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≥85%（外检）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1" w:type="dxa"/>
            <w:gridSpan w:val="2"/>
          </w:tcPr>
          <w:p>
            <w:pPr>
              <w:widowControl/>
              <w:jc w:val="center"/>
              <w:rPr>
                <w:rFonts w:ascii="宋体" w:hAnsi="宋体"/>
                <w:szCs w:val="21"/>
              </w:rPr>
            </w:pPr>
            <w:r>
              <w:rPr>
                <w:rFonts w:hint="eastAsia"/>
                <w:szCs w:val="21"/>
              </w:rPr>
              <w:t>放射性满足《建筑材料放射性核素限量》（GB6566-2010）标准要求</w:t>
            </w:r>
          </w:p>
        </w:tc>
      </w:tr>
    </w:tbl>
    <w:p>
      <w:pPr>
        <w:autoSpaceDE w:val="0"/>
        <w:spacing w:line="460" w:lineRule="exact"/>
        <w:ind w:firstLine="480" w:firstLineChars="200"/>
        <w:rPr>
          <w:rFonts w:ascii="宋体" w:hAnsi="宋体"/>
          <w:kern w:val="0"/>
          <w:sz w:val="24"/>
        </w:rPr>
      </w:pPr>
    </w:p>
    <w:p>
      <w:pPr>
        <w:pStyle w:val="2"/>
        <w:spacing w:line="480" w:lineRule="exact"/>
      </w:pPr>
      <w:bookmarkStart w:id="14" w:name="_Toc54685365"/>
      <w:bookmarkStart w:id="15" w:name="_Toc54603374"/>
      <w:bookmarkStart w:id="16" w:name="_Toc54603437"/>
      <w:bookmarkStart w:id="17" w:name="_Toc75176451"/>
      <w:r>
        <w:rPr>
          <w:rFonts w:hint="eastAsia"/>
        </w:rPr>
        <w:t>三、</w:t>
      </w:r>
      <w:bookmarkEnd w:id="14"/>
      <w:bookmarkEnd w:id="15"/>
      <w:bookmarkEnd w:id="16"/>
      <w:r>
        <w:rPr>
          <w:rFonts w:hint="eastAsia"/>
        </w:rPr>
        <w:t>竞价要求</w:t>
      </w:r>
      <w:bookmarkEnd w:id="17"/>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sz w:val="24"/>
        </w:rPr>
        <w:t>5</w:t>
      </w:r>
      <w:r>
        <w:rPr>
          <w:rFonts w:hint="eastAsia" w:ascii="宋体" w:hAnsi="宋体"/>
          <w:sz w:val="24"/>
        </w:rPr>
        <w:t>、财务状况良好，可开具增值税</w:t>
      </w:r>
      <w:r>
        <w:rPr>
          <w:rFonts w:hint="eastAsia" w:ascii="宋体" w:hAnsi="宋体"/>
          <w:color w:val="000000" w:themeColor="text1"/>
          <w:sz w:val="24"/>
          <w14:textFill>
            <w14:solidFill>
              <w14:schemeClr w14:val="tx1"/>
            </w14:solidFill>
          </w14:textFill>
        </w:rPr>
        <w:t>专用发票。</w:t>
      </w:r>
    </w:p>
    <w:p>
      <w:pPr>
        <w:pStyle w:val="2"/>
        <w:spacing w:line="480" w:lineRule="exact"/>
      </w:pPr>
      <w:bookmarkStart w:id="18" w:name="_Toc54603438"/>
      <w:bookmarkStart w:id="19" w:name="_Toc54603375"/>
      <w:bookmarkStart w:id="20" w:name="_Toc75176452"/>
      <w:bookmarkStart w:id="21" w:name="_Toc54685366"/>
      <w:r>
        <w:rPr>
          <w:rFonts w:hint="eastAsia"/>
        </w:rPr>
        <w:t>四、报价要求</w:t>
      </w:r>
      <w:bookmarkEnd w:id="18"/>
      <w:bookmarkEnd w:id="19"/>
      <w:bookmarkEnd w:id="20"/>
      <w:bookmarkEnd w:id="21"/>
    </w:p>
    <w:p>
      <w:pPr>
        <w:autoSpaceDE w:val="0"/>
        <w:spacing w:line="360" w:lineRule="auto"/>
        <w:ind w:firstLine="482" w:firstLineChars="200"/>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按以下要求在平台进行报价。</w:t>
      </w:r>
    </w:p>
    <w:p>
      <w:pPr>
        <w:pStyle w:val="2"/>
        <w:keepNext w:val="0"/>
        <w:spacing w:line="360" w:lineRule="auto"/>
        <w:rPr>
          <w:rFonts w:ascii="宋体" w:hAnsi="宋体"/>
          <w:color w:val="000000" w:themeColor="text1"/>
          <w:sz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 xml:space="preserve">    </w:t>
      </w:r>
      <w:r>
        <w:rPr>
          <w:rFonts w:hint="eastAsia" w:ascii="宋体" w:hAnsi="宋体"/>
          <w:b w:val="0"/>
          <w:color w:val="000000" w:themeColor="text1"/>
          <w:sz w:val="24"/>
          <w:szCs w:val="24"/>
          <w14:textFill>
            <w14:solidFill>
              <w14:schemeClr w14:val="tx1"/>
            </w14:solidFill>
          </w14:textFill>
        </w:rPr>
        <w:t>1、投标保证金缴纳账号：建行北辰支行12001815700050001627</w:t>
      </w:r>
    </w:p>
    <w:p>
      <w:pPr>
        <w:autoSpaceDE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2、本次投标保证金收取金额：伍万元整。</w:t>
      </w:r>
    </w:p>
    <w:p>
      <w:pPr>
        <w:autoSpaceDE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3、所报价格为承兑后结算价格。</w:t>
      </w:r>
    </w:p>
    <w:p>
      <w:pPr>
        <w:spacing w:line="360" w:lineRule="auto"/>
        <w:ind w:firstLine="480" w:firstLineChars="200"/>
        <w:rPr>
          <w:rFonts w:ascii="宋体" w:hAnsi="宋体"/>
          <w:sz w:val="24"/>
        </w:rPr>
      </w:pPr>
      <w:r>
        <w:rPr>
          <w:rFonts w:hint="eastAsia" w:ascii="宋体" w:hAnsi="宋体"/>
          <w:sz w:val="24"/>
        </w:rPr>
        <w:t>4、如为两票结算，需提供联合体报价说明。</w:t>
      </w:r>
    </w:p>
    <w:p>
      <w:pPr>
        <w:spacing w:line="460" w:lineRule="exact"/>
        <w:ind w:firstLine="480" w:firstLineChars="200"/>
        <w:rPr>
          <w:rFonts w:ascii="宋体" w:hAnsi="宋体"/>
          <w:sz w:val="24"/>
        </w:rPr>
      </w:pPr>
      <w:r>
        <w:rPr>
          <w:rFonts w:hint="eastAsia" w:ascii="宋体" w:hAnsi="宋体"/>
          <w:sz w:val="24"/>
        </w:rPr>
        <w:t>5、本标段为天津地区矿渣粉招标，要求主要货源地为天钢，日保供量1000吨以上，报价时按天钢集团当期出厂承兑价格（</w:t>
      </w:r>
      <w:r>
        <w:rPr>
          <w:rFonts w:ascii="宋体" w:hAnsi="宋体"/>
          <w:sz w:val="24"/>
        </w:rPr>
        <w:t>125</w:t>
      </w:r>
      <w:r>
        <w:rPr>
          <w:rFonts w:hint="eastAsia" w:ascii="宋体" w:hAnsi="宋体"/>
          <w:sz w:val="24"/>
        </w:rPr>
        <w:t>元/吨）为基准价，</w:t>
      </w:r>
      <w:r>
        <w:rPr>
          <w:rFonts w:hint="eastAsia" w:ascii="宋体" w:hAnsi="宋体"/>
          <w:b/>
          <w:sz w:val="24"/>
        </w:rPr>
        <w:t>投标报价</w:t>
      </w:r>
      <w:r>
        <w:rPr>
          <w:rFonts w:hint="eastAsia" w:ascii="宋体" w:hAnsi="宋体"/>
          <w:sz w:val="24"/>
        </w:rPr>
        <w:t>=</w:t>
      </w:r>
      <w:r>
        <w:rPr>
          <w:rFonts w:hint="eastAsia" w:ascii="宋体" w:hAnsi="宋体"/>
          <w:b/>
          <w:sz w:val="24"/>
        </w:rPr>
        <w:t>天钢出厂承兑价</w:t>
      </w:r>
      <w:r>
        <w:rPr>
          <w:rFonts w:hint="eastAsia" w:ascii="宋体" w:hAnsi="宋体"/>
          <w:sz w:val="24"/>
        </w:rPr>
        <w:t>+</w:t>
      </w:r>
      <w:r>
        <w:rPr>
          <w:rFonts w:hint="eastAsia" w:ascii="宋体" w:hAnsi="宋体"/>
          <w:b/>
          <w:sz w:val="24"/>
        </w:rPr>
        <w:t>运输、人工、垫资等价格</w:t>
      </w:r>
      <w:r>
        <w:rPr>
          <w:rFonts w:hint="eastAsia" w:ascii="宋体" w:hAnsi="宋体"/>
          <w:sz w:val="24"/>
        </w:rPr>
        <w:t>，合同执行期间价格调整以天钢出厂价为调整依据。合同执行期间如货源地有变化，需提前通知招标人，经招标人同意后方可更改货源地。</w:t>
      </w:r>
    </w:p>
    <w:p>
      <w:pPr>
        <w:spacing w:line="480" w:lineRule="exact"/>
        <w:ind w:firstLine="720" w:firstLineChars="300"/>
        <w:rPr>
          <w:rFonts w:ascii="宋体" w:hAnsi="宋体"/>
          <w:sz w:val="24"/>
        </w:rPr>
      </w:pPr>
      <w:r>
        <w:rPr>
          <w:rFonts w:hint="eastAsia" w:ascii="宋体" w:hAnsi="宋体"/>
          <w:sz w:val="24"/>
        </w:rPr>
        <w:t>6、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则日均供货量每降低100吨/天，该期间段结算单价降低1元/吨，如该期间实际供货量低于日均600吨/天，除按上述约定进行结算外，招标人有权终止合同执行。</w:t>
      </w:r>
      <w:r>
        <w:rPr>
          <w:rFonts w:hint="eastAsia" w:ascii="宋体" w:hAnsi="宋体"/>
          <w:sz w:val="24"/>
        </w:rPr>
        <w:t>履约保证金不予退还；如招标人降低需求量，按招标人要求执行，视同完成月供量。</w:t>
      </w:r>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（二）竞价价格为含税价格，税率必须固定为13%，且为一票结算，基准价格含税价1</w:t>
      </w:r>
      <w:r>
        <w:rPr>
          <w:rFonts w:ascii="宋体" w:hAnsi="宋体"/>
          <w:color w:val="000000" w:themeColor="text1"/>
          <w:kern w:val="0"/>
          <w:sz w:val="24"/>
          <w14:textFill>
            <w14:solidFill>
              <w14:schemeClr w14:val="tx1"/>
            </w14:solidFill>
          </w14:textFill>
        </w:rPr>
        <w:t>58</w:t>
      </w:r>
      <w:r>
        <w:rPr>
          <w:rFonts w:hint="eastAsia" w:ascii="宋体" w:hAnsi="宋体"/>
          <w:color w:val="000000" w:themeColor="text1"/>
          <w:kern w:val="0"/>
          <w:sz w:val="24"/>
          <w14:textFill>
            <w14:solidFill>
              <w14:schemeClr w14:val="tx1"/>
            </w14:solidFill>
          </w14:textFill>
        </w:rPr>
        <w:t>元/吨（</w:t>
      </w:r>
      <w:r>
        <w:rPr>
          <w:rFonts w:hint="eastAsia" w:ascii="宋体" w:hAnsi="宋体"/>
          <w:sz w:val="24"/>
        </w:rPr>
        <w:t>投标报价=天钢集团出厂承兑价+运输、人工、垫资等价格，合同执行期间价格调整以天钢出厂价为调整依据，竞价时天钢出厂价统一按1</w:t>
      </w:r>
      <w:r>
        <w:rPr>
          <w:rFonts w:ascii="宋体" w:hAnsi="宋体"/>
          <w:sz w:val="24"/>
        </w:rPr>
        <w:t>25</w:t>
      </w:r>
      <w:r>
        <w:rPr>
          <w:rFonts w:hint="eastAsia" w:ascii="宋体" w:hAnsi="宋体"/>
          <w:sz w:val="24"/>
        </w:rPr>
        <w:t>元/吨为基础进行报价计算</w:t>
      </w:r>
      <w:r>
        <w:rPr>
          <w:rFonts w:hint="eastAsia" w:ascii="宋体" w:hAnsi="宋体"/>
          <w:color w:val="000000" w:themeColor="text1"/>
          <w:kern w:val="0"/>
          <w:sz w:val="24"/>
          <w14:textFill>
            <w14:solidFill>
              <w14:schemeClr w14:val="tx1"/>
            </w14:solidFill>
          </w14:textFill>
        </w:rPr>
        <w:t>），降幅</w:t>
      </w:r>
      <w:r>
        <w:rPr>
          <w:rFonts w:ascii="宋体" w:hAnsi="宋体"/>
          <w:color w:val="000000" w:themeColor="text1"/>
          <w:kern w:val="0"/>
          <w:sz w:val="24"/>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元/次（含税，元）。中标后，如天钢出厂价调整，则合同价格随其同价差进行调整。</w:t>
      </w:r>
    </w:p>
    <w:p>
      <w:pPr>
        <w:pStyle w:val="2"/>
        <w:spacing w:line="480" w:lineRule="exact"/>
      </w:pPr>
      <w:bookmarkStart w:id="22" w:name="_Toc75176453"/>
      <w:bookmarkStart w:id="23" w:name="_Toc54685368"/>
      <w:bookmarkStart w:id="24" w:name="_Toc54603376"/>
      <w:bookmarkStart w:id="25" w:name="_Toc5460344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480" w:lineRule="exact"/>
      </w:pPr>
    </w:p>
    <w:p>
      <w:pPr>
        <w:pStyle w:val="2"/>
        <w:spacing w:line="480" w:lineRule="exact"/>
      </w:pPr>
      <w:r>
        <w:rPr>
          <w:rFonts w:hint="eastAsia"/>
        </w:rPr>
        <w:t>五、拟签订合同条款</w:t>
      </w:r>
      <w:bookmarkEnd w:id="22"/>
      <w:bookmarkEnd w:id="23"/>
      <w:bookmarkEnd w:id="24"/>
      <w:bookmarkEnd w:id="25"/>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p>
    <w:p>
      <w:pPr>
        <w:autoSpaceDE w:val="0"/>
        <w:spacing w:line="460" w:lineRule="exact"/>
        <w:ind w:firstLine="480" w:firstLineChars="2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3"/>
        </w:numPr>
        <w:autoSpaceDE w:val="0"/>
        <w:spacing w:line="46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矿渣粉（天钢）</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备注：</w:t>
            </w:r>
            <w:r>
              <w:rPr>
                <w:rFonts w:ascii="宋体" w:hAnsi="宋体"/>
                <w:kern w:val="0"/>
                <w:sz w:val="24"/>
              </w:rPr>
              <w:t xml:space="preserve"> </w:t>
            </w:r>
            <w:r>
              <w:rPr>
                <w:rFonts w:hint="eastAsia" w:ascii="宋体" w:hAnsi="宋体"/>
                <w:kern w:val="0"/>
                <w:sz w:val="24"/>
                <w:lang w:val="en-US" w:eastAsia="zh-CN"/>
              </w:rPr>
              <w:t>现金结算时，料款在承兑价基础上减少5元/吨。</w:t>
            </w:r>
            <w:bookmarkStart w:id="26" w:name="_GoBack"/>
            <w:bookmarkEnd w:id="26"/>
          </w:p>
        </w:tc>
      </w:tr>
    </w:tbl>
    <w:p>
      <w:pPr>
        <w:spacing w:line="460" w:lineRule="exact"/>
        <w:ind w:firstLine="480" w:firstLineChars="20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r>
        <w:rPr>
          <w:rFonts w:hint="eastAsia" w:ascii="宋体" w:hAnsi="宋体"/>
          <w:sz w:val="24"/>
        </w:rPr>
        <w:t>合同价格=天钢集团出厂承兑价+运输、人工、垫资等价格，合同执行期间价格调整仅以天钢出厂价为调整依据。本合同货源主要为天钢，合同执行期间如货源地有变化，需提前通知招标人，经招标人同意后方可更改货源地。</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360" w:lineRule="auto"/>
        <w:ind w:firstLine="600" w:firstLineChars="250"/>
        <w:rPr>
          <w:rFonts w:hint="eastAsia" w:ascii="宋体"/>
          <w:sz w:val="24"/>
        </w:rPr>
      </w:pPr>
      <w:r>
        <w:rPr>
          <w:rFonts w:hint="eastAsia" w:ascii="宋体"/>
          <w:sz w:val="24"/>
        </w:rPr>
        <w:t>执行甲方的《企业质量内部控制标准》（编号：ZX/JS-05.03），即：比表面积≥405m</w:t>
      </w:r>
      <w:r>
        <w:rPr>
          <w:rFonts w:hint="eastAsia" w:ascii="宋体"/>
          <w:sz w:val="24"/>
          <w:vertAlign w:val="superscript"/>
        </w:rPr>
        <w:t>2</w:t>
      </w:r>
      <w:r>
        <w:rPr>
          <w:rFonts w:hint="eastAsia" w:ascii="宋体"/>
          <w:sz w:val="24"/>
        </w:rPr>
        <w:t>/kg；含水量≤1.0%；密度≥2.8g/cm</w:t>
      </w:r>
      <w:r>
        <w:rPr>
          <w:rFonts w:hint="eastAsia" w:ascii="宋体"/>
          <w:sz w:val="24"/>
          <w:vertAlign w:val="superscript"/>
        </w:rPr>
        <w:t>3</w:t>
      </w:r>
      <w:r>
        <w:rPr>
          <w:rFonts w:hint="eastAsia" w:ascii="宋体"/>
          <w:sz w:val="24"/>
        </w:rPr>
        <w:t>；活性指数：7天≥70%、28天≥95%；SO</w:t>
      </w:r>
      <w:r>
        <w:rPr>
          <w:rFonts w:hint="eastAsia" w:ascii="宋体"/>
          <w:sz w:val="24"/>
          <w:vertAlign w:val="subscript"/>
        </w:rPr>
        <w:t>3</w:t>
      </w:r>
      <w:r>
        <w:rPr>
          <w:rFonts w:hint="eastAsia" w:ascii="宋体"/>
          <w:sz w:val="24"/>
        </w:rPr>
        <w:t>≤4.0%；Cl</w:t>
      </w:r>
      <w:r>
        <w:rPr>
          <w:rFonts w:hint="eastAsia" w:ascii="宋体"/>
          <w:sz w:val="24"/>
          <w:vertAlign w:val="superscript"/>
        </w:rPr>
        <w:t>-</w:t>
      </w:r>
      <w:r>
        <w:rPr>
          <w:rFonts w:hint="eastAsia" w:ascii="宋体"/>
          <w:sz w:val="24"/>
        </w:rPr>
        <w:t>≤0.03%；MgO≤11%；碱含量≤0.5%；烧失量≤1.0%；流动度比≥95%；初凝时间比≤200%；不容物≤3.0%；玻璃体含量≥85%；放射性满足《建筑材料放射性核素限量》（GB6566-2010）标准要求。</w:t>
      </w:r>
    </w:p>
    <w:p>
      <w:pPr>
        <w:spacing w:line="360" w:lineRule="auto"/>
        <w:ind w:firstLine="361" w:firstLineChars="150"/>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500" w:lineRule="exact"/>
        <w:ind w:firstLine="480"/>
        <w:rPr>
          <w:rFonts w:hint="eastAsia"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500" w:lineRule="exact"/>
        <w:ind w:firstLine="480" w:firstLineChars="200"/>
        <w:rPr>
          <w:rFonts w:hint="eastAsia" w:ascii="宋体"/>
          <w:sz w:val="24"/>
        </w:rPr>
      </w:pPr>
      <w:r>
        <w:rPr>
          <w:rFonts w:hint="eastAsia" w:ascii="宋体"/>
          <w:sz w:val="24"/>
        </w:rPr>
        <w:t>5.2、比表面积≥380m</w:t>
      </w:r>
      <w:r>
        <w:rPr>
          <w:rFonts w:hint="eastAsia" w:ascii="宋体"/>
          <w:sz w:val="24"/>
          <w:vertAlign w:val="superscript"/>
        </w:rPr>
        <w:t>2</w:t>
      </w:r>
      <w:r>
        <w:rPr>
          <w:rFonts w:hint="eastAsia" w:ascii="宋体"/>
          <w:sz w:val="24"/>
        </w:rPr>
        <w:t>/kg为让步接收，乙方以书面形式提出整改方案；比表面积≥405m</w:t>
      </w:r>
      <w:r>
        <w:rPr>
          <w:rFonts w:hint="eastAsia" w:ascii="宋体"/>
          <w:sz w:val="24"/>
          <w:vertAlign w:val="superscript"/>
        </w:rPr>
        <w:t>2</w:t>
      </w:r>
      <w:r>
        <w:rPr>
          <w:rFonts w:ascii="宋体"/>
          <w:sz w:val="24"/>
        </w:rPr>
        <w:t>/kg</w:t>
      </w:r>
      <w:r>
        <w:rPr>
          <w:rFonts w:hint="eastAsia" w:ascii="宋体"/>
          <w:sz w:val="24"/>
        </w:rPr>
        <w:t>，每降低1m</w:t>
      </w:r>
      <w:r>
        <w:rPr>
          <w:rFonts w:hint="eastAsia" w:ascii="宋体"/>
          <w:sz w:val="24"/>
          <w:vertAlign w:val="superscript"/>
        </w:rPr>
        <w:t>2</w:t>
      </w:r>
      <w:r>
        <w:rPr>
          <w:rFonts w:ascii="宋体"/>
          <w:sz w:val="24"/>
        </w:rPr>
        <w:t>/kg</w:t>
      </w:r>
      <w:r>
        <w:rPr>
          <w:rFonts w:hint="eastAsia" w:ascii="宋体"/>
          <w:sz w:val="24"/>
        </w:rPr>
        <w:t>扣款</w:t>
      </w:r>
      <w:r>
        <w:rPr>
          <w:rFonts w:ascii="宋体"/>
          <w:sz w:val="24"/>
        </w:rPr>
        <w:t>0.</w:t>
      </w:r>
      <w:r>
        <w:rPr>
          <w:rFonts w:hint="eastAsia" w:ascii="宋体"/>
          <w:sz w:val="24"/>
        </w:rPr>
        <w:t>5元</w:t>
      </w:r>
      <w:r>
        <w:rPr>
          <w:rFonts w:ascii="宋体"/>
          <w:sz w:val="24"/>
        </w:rPr>
        <w:t>/</w:t>
      </w:r>
      <w:r>
        <w:rPr>
          <w:rFonts w:hint="eastAsia" w:ascii="宋体"/>
          <w:sz w:val="24"/>
        </w:rPr>
        <w:t>吨；比表面积＜385m</w:t>
      </w:r>
      <w:r>
        <w:rPr>
          <w:rFonts w:hint="eastAsia" w:ascii="宋体"/>
          <w:sz w:val="24"/>
          <w:vertAlign w:val="superscript"/>
        </w:rPr>
        <w:t>2</w:t>
      </w:r>
      <w:r>
        <w:rPr>
          <w:rFonts w:hint="eastAsia" w:ascii="宋体"/>
          <w:sz w:val="24"/>
        </w:rPr>
        <w:t>/kg时，加大扣罚比例，具体事宜双方协商解决。</w:t>
      </w:r>
    </w:p>
    <w:p>
      <w:pPr>
        <w:spacing w:line="500" w:lineRule="exact"/>
        <w:ind w:firstLine="480" w:firstLineChars="200"/>
        <w:rPr>
          <w:rFonts w:hint="eastAsia" w:ascii="宋体"/>
          <w:sz w:val="24"/>
        </w:rPr>
      </w:pPr>
      <w:r>
        <w:rPr>
          <w:rFonts w:hint="eastAsia" w:ascii="宋体"/>
          <w:sz w:val="24"/>
        </w:rPr>
        <w:t>5.3、活性指数：7天≥75%，未达标一次扣罚200元/次；</w:t>
      </w:r>
      <w:r>
        <w:rPr>
          <w:rFonts w:ascii="宋体"/>
          <w:sz w:val="24"/>
        </w:rPr>
        <w:t>28</w:t>
      </w:r>
      <w:r>
        <w:rPr>
          <w:rFonts w:hint="eastAsia" w:ascii="宋体"/>
          <w:sz w:val="24"/>
        </w:rPr>
        <w:t>天≥</w:t>
      </w:r>
      <w:r>
        <w:rPr>
          <w:rFonts w:ascii="宋体"/>
          <w:sz w:val="24"/>
        </w:rPr>
        <w:t>95%</w:t>
      </w:r>
      <w:r>
        <w:rPr>
          <w:rFonts w:hint="eastAsia" w:ascii="宋体"/>
          <w:sz w:val="24"/>
        </w:rPr>
        <w:t>，每降低</w:t>
      </w:r>
      <w:r>
        <w:rPr>
          <w:rFonts w:ascii="宋体"/>
          <w:sz w:val="24"/>
        </w:rPr>
        <w:t>1%</w:t>
      </w:r>
      <w:r>
        <w:rPr>
          <w:rFonts w:hint="eastAsia" w:ascii="宋体"/>
          <w:sz w:val="24"/>
        </w:rPr>
        <w:t>扣款</w:t>
      </w:r>
      <w:r>
        <w:rPr>
          <w:rFonts w:ascii="宋体"/>
          <w:sz w:val="24"/>
        </w:rPr>
        <w:t>1</w:t>
      </w:r>
      <w:r>
        <w:rPr>
          <w:rFonts w:hint="eastAsia" w:ascii="宋体"/>
          <w:sz w:val="24"/>
        </w:rPr>
        <w:t>元</w:t>
      </w:r>
      <w:r>
        <w:rPr>
          <w:rFonts w:ascii="宋体"/>
          <w:sz w:val="24"/>
        </w:rPr>
        <w:t>/</w:t>
      </w:r>
      <w:r>
        <w:rPr>
          <w:rFonts w:hint="eastAsia" w:ascii="宋体"/>
          <w:sz w:val="24"/>
        </w:rPr>
        <w:t>吨，按实际超出比例执行。</w:t>
      </w:r>
    </w:p>
    <w:p>
      <w:pPr>
        <w:spacing w:line="500" w:lineRule="exact"/>
        <w:ind w:firstLine="480" w:firstLineChars="200"/>
        <w:rPr>
          <w:rFonts w:hint="eastAsia" w:ascii="宋体"/>
          <w:sz w:val="24"/>
        </w:rPr>
      </w:pPr>
      <w:r>
        <w:rPr>
          <w:rFonts w:hint="eastAsia" w:ascii="宋体"/>
          <w:sz w:val="24"/>
        </w:rPr>
        <w:t>5.4、SO</w:t>
      </w:r>
      <w:r>
        <w:rPr>
          <w:rFonts w:hint="eastAsia" w:ascii="宋体"/>
          <w:sz w:val="24"/>
          <w:vertAlign w:val="subscript"/>
        </w:rPr>
        <w:t>3</w:t>
      </w:r>
      <w:r>
        <w:rPr>
          <w:rFonts w:hint="eastAsia" w:ascii="宋体"/>
          <w:sz w:val="24"/>
        </w:rPr>
        <w:t>≤</w:t>
      </w:r>
      <w:r>
        <w:rPr>
          <w:rFonts w:ascii="宋体"/>
          <w:sz w:val="24"/>
        </w:rPr>
        <w:t>4</w:t>
      </w:r>
      <w:r>
        <w:rPr>
          <w:rFonts w:hint="eastAsia" w:ascii="宋体"/>
          <w:sz w:val="24"/>
        </w:rPr>
        <w:t>.0</w:t>
      </w:r>
      <w:r>
        <w:rPr>
          <w:rFonts w:ascii="宋体"/>
          <w:sz w:val="24"/>
        </w:rPr>
        <w:t>%</w:t>
      </w:r>
      <w:r>
        <w:rPr>
          <w:rFonts w:hint="eastAsia" w:ascii="宋体"/>
          <w:sz w:val="24"/>
        </w:rPr>
        <w:t>，每提高</w:t>
      </w:r>
      <w:r>
        <w:rPr>
          <w:rFonts w:ascii="宋体"/>
          <w:sz w:val="24"/>
        </w:rPr>
        <w:t>0.1%</w:t>
      </w:r>
      <w:r>
        <w:rPr>
          <w:rFonts w:hint="eastAsia" w:ascii="宋体"/>
          <w:sz w:val="24"/>
        </w:rPr>
        <w:t>扣款</w:t>
      </w:r>
      <w:r>
        <w:rPr>
          <w:rFonts w:ascii="宋体"/>
          <w:sz w:val="24"/>
        </w:rPr>
        <w:t>0.1</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5.5、Cl</w:t>
      </w:r>
      <w:r>
        <w:rPr>
          <w:rFonts w:hint="eastAsia" w:ascii="宋体"/>
          <w:sz w:val="24"/>
          <w:vertAlign w:val="superscript"/>
        </w:rPr>
        <w:t>-</w:t>
      </w:r>
      <w:r>
        <w:rPr>
          <w:rFonts w:hint="eastAsia" w:ascii="宋体"/>
          <w:sz w:val="24"/>
        </w:rPr>
        <w:t>≤</w:t>
      </w:r>
      <w:r>
        <w:rPr>
          <w:rFonts w:ascii="宋体"/>
          <w:sz w:val="24"/>
        </w:rPr>
        <w:t>0.0</w:t>
      </w:r>
      <w:r>
        <w:rPr>
          <w:rFonts w:hint="eastAsia" w:ascii="宋体"/>
          <w:sz w:val="24"/>
        </w:rPr>
        <w:t>3</w:t>
      </w:r>
      <w:r>
        <w:rPr>
          <w:rFonts w:ascii="宋体"/>
          <w:sz w:val="24"/>
        </w:rPr>
        <w:t>%</w:t>
      </w:r>
      <w:r>
        <w:rPr>
          <w:rFonts w:hint="eastAsia" w:ascii="宋体"/>
          <w:sz w:val="24"/>
        </w:rPr>
        <w:t>，每提高</w:t>
      </w:r>
      <w:r>
        <w:rPr>
          <w:rFonts w:ascii="宋体"/>
          <w:sz w:val="24"/>
        </w:rPr>
        <w:t>0.01%</w:t>
      </w:r>
      <w:r>
        <w:rPr>
          <w:rFonts w:hint="eastAsia" w:ascii="宋体"/>
          <w:sz w:val="24"/>
        </w:rPr>
        <w:t>扣款</w:t>
      </w:r>
      <w:r>
        <w:rPr>
          <w:rFonts w:ascii="宋体"/>
          <w:sz w:val="24"/>
        </w:rPr>
        <w:t>0.5</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5.6、烧失量≤1.0</w:t>
      </w:r>
      <w:r>
        <w:rPr>
          <w:rFonts w:ascii="宋体"/>
          <w:sz w:val="24"/>
        </w:rPr>
        <w:t>%</w:t>
      </w:r>
      <w:r>
        <w:rPr>
          <w:rFonts w:hint="eastAsia" w:ascii="宋体"/>
          <w:sz w:val="24"/>
        </w:rPr>
        <w:t>，每高</w:t>
      </w:r>
      <w:r>
        <w:rPr>
          <w:rFonts w:ascii="宋体"/>
          <w:sz w:val="24"/>
        </w:rPr>
        <w:t>0.1%</w:t>
      </w:r>
      <w:r>
        <w:rPr>
          <w:rFonts w:hint="eastAsia" w:ascii="宋体"/>
          <w:sz w:val="24"/>
        </w:rPr>
        <w:t>扣款</w:t>
      </w:r>
      <w:r>
        <w:rPr>
          <w:rFonts w:ascii="宋体"/>
          <w:sz w:val="24"/>
        </w:rPr>
        <w:t>0.3</w:t>
      </w:r>
      <w:r>
        <w:rPr>
          <w:rFonts w:hint="eastAsia" w:ascii="宋体"/>
          <w:sz w:val="24"/>
        </w:rPr>
        <w:t>元</w:t>
      </w:r>
      <w:r>
        <w:rPr>
          <w:rFonts w:ascii="宋体"/>
          <w:sz w:val="24"/>
        </w:rPr>
        <w:t>/</w:t>
      </w:r>
      <w:r>
        <w:rPr>
          <w:rFonts w:hint="eastAsia" w:ascii="宋体"/>
          <w:sz w:val="24"/>
        </w:rPr>
        <w:t>吨；</w:t>
      </w:r>
    </w:p>
    <w:p>
      <w:pPr>
        <w:spacing w:line="500" w:lineRule="exact"/>
        <w:ind w:firstLine="360" w:firstLineChars="150"/>
        <w:rPr>
          <w:rFonts w:hint="eastAsia" w:ascii="宋体"/>
          <w:sz w:val="24"/>
        </w:rPr>
      </w:pPr>
      <w:r>
        <w:rPr>
          <w:rFonts w:hint="eastAsia" w:ascii="宋体"/>
          <w:sz w:val="24"/>
        </w:rPr>
        <w:t>（以上2-6项按当月检验结果加权平均值考核）</w:t>
      </w:r>
    </w:p>
    <w:p>
      <w:pPr>
        <w:spacing w:line="500" w:lineRule="exact"/>
        <w:ind w:firstLine="480" w:firstLineChars="200"/>
        <w:rPr>
          <w:rFonts w:hint="eastAsia" w:ascii="宋体"/>
          <w:sz w:val="24"/>
        </w:rPr>
      </w:pPr>
      <w:r>
        <w:rPr>
          <w:rFonts w:hint="eastAsia" w:ascii="宋体"/>
          <w:sz w:val="24"/>
        </w:rPr>
        <w:t>5.7、连续发生三次让步接收、拒收情况，甲方有权终止合同，由此产生的费用由乙方承担。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720" w:firstLineChars="300"/>
        <w:rPr>
          <w:rFonts w:hint="eastAsia"/>
        </w:rPr>
      </w:pPr>
      <w:r>
        <w:rPr>
          <w:rFonts w:hint="eastAsia" w:ascii="宋体" w:hAnsi="宋体"/>
          <w:sz w:val="24"/>
        </w:rPr>
        <w:t>7.2、乙方应缴纳履约保证金5万元，如签订合同后不能按照甲方要求履约的，甲方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7.3、每月日均最低供应量1000吨，每月日均供应量不能达到1000吨时，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则日均供货量每降低100吨/天，该期间段结算单价降低1元/吨，如该期间实际供货量低于日均600吨/天，除按上述约定进行结算外，甲方有权终止合同执行。</w:t>
      </w:r>
      <w:r>
        <w:rPr>
          <w:rFonts w:hint="eastAsia" w:ascii="宋体" w:hAnsi="宋体"/>
          <w:sz w:val="24"/>
        </w:rPr>
        <w:t>履约保证金不予退还；如招标人降低需求量，按招标人要求执行，视同完成月供量。</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tabs>
          <w:tab w:val="left" w:pos="0"/>
        </w:tabs>
        <w:spacing w:line="52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.3</w:t>
      </w:r>
      <w:r>
        <w:rPr>
          <w:rFonts w:hint="eastAsia" w:ascii="宋体" w:hAnsi="宋体"/>
          <w:kern w:val="0"/>
          <w:sz w:val="24"/>
        </w:rPr>
        <w:t>、乙方车辆进厂向矿渣粉仓内打料时，需将接口紧固到位，不得发生物料喷洒的情况，如出现此类情况，乙方负责立即清扫干净，甲方有权按喷洒吨数扣除货款，并进行相应处罚。</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.4</w:t>
      </w:r>
      <w:r>
        <w:rPr>
          <w:rFonts w:hint="eastAsia" w:ascii="宋体" w:hAnsi="宋体"/>
          <w:kern w:val="0"/>
          <w:sz w:val="24"/>
        </w:rPr>
        <w:t>、按照甲方管理要求，双方签订《安全生产管理协议》（附件一）和《外包作业安全管理、环境保护、治安保卫、消防、职业健康协议书》（附件二），乙方接受其中的扣罚要求。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w:t>
      </w:r>
      <w:r>
        <w:rPr>
          <w:rFonts w:hint="eastAsia" w:ascii="宋体" w:hAnsi="宋体"/>
          <w:kern w:val="0"/>
          <w:sz w:val="24"/>
          <w:lang w:val="en-US" w:eastAsia="zh-CN"/>
        </w:rPr>
        <w:t>6</w:t>
      </w:r>
      <w:r>
        <w:rPr>
          <w:rFonts w:hint="eastAsia" w:ascii="宋体" w:hAnsi="宋体"/>
          <w:kern w:val="0"/>
          <w:sz w:val="24"/>
        </w:rPr>
        <w:t>、乙方应在承运车辆开始运输前，对车辆进行检查，保持运输车辆性能良好；运输车辆在道路运输过程中应遵守有关交通法律法规，不得超载超限。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autoSpaceDE w:val="0"/>
        <w:spacing w:line="460" w:lineRule="exact"/>
        <w:ind w:firstLine="472"/>
        <w:rPr>
          <w:rFonts w:ascii="宋体" w:hAnsi="宋体"/>
          <w:b/>
          <w:bCs/>
          <w:kern w:val="0"/>
          <w:sz w:val="24"/>
        </w:rPr>
      </w:pPr>
      <w:r>
        <w:rPr>
          <w:rFonts w:hint="eastAsia" w:ascii="宋体" w:hAnsi="宋体"/>
          <w:b/>
          <w:bCs/>
          <w:kern w:val="0"/>
          <w:sz w:val="24"/>
        </w:rPr>
        <w:t>甲、乙双方签订本合同时已详细了解本合同条款的全部内容，相关条款无需特别标明，甲、乙双方已充分了解了可能产生的风险及承担的责任。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r>
        <w:rPr>
          <w:rFonts w:hint="eastAsia" w:ascii="宋体" w:hAnsi="宋体"/>
          <w:b/>
          <w:bCs/>
          <w:kern w:val="0"/>
          <w:sz w:val="24"/>
        </w:rPr>
        <w:t>此页以下无正文：</w:t>
      </w: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住所： </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 xml:space="preserve">委托代理人：                   </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施工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对作业项目进行风险辨识和分析。</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对乙方实际作业人员的资质随时进行检查核验，并对进厂人员作业中所存在的安全风险、职业健康、道路交通以及消防等提前告知。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执行有关安全生产方面的规章制度，对乙方不符合安全文明生产的行为进行制止和纠正。发现违章行为和安全隐患的，甲方有权利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发生安全事故后，甲方有义务协助乙方开展事故救援服务，对乙方开展的安全活动提供帮助。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未经甲方许可，乙方人员不得进行作业，严禁进入非本项目作业区域，严禁对承运项目进行转包和非法分包。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乙方不得超越甲方指定的施工范围进行施工，不得进入其它工作区。未经甲方同意，乙方不得擅自使用、损坏与施工无关的甲方设施设备；不得擅自拆除、变更甲方防护设施及标识。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color w:val="000000"/>
          <w:sz w:val="24"/>
        </w:rPr>
        <w:t>因乙方违章、违规、违反安全操作规程导致的生产安全事故由乙方承担全部责任。因上述原因给甲方或第双方造成了人身伤害及财产损失，</w:t>
      </w:r>
      <w:r>
        <w:rPr>
          <w:rFonts w:hint="eastAsia" w:ascii="宋体" w:hAnsi="宋体" w:cs="宋体"/>
          <w:color w:val="000000"/>
          <w:sz w:val="24"/>
          <w:lang w:eastAsia="zh-TW"/>
        </w:rPr>
        <w:t>涉及发生的费用由乙方全额</w:t>
      </w:r>
      <w:r>
        <w:rPr>
          <w:rFonts w:hint="eastAsia" w:ascii="宋体" w:hAnsi="宋体" w:cs="宋体"/>
          <w:color w:val="000000"/>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乙方工程项目施工作业中发生生产安全事故后，必须立即如实向甲方报告，并按照国务院</w:t>
      </w:r>
      <w:r>
        <w:rPr>
          <w:rFonts w:ascii="宋体" w:hAnsi="宋体" w:cs="宋体"/>
          <w:color w:val="000000"/>
          <w:sz w:val="24"/>
        </w:rPr>
        <w:t>493</w:t>
      </w:r>
      <w:r>
        <w:rPr>
          <w:rFonts w:hint="eastAsia" w:ascii="宋体" w:hAnsi="宋体" w:cs="宋体"/>
          <w:color w:val="000000"/>
          <w:sz w:val="24"/>
        </w:rPr>
        <w:t>号令的相关规定如实向有关主管部门报告。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．进入甲方生产区未佩戴安全帽，违约处罚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.不听劝阻、不服从甲方管理以及重复违规，在首次处罚的基础上，加倍处罚；在节日、国家重大活动或敏感时段发生违规，加倍处罚。工程施工期间，违规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年</w:t>
      </w:r>
      <w:r>
        <w:rPr>
          <w:rFonts w:hint="eastAsia" w:ascii="宋体" w:hAnsi="宋体" w:cs="宋体"/>
          <w:color w:val="000000"/>
          <w:w w:val="120"/>
          <w:sz w:val="24"/>
          <w:u w:val="single"/>
        </w:rPr>
        <w:t>12</w:t>
      </w:r>
      <w:r>
        <w:rPr>
          <w:rFonts w:hint="eastAsia" w:ascii="宋体" w:hAnsi="宋体" w:cs="宋体"/>
          <w:color w:val="000000"/>
          <w:w w:val="120"/>
          <w:sz w:val="24"/>
        </w:rPr>
        <w:t>月</w:t>
      </w:r>
      <w:r>
        <w:rPr>
          <w:rFonts w:hint="eastAsia" w:ascii="宋体" w:hAnsi="宋体" w:cs="宋体"/>
          <w:color w:val="000000"/>
          <w:w w:val="120"/>
          <w:sz w:val="24"/>
          <w:u w:val="single"/>
        </w:rPr>
        <w:t>31</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环保技术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环保技术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widowControl/>
        <w:spacing w:line="520" w:lineRule="exact"/>
        <w:jc w:val="left"/>
        <w:rPr>
          <w:rFonts w:ascii="宋体" w:hAnsi="宋体" w:cs="等线"/>
          <w:sz w:val="24"/>
        </w:rPr>
      </w:pPr>
      <w:r>
        <w:rPr>
          <w:rFonts w:ascii="宋体" w:hAnsi="宋体" w:cs="等线"/>
          <w:sz w:val="24"/>
        </w:rPr>
        <w:br w:type="page"/>
      </w: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16"/>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kern w:val="0"/>
          <w:sz w:val="24"/>
        </w:rPr>
      </w:pP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698668"/>
    </w:sdtPr>
    <w:sdtContent>
      <w:p>
        <w:pPr>
          <w:pStyle w:val="12"/>
          <w:jc w:val="center"/>
          <w:rPr>
            <w:rFonts w:hint="eastAsia"/>
          </w:rPr>
        </w:pPr>
        <w:r>
          <w:fldChar w:fldCharType="begin"/>
        </w:r>
        <w:r>
          <w:instrText xml:space="preserve">PAGE   \* MERGEFORMAT</w:instrText>
        </w:r>
        <w:r>
          <w:fldChar w:fldCharType="separate"/>
        </w:r>
        <w:r>
          <w:t>2</w:t>
        </w:r>
        <w:r>
          <w:fldChar w:fldCharType="end"/>
        </w:r>
      </w:p>
    </w:sdtContent>
  </w:sdt>
  <w:p>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ACBCA"/>
    <w:multiLevelType w:val="singleLevel"/>
    <w:tmpl w:val="AD9ACBCA"/>
    <w:lvl w:ilvl="0" w:tentative="0">
      <w:start w:val="2"/>
      <w:numFmt w:val="chineseCounting"/>
      <w:suff w:val="nothing"/>
      <w:lvlText w:val="（%1）"/>
      <w:lvlJc w:val="left"/>
      <w:rPr>
        <w:rFonts w:hint="eastAsia"/>
      </w:rPr>
    </w:lvl>
  </w:abstractNum>
  <w:abstractNum w:abstractNumId="1">
    <w:nsid w:val="FAA5903A"/>
    <w:multiLevelType w:val="singleLevel"/>
    <w:tmpl w:val="FAA5903A"/>
    <w:lvl w:ilvl="0" w:tentative="0">
      <w:start w:val="1"/>
      <w:numFmt w:val="chineseCounting"/>
      <w:suff w:val="space"/>
      <w:lvlText w:val="第%1条"/>
      <w:lvlJc w:val="left"/>
      <w:rPr>
        <w:rFonts w:hint="eastAsia"/>
      </w:rPr>
    </w:lvl>
  </w:abstractNum>
  <w:abstractNum w:abstractNumId="2">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3"/>
    <w:rsid w:val="00002E20"/>
    <w:rsid w:val="00017CF4"/>
    <w:rsid w:val="0002421B"/>
    <w:rsid w:val="000254C6"/>
    <w:rsid w:val="00031885"/>
    <w:rsid w:val="000347A6"/>
    <w:rsid w:val="00057234"/>
    <w:rsid w:val="000732E9"/>
    <w:rsid w:val="000A3284"/>
    <w:rsid w:val="000D5F13"/>
    <w:rsid w:val="000D7D5C"/>
    <w:rsid w:val="000E6C5A"/>
    <w:rsid w:val="00102BE7"/>
    <w:rsid w:val="00107CB5"/>
    <w:rsid w:val="001323A5"/>
    <w:rsid w:val="0013301A"/>
    <w:rsid w:val="00156B12"/>
    <w:rsid w:val="00156C2F"/>
    <w:rsid w:val="0019124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97395"/>
    <w:rsid w:val="007D1D3F"/>
    <w:rsid w:val="0080012F"/>
    <w:rsid w:val="00814047"/>
    <w:rsid w:val="008215FE"/>
    <w:rsid w:val="008234FA"/>
    <w:rsid w:val="0082741F"/>
    <w:rsid w:val="008330D7"/>
    <w:rsid w:val="00884FA7"/>
    <w:rsid w:val="008914F6"/>
    <w:rsid w:val="0089458D"/>
    <w:rsid w:val="008B0C7B"/>
    <w:rsid w:val="008D54F6"/>
    <w:rsid w:val="008D7FEB"/>
    <w:rsid w:val="008E579A"/>
    <w:rsid w:val="009113E8"/>
    <w:rsid w:val="0092217A"/>
    <w:rsid w:val="00922D6A"/>
    <w:rsid w:val="0093172A"/>
    <w:rsid w:val="009748B9"/>
    <w:rsid w:val="0098373F"/>
    <w:rsid w:val="00984865"/>
    <w:rsid w:val="009E2974"/>
    <w:rsid w:val="009E656D"/>
    <w:rsid w:val="009F2557"/>
    <w:rsid w:val="009F284E"/>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405A3"/>
    <w:rsid w:val="00B50D75"/>
    <w:rsid w:val="00B51B52"/>
    <w:rsid w:val="00B5398D"/>
    <w:rsid w:val="00B7443D"/>
    <w:rsid w:val="00B863E5"/>
    <w:rsid w:val="00B86E79"/>
    <w:rsid w:val="00B96160"/>
    <w:rsid w:val="00BB0769"/>
    <w:rsid w:val="00BD7A66"/>
    <w:rsid w:val="00BD7CCF"/>
    <w:rsid w:val="00BE1606"/>
    <w:rsid w:val="00C4051C"/>
    <w:rsid w:val="00C7434F"/>
    <w:rsid w:val="00CD0AE6"/>
    <w:rsid w:val="00CE6F0E"/>
    <w:rsid w:val="00CF3684"/>
    <w:rsid w:val="00CF7A86"/>
    <w:rsid w:val="00D31CAA"/>
    <w:rsid w:val="00D34557"/>
    <w:rsid w:val="00DC085C"/>
    <w:rsid w:val="00DD19DB"/>
    <w:rsid w:val="00DD20A7"/>
    <w:rsid w:val="00DE4C8E"/>
    <w:rsid w:val="00E21093"/>
    <w:rsid w:val="00E24846"/>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50D661F"/>
    <w:rsid w:val="0664400A"/>
    <w:rsid w:val="06AC3F67"/>
    <w:rsid w:val="096C5EB9"/>
    <w:rsid w:val="09AF4DDF"/>
    <w:rsid w:val="0DC22450"/>
    <w:rsid w:val="0F7C6B90"/>
    <w:rsid w:val="17157B38"/>
    <w:rsid w:val="18CF1EAF"/>
    <w:rsid w:val="1AE42BD1"/>
    <w:rsid w:val="1D9E518B"/>
    <w:rsid w:val="1E0105DD"/>
    <w:rsid w:val="1E5653C2"/>
    <w:rsid w:val="21704F1C"/>
    <w:rsid w:val="22577564"/>
    <w:rsid w:val="234B3A7F"/>
    <w:rsid w:val="25310B82"/>
    <w:rsid w:val="260D00C3"/>
    <w:rsid w:val="27B42DC1"/>
    <w:rsid w:val="28893BCD"/>
    <w:rsid w:val="29C90CF2"/>
    <w:rsid w:val="2A0F6646"/>
    <w:rsid w:val="2C8E5517"/>
    <w:rsid w:val="31923BC7"/>
    <w:rsid w:val="326C5E23"/>
    <w:rsid w:val="33A13A3B"/>
    <w:rsid w:val="351842F2"/>
    <w:rsid w:val="3A8A70BC"/>
    <w:rsid w:val="3DDF4F57"/>
    <w:rsid w:val="406E7F3D"/>
    <w:rsid w:val="40CE2BB7"/>
    <w:rsid w:val="411A6BDA"/>
    <w:rsid w:val="420E3FC6"/>
    <w:rsid w:val="44223CED"/>
    <w:rsid w:val="4BD1129E"/>
    <w:rsid w:val="4C481D16"/>
    <w:rsid w:val="4C8D11A9"/>
    <w:rsid w:val="4F124586"/>
    <w:rsid w:val="4FD107FB"/>
    <w:rsid w:val="51AA54B6"/>
    <w:rsid w:val="531F1640"/>
    <w:rsid w:val="548D5C75"/>
    <w:rsid w:val="5A181EAF"/>
    <w:rsid w:val="5E5A1048"/>
    <w:rsid w:val="5ECA2F6C"/>
    <w:rsid w:val="61552B71"/>
    <w:rsid w:val="63E66A3C"/>
    <w:rsid w:val="671A7E05"/>
    <w:rsid w:val="675F0C2A"/>
    <w:rsid w:val="69044BC6"/>
    <w:rsid w:val="69F516D9"/>
    <w:rsid w:val="6E470474"/>
    <w:rsid w:val="6FF27C37"/>
    <w:rsid w:val="6FFC54D5"/>
    <w:rsid w:val="70A02E88"/>
    <w:rsid w:val="70A153A6"/>
    <w:rsid w:val="70EA0652"/>
    <w:rsid w:val="750E1B7C"/>
    <w:rsid w:val="76EF5C7D"/>
    <w:rsid w:val="77D6460B"/>
    <w:rsid w:val="7C480D42"/>
    <w:rsid w:val="7F0016D9"/>
    <w:rsid w:val="7F6A1E6C"/>
    <w:rsid w:val="7FB1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24"/>
    <w:qFormat/>
    <w:uiPriority w:val="0"/>
    <w:pPr>
      <w:keepNext/>
      <w:jc w:val="center"/>
      <w:outlineLvl w:val="2"/>
    </w:pPr>
    <w:rPr>
      <w:rFonts w:ascii="宋体" w:hAnsi="宋体"/>
      <w:b/>
      <w:sz w:val="24"/>
      <w:szCs w:val="20"/>
      <w:lang w:val="zh-CN"/>
    </w:rPr>
  </w:style>
  <w:style w:type="paragraph" w:styleId="4">
    <w:name w:val="heading 6"/>
    <w:basedOn w:val="1"/>
    <w:next w:val="1"/>
    <w:link w:val="3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5"/>
    <w:qFormat/>
    <w:uiPriority w:val="0"/>
    <w:rPr>
      <w:rFonts w:ascii="宋体" w:hAnsi="Times New Roman"/>
      <w:szCs w:val="20"/>
      <w:lang w:val="zh-CN"/>
    </w:rPr>
  </w:style>
  <w:style w:type="paragraph" w:styleId="11">
    <w:name w:val="Balloon Text"/>
    <w:basedOn w:val="1"/>
    <w:link w:val="37"/>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lang w:val="zh-CN"/>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Theme="minorHAnsi" w:hAnsiTheme="minorHAnsi"/>
      <w:kern w:val="0"/>
      <w:sz w:val="24"/>
      <w:szCs w:val="22"/>
    </w:rPr>
  </w:style>
  <w:style w:type="paragraph" w:styleId="15">
    <w:name w:val="toc 2"/>
    <w:basedOn w:val="1"/>
    <w:next w:val="1"/>
    <w:unhideWhenUsed/>
    <w:qFormat/>
    <w:uiPriority w:val="39"/>
    <w:pPr>
      <w:ind w:left="420" w:leftChars="200"/>
    </w:p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customStyle="1" w:styleId="21">
    <w:name w:val="标题 3 字符"/>
    <w:basedOn w:val="17"/>
    <w:semiHidden/>
    <w:qFormat/>
    <w:uiPriority w:val="9"/>
    <w:rPr>
      <w:rFonts w:ascii="Calibri" w:hAnsi="Calibri" w:eastAsia="宋体" w:cs="Times New Roman"/>
      <w:b/>
      <w:bCs/>
      <w:sz w:val="32"/>
      <w:szCs w:val="32"/>
    </w:rPr>
  </w:style>
  <w:style w:type="character" w:customStyle="1" w:styleId="22">
    <w:name w:val="页眉 字符"/>
    <w:basedOn w:val="17"/>
    <w:semiHidden/>
    <w:qFormat/>
    <w:uiPriority w:val="99"/>
    <w:rPr>
      <w:rFonts w:ascii="Calibri" w:hAnsi="Calibri" w:eastAsia="宋体" w:cs="Times New Roman"/>
      <w:sz w:val="18"/>
      <w:szCs w:val="18"/>
    </w:rPr>
  </w:style>
  <w:style w:type="character" w:customStyle="1" w:styleId="23">
    <w:name w:val="页脚 字符"/>
    <w:basedOn w:val="17"/>
    <w:qFormat/>
    <w:uiPriority w:val="99"/>
    <w:rPr>
      <w:rFonts w:ascii="Calibri" w:hAnsi="Calibri" w:eastAsia="宋体" w:cs="Times New Roman"/>
      <w:sz w:val="18"/>
      <w:szCs w:val="18"/>
    </w:rPr>
  </w:style>
  <w:style w:type="character" w:customStyle="1" w:styleId="24">
    <w:name w:val="标题 3 字符1"/>
    <w:link w:val="3"/>
    <w:qFormat/>
    <w:uiPriority w:val="0"/>
    <w:rPr>
      <w:rFonts w:ascii="宋体" w:hAnsi="宋体" w:eastAsia="宋体" w:cs="Times New Roman"/>
      <w:b/>
      <w:sz w:val="24"/>
      <w:szCs w:val="20"/>
      <w:lang w:val="zh-CN" w:eastAsia="zh-CN"/>
    </w:rPr>
  </w:style>
  <w:style w:type="character" w:customStyle="1" w:styleId="25">
    <w:name w:val="页脚 字符1"/>
    <w:link w:val="12"/>
    <w:qFormat/>
    <w:uiPriority w:val="0"/>
    <w:rPr>
      <w:rFonts w:ascii="Calibri" w:hAnsi="Calibri" w:eastAsia="宋体" w:cs="Times New Roman"/>
      <w:sz w:val="18"/>
      <w:szCs w:val="18"/>
      <w:lang w:val="zh-CN" w:eastAsia="zh-CN"/>
    </w:rPr>
  </w:style>
  <w:style w:type="character" w:customStyle="1" w:styleId="26">
    <w:name w:val="页眉 字符1"/>
    <w:link w:val="13"/>
    <w:qFormat/>
    <w:uiPriority w:val="0"/>
    <w:rPr>
      <w:rFonts w:ascii="Calibri" w:hAnsi="Calibri" w:eastAsia="宋体" w:cs="Times New Roman"/>
      <w:sz w:val="18"/>
      <w:szCs w:val="18"/>
      <w:lang w:val="zh-CN" w:eastAsia="zh-CN"/>
    </w:rPr>
  </w:style>
  <w:style w:type="character" w:customStyle="1" w:styleId="27">
    <w:name w:val="标题 1 字符"/>
    <w:basedOn w:val="17"/>
    <w:link w:val="2"/>
    <w:qFormat/>
    <w:uiPriority w:val="0"/>
    <w:rPr>
      <w:rFonts w:ascii="黑体" w:hAnsi="Times New Roman" w:eastAsia="宋体" w:cs="Times New Roman"/>
      <w:b/>
      <w:kern w:val="0"/>
      <w:sz w:val="28"/>
      <w:szCs w:val="20"/>
    </w:rPr>
  </w:style>
  <w:style w:type="paragraph" w:customStyle="1" w:styleId="28">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9">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30">
    <w:name w:val="标题 6 字符"/>
    <w:basedOn w:val="17"/>
    <w:link w:val="4"/>
    <w:qFormat/>
    <w:uiPriority w:val="0"/>
    <w:rPr>
      <w:rFonts w:ascii="Arial" w:hAnsi="Arial" w:eastAsia="黑体" w:cs="Times New Roman"/>
      <w:b/>
      <w:bCs/>
      <w:kern w:val="0"/>
      <w:sz w:val="24"/>
      <w:szCs w:val="24"/>
    </w:rPr>
  </w:style>
  <w:style w:type="character" w:customStyle="1" w:styleId="31">
    <w:name w:val="标题 7 字符"/>
    <w:basedOn w:val="17"/>
    <w:link w:val="5"/>
    <w:qFormat/>
    <w:uiPriority w:val="0"/>
    <w:rPr>
      <w:rFonts w:ascii="Times New Roman" w:hAnsi="Times New Roman" w:eastAsia="宋体" w:cs="Times New Roman"/>
      <w:b/>
      <w:bCs/>
      <w:kern w:val="0"/>
      <w:sz w:val="24"/>
      <w:szCs w:val="24"/>
    </w:rPr>
  </w:style>
  <w:style w:type="character" w:customStyle="1" w:styleId="32">
    <w:name w:val="标题 8 字符"/>
    <w:basedOn w:val="17"/>
    <w:link w:val="6"/>
    <w:qFormat/>
    <w:uiPriority w:val="0"/>
    <w:rPr>
      <w:rFonts w:ascii="Arial" w:hAnsi="Arial" w:eastAsia="黑体" w:cs="Times New Roman"/>
      <w:kern w:val="0"/>
      <w:sz w:val="24"/>
      <w:szCs w:val="24"/>
    </w:rPr>
  </w:style>
  <w:style w:type="character" w:customStyle="1" w:styleId="33">
    <w:name w:val="标题 9 字符"/>
    <w:basedOn w:val="17"/>
    <w:link w:val="7"/>
    <w:qFormat/>
    <w:uiPriority w:val="0"/>
    <w:rPr>
      <w:rFonts w:ascii="Arial" w:hAnsi="Arial" w:eastAsia="黑体" w:cs="Times New Roman"/>
      <w:kern w:val="0"/>
      <w:szCs w:val="21"/>
    </w:rPr>
  </w:style>
  <w:style w:type="character" w:customStyle="1" w:styleId="34">
    <w:name w:val="纯文本 字符"/>
    <w:basedOn w:val="17"/>
    <w:semiHidden/>
    <w:qFormat/>
    <w:uiPriority w:val="99"/>
    <w:rPr>
      <w:rFonts w:hAnsi="Courier New" w:cs="Courier New" w:asciiTheme="minorEastAsia"/>
      <w:szCs w:val="24"/>
    </w:rPr>
  </w:style>
  <w:style w:type="character" w:customStyle="1" w:styleId="35">
    <w:name w:val="纯文本 字符1"/>
    <w:link w:val="10"/>
    <w:qFormat/>
    <w:locked/>
    <w:uiPriority w:val="0"/>
    <w:rPr>
      <w:rFonts w:ascii="宋体" w:hAnsi="Times New Roman" w:eastAsia="宋体" w:cs="Times New Roman"/>
      <w:szCs w:val="20"/>
      <w:lang w:val="zh-CN" w:eastAsia="zh-CN"/>
    </w:rPr>
  </w:style>
  <w:style w:type="paragraph" w:customStyle="1" w:styleId="36">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character" w:customStyle="1" w:styleId="37">
    <w:name w:val="批注框文本 字符"/>
    <w:basedOn w:val="17"/>
    <w:link w:val="11"/>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style>
  <w:style w:type="paragraph" w:customStyle="1" w:styleId="39">
    <w:name w:val="TOC 标题2"/>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40">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C21B7-7009-4A04-B1B8-67C884DA9C45}">
  <ds:schemaRefs/>
</ds:datastoreItem>
</file>

<file path=docProps/app.xml><?xml version="1.0" encoding="utf-8"?>
<Properties xmlns="http://schemas.openxmlformats.org/officeDocument/2006/extended-properties" xmlns:vt="http://schemas.openxmlformats.org/officeDocument/2006/docPropsVTypes">
  <Template>Normal</Template>
  <Pages>18</Pages>
  <Words>1496</Words>
  <Characters>8533</Characters>
  <Lines>71</Lines>
  <Paragraphs>20</Paragraphs>
  <TotalTime>0</TotalTime>
  <ScaleCrop>false</ScaleCrop>
  <LinksUpToDate>false</LinksUpToDate>
  <CharactersWithSpaces>10009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石仁</cp:lastModifiedBy>
  <cp:lastPrinted>2020-10-26T01:50:00Z</cp:lastPrinted>
  <dcterms:modified xsi:type="dcterms:W3CDTF">2022-11-28T08:20:05Z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1C368DEAF4944804AE6FD699DA62017E</vt:lpwstr>
  </property>
</Properties>
</file>