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p>
    <w:p>
      <w:pPr>
        <w:jc w:val="center"/>
        <w:rPr>
          <w:rFonts w:ascii="宋体" w:hAnsi="宋体"/>
          <w:b/>
          <w:sz w:val="36"/>
          <w:szCs w:val="36"/>
        </w:rPr>
      </w:pPr>
    </w:p>
    <w:p>
      <w:pPr>
        <w:jc w:val="center"/>
        <w:rPr>
          <w:sz w:val="32"/>
        </w:rPr>
      </w:pPr>
      <w:r>
        <w:rPr>
          <w:rFonts w:hint="eastAsia" w:ascii="宋体" w:hAnsi="宋体"/>
          <w:b/>
          <w:sz w:val="52"/>
          <w:szCs w:val="52"/>
        </w:rPr>
        <w:t xml:space="preserve"> 金隅冀东焦作区域公司</w:t>
      </w:r>
    </w:p>
    <w:p>
      <w:pPr>
        <w:jc w:val="center"/>
        <w:rPr>
          <w:rFonts w:eastAsia="华文行楷"/>
          <w:sz w:val="32"/>
        </w:rPr>
      </w:pPr>
    </w:p>
    <w:p>
      <w:pPr>
        <w:ind w:firstLine="4819" w:firstLineChars="1000"/>
        <w:jc w:val="both"/>
        <w:rPr>
          <w:rFonts w:ascii="宋体" w:hAnsi="宋体" w:cs="宋体"/>
          <w:b/>
          <w:bCs/>
          <w:sz w:val="48"/>
          <w:szCs w:val="48"/>
        </w:rPr>
      </w:pPr>
      <w:r>
        <w:rPr>
          <w:rFonts w:hint="eastAsia" w:ascii="宋体" w:hAnsi="宋体" w:cs="宋体"/>
          <w:b/>
          <w:bCs/>
          <w:sz w:val="48"/>
          <w:szCs w:val="48"/>
        </w:rPr>
        <w:t>招</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标</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文 </w:t>
      </w:r>
    </w:p>
    <w:p>
      <w:pPr>
        <w:jc w:val="center"/>
        <w:rPr>
          <w:rFonts w:ascii="宋体" w:hAnsi="宋体" w:cs="宋体"/>
          <w:b/>
          <w:bCs/>
          <w:sz w:val="48"/>
          <w:szCs w:val="48"/>
        </w:rPr>
      </w:pPr>
    </w:p>
    <w:p>
      <w:pPr>
        <w:jc w:val="center"/>
        <w:rPr>
          <w:rFonts w:ascii="宋体" w:hAnsi="宋体" w:cs="宋体"/>
          <w:sz w:val="84"/>
        </w:rPr>
      </w:pPr>
      <w:r>
        <w:rPr>
          <w:rFonts w:hint="eastAsia" w:ascii="宋体" w:hAnsi="宋体" w:cs="宋体"/>
          <w:b/>
          <w:bCs/>
          <w:sz w:val="48"/>
          <w:szCs w:val="48"/>
        </w:rPr>
        <w:t>件</w:t>
      </w:r>
    </w:p>
    <w:p>
      <w:pPr>
        <w:tabs>
          <w:tab w:val="left" w:pos="2800"/>
          <w:tab w:val="left" w:pos="3000"/>
        </w:tabs>
        <w:jc w:val="center"/>
        <w:rPr>
          <w:rFonts w:eastAsia="华文新魏"/>
          <w:sz w:val="84"/>
        </w:rPr>
      </w:pPr>
    </w:p>
    <w:p>
      <w:pPr>
        <w:tabs>
          <w:tab w:val="left" w:pos="2800"/>
          <w:tab w:val="left" w:pos="3000"/>
        </w:tabs>
        <w:rPr>
          <w:rFonts w:eastAsia="华文新魏"/>
          <w:sz w:val="28"/>
          <w:szCs w:val="28"/>
        </w:rPr>
      </w:pPr>
    </w:p>
    <w:p>
      <w:pPr>
        <w:tabs>
          <w:tab w:val="left" w:pos="2800"/>
          <w:tab w:val="left" w:pos="3000"/>
        </w:tabs>
        <w:rPr>
          <w:rFonts w:eastAsia="华文新魏"/>
          <w:sz w:val="28"/>
          <w:szCs w:val="28"/>
        </w:rPr>
      </w:pPr>
    </w:p>
    <w:p>
      <w:pPr>
        <w:tabs>
          <w:tab w:val="left" w:pos="1600"/>
        </w:tabs>
        <w:rPr>
          <w:rFonts w:ascii="宋体" w:hAnsi="宋体" w:cs="宋体"/>
          <w:b/>
          <w:bCs/>
          <w:color w:val="0070C0"/>
          <w:sz w:val="36"/>
          <w:szCs w:val="36"/>
        </w:rPr>
      </w:pPr>
      <w:r>
        <w:rPr>
          <w:rFonts w:hint="eastAsia" w:ascii="宋体" w:hAnsi="宋体" w:cs="宋体"/>
          <w:sz w:val="36"/>
          <w:szCs w:val="36"/>
        </w:rPr>
        <w:t xml:space="preserve">        </w:t>
      </w:r>
      <w:r>
        <w:rPr>
          <w:rFonts w:hint="eastAsia" w:ascii="宋体" w:hAnsi="宋体" w:cs="宋体"/>
          <w:b/>
          <w:bCs/>
          <w:sz w:val="36"/>
          <w:szCs w:val="36"/>
        </w:rPr>
        <w:t>招标编号：</w:t>
      </w:r>
    </w:p>
    <w:p>
      <w:pPr>
        <w:tabs>
          <w:tab w:val="left" w:pos="1600"/>
          <w:tab w:val="left" w:pos="3000"/>
        </w:tabs>
        <w:ind w:left="3614" w:hanging="3614" w:hangingChars="1000"/>
        <w:rPr>
          <w:rFonts w:ascii="宋体" w:hAnsi="宋体" w:cs="宋体"/>
          <w:b/>
          <w:bCs/>
          <w:sz w:val="36"/>
          <w:szCs w:val="36"/>
        </w:rPr>
      </w:pPr>
      <w:r>
        <w:rPr>
          <w:rFonts w:hint="eastAsia" w:ascii="宋体" w:hAnsi="宋体" w:cs="宋体"/>
          <w:b/>
          <w:bCs/>
          <w:sz w:val="36"/>
          <w:szCs w:val="36"/>
        </w:rPr>
        <w:t xml:space="preserve">        招标项目：202</w:t>
      </w:r>
      <w:r>
        <w:rPr>
          <w:rFonts w:hint="eastAsia" w:ascii="宋体" w:hAnsi="宋体" w:cs="宋体"/>
          <w:b/>
          <w:bCs/>
          <w:sz w:val="36"/>
          <w:szCs w:val="36"/>
          <w:lang w:val="en-US" w:eastAsia="zh-CN"/>
        </w:rPr>
        <w:t>3</w:t>
      </w:r>
      <w:r>
        <w:rPr>
          <w:rFonts w:hint="eastAsia" w:ascii="宋体" w:hAnsi="宋体" w:cs="宋体"/>
          <w:b/>
          <w:bCs/>
          <w:sz w:val="36"/>
          <w:szCs w:val="36"/>
        </w:rPr>
        <w:t>年自行监测服务</w:t>
      </w:r>
      <w:r>
        <w:rPr>
          <w:rFonts w:ascii="宋体" w:hAnsi="宋体" w:cs="宋体"/>
          <w:b/>
          <w:bCs/>
          <w:sz w:val="36"/>
          <w:szCs w:val="36"/>
        </w:rPr>
        <w:t xml:space="preserve"> </w:t>
      </w:r>
    </w:p>
    <w:p>
      <w:pPr>
        <w:tabs>
          <w:tab w:val="left" w:pos="1600"/>
          <w:tab w:val="left" w:pos="3000"/>
        </w:tabs>
        <w:ind w:left="3243" w:leftChars="718" w:hanging="1807" w:hangingChars="500"/>
        <w:rPr>
          <w:rFonts w:ascii="宋体" w:hAnsi="宋体" w:cs="宋体"/>
          <w:b/>
          <w:bCs/>
          <w:sz w:val="36"/>
          <w:szCs w:val="36"/>
        </w:rPr>
      </w:pPr>
      <w:r>
        <w:rPr>
          <w:rFonts w:hint="eastAsia" w:ascii="宋体" w:hAnsi="宋体" w:cs="宋体"/>
          <w:b/>
          <w:bCs/>
          <w:sz w:val="36"/>
          <w:szCs w:val="36"/>
        </w:rPr>
        <w:t>招标单位：冀东海天水泥闻喜有限责任公司</w:t>
      </w:r>
    </w:p>
    <w:p>
      <w:pPr>
        <w:rPr>
          <w:rFonts w:eastAsia="华文新魏"/>
          <w:sz w:val="44"/>
        </w:rPr>
      </w:pPr>
    </w:p>
    <w:p>
      <w:pPr>
        <w:rPr>
          <w:rFonts w:eastAsia="华文新魏"/>
          <w:sz w:val="44"/>
        </w:rPr>
      </w:pPr>
    </w:p>
    <w:p>
      <w:pPr>
        <w:pStyle w:val="2"/>
        <w:rPr>
          <w:rFonts w:eastAsia="华文新魏"/>
          <w:sz w:val="44"/>
        </w:rPr>
      </w:pPr>
    </w:p>
    <w:p>
      <w:pPr>
        <w:pStyle w:val="2"/>
        <w:rPr>
          <w:rFonts w:eastAsia="华文新魏"/>
          <w:sz w:val="44"/>
        </w:rPr>
      </w:pPr>
    </w:p>
    <w:p>
      <w:pPr>
        <w:pStyle w:val="2"/>
        <w:rPr>
          <w:rFonts w:eastAsia="华文新魏"/>
          <w:sz w:val="44"/>
        </w:rPr>
      </w:pPr>
    </w:p>
    <w:p>
      <w:pPr>
        <w:pStyle w:val="2"/>
        <w:rPr>
          <w:rFonts w:eastAsia="华文新魏"/>
          <w:sz w:val="44"/>
        </w:rPr>
      </w:pPr>
    </w:p>
    <w:p>
      <w:pPr>
        <w:pStyle w:val="2"/>
        <w:rPr>
          <w:rFonts w:eastAsia="华文新魏"/>
          <w:sz w:val="44"/>
        </w:rPr>
      </w:pPr>
    </w:p>
    <w:p>
      <w:pPr>
        <w:pStyle w:val="2"/>
        <w:rPr>
          <w:rFonts w:eastAsia="华文新魏"/>
          <w:sz w:val="44"/>
        </w:rPr>
      </w:pPr>
    </w:p>
    <w:p>
      <w:pPr>
        <w:rPr>
          <w:rFonts w:eastAsia="华文新魏"/>
          <w:sz w:val="44"/>
        </w:rPr>
      </w:pPr>
    </w:p>
    <w:p>
      <w:pPr>
        <w:spacing w:line="480" w:lineRule="exact"/>
        <w:jc w:val="center"/>
        <w:rPr>
          <w:rFonts w:ascii="宋体" w:hAnsi="宋体" w:cs="宋体"/>
          <w:b/>
          <w:bCs/>
          <w:sz w:val="36"/>
          <w:szCs w:val="36"/>
        </w:rPr>
      </w:pPr>
    </w:p>
    <w:p>
      <w:pPr>
        <w:spacing w:line="480" w:lineRule="exact"/>
        <w:jc w:val="center"/>
        <w:rPr>
          <w:rFonts w:ascii="宋体" w:hAnsi="宋体" w:cs="宋体"/>
          <w:b/>
          <w:bCs/>
          <w:sz w:val="36"/>
          <w:szCs w:val="36"/>
        </w:rPr>
      </w:pPr>
      <w:r>
        <w:rPr>
          <w:rFonts w:hint="eastAsia" w:ascii="宋体" w:hAnsi="宋体" w:cs="宋体"/>
          <w:b/>
          <w:bCs/>
          <w:sz w:val="36"/>
          <w:szCs w:val="36"/>
        </w:rPr>
        <w:t>目录</w:t>
      </w:r>
    </w:p>
    <w:p>
      <w:pPr>
        <w:rPr>
          <w:rFonts w:ascii="宋体" w:hAnsi="宋体" w:cs="宋体"/>
          <w:sz w:val="28"/>
          <w:szCs w:val="28"/>
        </w:rPr>
      </w:pPr>
      <w:r>
        <w:rPr>
          <w:rFonts w:hint="eastAsia" w:ascii="宋体" w:hAnsi="宋体" w:cs="宋体"/>
          <w:sz w:val="28"/>
          <w:szCs w:val="28"/>
        </w:rPr>
        <w:t>第一部分  投标邀请</w:t>
      </w:r>
    </w:p>
    <w:p>
      <w:pPr>
        <w:rPr>
          <w:rFonts w:ascii="宋体" w:hAnsi="宋体" w:cs="宋体"/>
          <w:sz w:val="28"/>
          <w:szCs w:val="28"/>
        </w:rPr>
      </w:pPr>
      <w:r>
        <w:rPr>
          <w:rFonts w:hint="eastAsia" w:ascii="宋体" w:hAnsi="宋体" w:cs="宋体"/>
          <w:sz w:val="28"/>
          <w:szCs w:val="28"/>
        </w:rPr>
        <w:t>第二部分  投标方须知</w:t>
      </w:r>
    </w:p>
    <w:p>
      <w:pPr>
        <w:rPr>
          <w:rFonts w:ascii="宋体" w:hAnsi="宋体" w:cs="宋体"/>
          <w:sz w:val="28"/>
          <w:szCs w:val="28"/>
        </w:rPr>
      </w:pPr>
      <w:r>
        <w:rPr>
          <w:rFonts w:hint="eastAsia" w:ascii="宋体" w:hAnsi="宋体" w:cs="宋体"/>
          <w:sz w:val="28"/>
          <w:szCs w:val="28"/>
        </w:rPr>
        <w:t xml:space="preserve">  A 投标方</w:t>
      </w:r>
    </w:p>
    <w:p>
      <w:pPr>
        <w:ind w:firstLine="630"/>
        <w:rPr>
          <w:rFonts w:ascii="宋体" w:hAnsi="宋体" w:cs="宋体"/>
          <w:sz w:val="28"/>
          <w:szCs w:val="28"/>
        </w:rPr>
      </w:pPr>
      <w:r>
        <w:rPr>
          <w:rFonts w:hint="eastAsia" w:ascii="宋体" w:hAnsi="宋体" w:cs="宋体"/>
          <w:sz w:val="28"/>
          <w:szCs w:val="28"/>
        </w:rPr>
        <w:t>1.合格投标方的范围</w:t>
      </w:r>
    </w:p>
    <w:p>
      <w:pPr>
        <w:ind w:firstLine="630"/>
        <w:rPr>
          <w:rFonts w:ascii="宋体" w:hAnsi="宋体" w:cs="宋体"/>
          <w:sz w:val="28"/>
          <w:szCs w:val="28"/>
        </w:rPr>
      </w:pPr>
      <w:r>
        <w:rPr>
          <w:rFonts w:hint="eastAsia" w:ascii="宋体" w:hAnsi="宋体" w:cs="宋体"/>
          <w:sz w:val="28"/>
          <w:szCs w:val="28"/>
        </w:rPr>
        <w:t>2.投标委托</w:t>
      </w:r>
    </w:p>
    <w:p>
      <w:pPr>
        <w:ind w:firstLine="630"/>
        <w:rPr>
          <w:rFonts w:ascii="宋体" w:hAnsi="宋体" w:cs="宋体"/>
          <w:sz w:val="28"/>
          <w:szCs w:val="28"/>
        </w:rPr>
      </w:pPr>
      <w:r>
        <w:rPr>
          <w:rFonts w:hint="eastAsia" w:ascii="宋体" w:hAnsi="宋体" w:cs="宋体"/>
          <w:sz w:val="28"/>
          <w:szCs w:val="28"/>
        </w:rPr>
        <w:t>3.投标费用</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B 招标文件</w:t>
      </w:r>
    </w:p>
    <w:p>
      <w:pPr>
        <w:ind w:firstLine="630"/>
        <w:rPr>
          <w:rFonts w:ascii="宋体" w:hAnsi="宋体" w:cs="宋体"/>
          <w:sz w:val="28"/>
          <w:szCs w:val="28"/>
        </w:rPr>
      </w:pPr>
      <w:r>
        <w:rPr>
          <w:rFonts w:hint="eastAsia" w:ascii="宋体" w:hAnsi="宋体" w:cs="宋体"/>
          <w:sz w:val="28"/>
          <w:szCs w:val="28"/>
        </w:rPr>
        <w:t>4.招标文件</w:t>
      </w:r>
    </w:p>
    <w:p>
      <w:pPr>
        <w:ind w:firstLine="630"/>
        <w:rPr>
          <w:rFonts w:ascii="宋体" w:hAnsi="宋体" w:cs="宋体"/>
          <w:sz w:val="28"/>
          <w:szCs w:val="28"/>
        </w:rPr>
      </w:pPr>
      <w:r>
        <w:rPr>
          <w:rFonts w:hint="eastAsia" w:ascii="宋体" w:hAnsi="宋体" w:cs="宋体"/>
          <w:sz w:val="28"/>
          <w:szCs w:val="28"/>
        </w:rPr>
        <w:t>5.招标文件的澄清</w:t>
      </w:r>
    </w:p>
    <w:p>
      <w:pPr>
        <w:ind w:firstLine="630"/>
        <w:rPr>
          <w:rFonts w:ascii="宋体" w:hAnsi="宋体" w:cs="宋体"/>
          <w:sz w:val="28"/>
          <w:szCs w:val="28"/>
        </w:rPr>
      </w:pPr>
      <w:r>
        <w:rPr>
          <w:rFonts w:hint="eastAsia" w:ascii="宋体" w:hAnsi="宋体" w:cs="宋体"/>
          <w:sz w:val="28"/>
          <w:szCs w:val="28"/>
        </w:rPr>
        <w:t>6.招标文件的修改</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C 投标文件及合同期限</w:t>
      </w:r>
    </w:p>
    <w:p>
      <w:pPr>
        <w:ind w:firstLine="630"/>
        <w:rPr>
          <w:rFonts w:ascii="宋体" w:hAnsi="宋体" w:cs="宋体"/>
          <w:sz w:val="28"/>
          <w:szCs w:val="28"/>
        </w:rPr>
      </w:pPr>
      <w:r>
        <w:rPr>
          <w:rFonts w:hint="eastAsia" w:ascii="宋体" w:hAnsi="宋体" w:cs="宋体"/>
          <w:sz w:val="28"/>
          <w:szCs w:val="28"/>
        </w:rPr>
        <w:t>7.投标文件计量单位</w:t>
      </w:r>
    </w:p>
    <w:p>
      <w:pPr>
        <w:ind w:firstLine="630"/>
        <w:rPr>
          <w:rFonts w:ascii="宋体" w:hAnsi="宋体" w:cs="宋体"/>
          <w:sz w:val="28"/>
          <w:szCs w:val="28"/>
        </w:rPr>
      </w:pPr>
      <w:r>
        <w:rPr>
          <w:rFonts w:hint="eastAsia" w:ascii="宋体" w:hAnsi="宋体" w:cs="宋体"/>
          <w:sz w:val="28"/>
          <w:szCs w:val="28"/>
        </w:rPr>
        <w:t>8.投标文件的组成</w:t>
      </w:r>
    </w:p>
    <w:p>
      <w:pPr>
        <w:ind w:firstLine="630"/>
        <w:rPr>
          <w:rFonts w:ascii="宋体" w:hAnsi="宋体" w:cs="宋体"/>
          <w:sz w:val="28"/>
          <w:szCs w:val="28"/>
        </w:rPr>
      </w:pPr>
      <w:r>
        <w:rPr>
          <w:rFonts w:hint="eastAsia" w:ascii="宋体" w:hAnsi="宋体" w:cs="宋体"/>
          <w:sz w:val="28"/>
          <w:szCs w:val="28"/>
        </w:rPr>
        <w:t>9.投标内容填写说明</w:t>
      </w:r>
    </w:p>
    <w:p>
      <w:pPr>
        <w:ind w:firstLine="630"/>
        <w:rPr>
          <w:rFonts w:ascii="宋体" w:hAnsi="宋体" w:cs="宋体"/>
          <w:sz w:val="28"/>
          <w:szCs w:val="28"/>
        </w:rPr>
      </w:pPr>
      <w:r>
        <w:rPr>
          <w:rFonts w:hint="eastAsia" w:ascii="宋体" w:hAnsi="宋体" w:cs="宋体"/>
          <w:sz w:val="28"/>
          <w:szCs w:val="28"/>
        </w:rPr>
        <w:t>10.投标书附件的编制与编目</w:t>
      </w:r>
    </w:p>
    <w:p>
      <w:pPr>
        <w:ind w:firstLine="630"/>
        <w:rPr>
          <w:rFonts w:ascii="宋体" w:hAnsi="宋体" w:cs="宋体"/>
          <w:sz w:val="28"/>
          <w:szCs w:val="28"/>
        </w:rPr>
      </w:pPr>
      <w:r>
        <w:rPr>
          <w:rFonts w:hint="eastAsia" w:ascii="宋体" w:hAnsi="宋体" w:cs="宋体"/>
          <w:sz w:val="28"/>
          <w:szCs w:val="28"/>
        </w:rPr>
        <w:t>11.报价及付款方式</w:t>
      </w:r>
    </w:p>
    <w:p>
      <w:pPr>
        <w:ind w:firstLine="630"/>
        <w:rPr>
          <w:rFonts w:ascii="宋体" w:hAnsi="宋体" w:cs="宋体"/>
          <w:sz w:val="28"/>
          <w:szCs w:val="28"/>
        </w:rPr>
      </w:pPr>
      <w:r>
        <w:rPr>
          <w:rFonts w:hint="eastAsia" w:ascii="宋体" w:hAnsi="宋体" w:cs="宋体"/>
          <w:sz w:val="28"/>
          <w:szCs w:val="28"/>
        </w:rPr>
        <w:t>12.投标保证金及合同期限</w:t>
      </w:r>
    </w:p>
    <w:p>
      <w:pPr>
        <w:ind w:firstLine="630"/>
        <w:rPr>
          <w:rFonts w:ascii="宋体" w:hAnsi="宋体" w:cs="宋体"/>
          <w:sz w:val="28"/>
          <w:szCs w:val="28"/>
        </w:rPr>
      </w:pPr>
      <w:r>
        <w:rPr>
          <w:rFonts w:hint="eastAsia" w:ascii="宋体" w:hAnsi="宋体" w:cs="宋体"/>
          <w:sz w:val="28"/>
          <w:szCs w:val="28"/>
        </w:rPr>
        <w:t>13.投标文件的有效期</w:t>
      </w:r>
    </w:p>
    <w:p>
      <w:pPr>
        <w:ind w:firstLine="630"/>
        <w:rPr>
          <w:rFonts w:ascii="宋体" w:hAnsi="宋体" w:cs="宋体"/>
          <w:sz w:val="28"/>
          <w:szCs w:val="28"/>
        </w:rPr>
      </w:pPr>
      <w:r>
        <w:rPr>
          <w:rFonts w:hint="eastAsia" w:ascii="宋体" w:hAnsi="宋体" w:cs="宋体"/>
          <w:sz w:val="28"/>
          <w:szCs w:val="28"/>
        </w:rPr>
        <w:t>14.投标文件的签署及规定</w:t>
      </w:r>
    </w:p>
    <w:p>
      <w:pPr>
        <w:ind w:firstLine="280" w:firstLineChars="100"/>
        <w:rPr>
          <w:rFonts w:ascii="宋体" w:hAnsi="宋体" w:cs="宋体"/>
          <w:sz w:val="28"/>
          <w:szCs w:val="28"/>
        </w:rPr>
      </w:pPr>
    </w:p>
    <w:p>
      <w:pPr>
        <w:ind w:firstLine="280" w:firstLineChars="100"/>
        <w:rPr>
          <w:rFonts w:ascii="宋体" w:hAnsi="宋体" w:cs="宋体"/>
          <w:sz w:val="28"/>
          <w:szCs w:val="28"/>
        </w:rPr>
      </w:pPr>
      <w:r>
        <w:rPr>
          <w:rFonts w:hint="eastAsia" w:ascii="宋体" w:hAnsi="宋体" w:cs="宋体"/>
          <w:sz w:val="28"/>
          <w:szCs w:val="28"/>
        </w:rPr>
        <w:t>第三部分  附件  投标文件格式</w:t>
      </w:r>
    </w:p>
    <w:p>
      <w:pPr>
        <w:ind w:firstLine="280" w:firstLineChars="100"/>
        <w:rPr>
          <w:rFonts w:ascii="宋体" w:hAnsi="宋体" w:cs="宋体"/>
          <w:sz w:val="28"/>
          <w:szCs w:val="28"/>
        </w:rPr>
      </w:pPr>
      <w:r>
        <w:rPr>
          <w:rFonts w:hint="eastAsia" w:ascii="宋体" w:hAnsi="宋体" w:cs="宋体"/>
          <w:sz w:val="28"/>
          <w:szCs w:val="28"/>
        </w:rPr>
        <w:t>附件一：投标函</w:t>
      </w:r>
    </w:p>
    <w:p>
      <w:pPr>
        <w:ind w:firstLine="280" w:firstLineChars="100"/>
        <w:rPr>
          <w:rFonts w:ascii="宋体" w:hAnsi="宋体" w:cs="宋体"/>
          <w:sz w:val="28"/>
          <w:szCs w:val="28"/>
        </w:rPr>
      </w:pPr>
      <w:r>
        <w:rPr>
          <w:rFonts w:hint="eastAsia" w:ascii="宋体" w:hAnsi="宋体" w:cs="宋体"/>
          <w:sz w:val="28"/>
          <w:szCs w:val="28"/>
        </w:rPr>
        <w:t>附件二：开标一览表</w:t>
      </w:r>
    </w:p>
    <w:p>
      <w:pPr>
        <w:ind w:firstLine="280" w:firstLineChars="100"/>
        <w:rPr>
          <w:rFonts w:ascii="宋体" w:hAnsi="宋体" w:cs="宋体"/>
          <w:sz w:val="28"/>
          <w:szCs w:val="28"/>
        </w:rPr>
      </w:pPr>
      <w:r>
        <w:rPr>
          <w:rFonts w:hint="eastAsia" w:ascii="宋体" w:hAnsi="宋体" w:cs="宋体"/>
          <w:sz w:val="28"/>
          <w:szCs w:val="28"/>
        </w:rPr>
        <w:t>附件三：法人代表授权书</w:t>
      </w:r>
    </w:p>
    <w:p>
      <w:pPr>
        <w:ind w:firstLine="280" w:firstLineChars="100"/>
        <w:rPr>
          <w:rFonts w:ascii="宋体" w:hAnsi="宋体" w:cs="宋体"/>
          <w:sz w:val="28"/>
          <w:szCs w:val="28"/>
        </w:rPr>
      </w:pPr>
      <w:r>
        <w:rPr>
          <w:rFonts w:hint="eastAsia" w:ascii="宋体" w:hAnsi="宋体" w:cs="宋体"/>
          <w:sz w:val="28"/>
          <w:szCs w:val="28"/>
        </w:rPr>
        <w:t>附件四：评分标准</w:t>
      </w:r>
    </w:p>
    <w:p>
      <w:pPr>
        <w:ind w:firstLine="280" w:firstLineChars="100"/>
        <w:rPr>
          <w:rFonts w:ascii="宋体" w:hAnsi="宋体" w:cs="宋体"/>
          <w:sz w:val="28"/>
          <w:szCs w:val="28"/>
        </w:rPr>
      </w:pPr>
      <w:r>
        <w:rPr>
          <w:rFonts w:hint="eastAsia" w:ascii="宋体" w:hAnsi="宋体" w:cs="宋体"/>
          <w:sz w:val="28"/>
          <w:szCs w:val="28"/>
        </w:rPr>
        <w:t>附件五：合同模板</w:t>
      </w:r>
      <w:r>
        <w:rPr>
          <w:rFonts w:ascii="宋体" w:hAnsi="宋体" w:cs="宋体"/>
          <w:sz w:val="28"/>
          <w:szCs w:val="28"/>
        </w:rPr>
        <w:t xml:space="preserve"> </w:t>
      </w: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ind w:firstLine="280" w:firstLineChars="100"/>
        <w:rPr>
          <w:rFonts w:ascii="宋体" w:hAnsi="宋体" w:cs="宋体"/>
          <w:sz w:val="28"/>
          <w:szCs w:val="28"/>
        </w:rPr>
      </w:pPr>
    </w:p>
    <w:p>
      <w:pPr>
        <w:pStyle w:val="3"/>
        <w:jc w:val="center"/>
        <w:rPr>
          <w:rFonts w:ascii="宋体" w:hAnsi="宋体" w:cs="宋体"/>
          <w:sz w:val="28"/>
          <w:szCs w:val="28"/>
        </w:rPr>
      </w:pPr>
      <w:r>
        <w:rPr>
          <w:rFonts w:hint="eastAsia" w:ascii="宋体" w:hAnsi="宋体" w:cs="宋体"/>
          <w:sz w:val="28"/>
          <w:szCs w:val="28"/>
        </w:rPr>
        <w:t xml:space="preserve">  投标邀请</w:t>
      </w:r>
    </w:p>
    <w:p>
      <w:pPr>
        <w:spacing w:line="480" w:lineRule="exact"/>
        <w:rPr>
          <w:rFonts w:ascii="宋体" w:hAnsi="宋体" w:cs="宋体"/>
          <w:sz w:val="28"/>
          <w:szCs w:val="28"/>
        </w:rPr>
      </w:pPr>
      <w:r>
        <w:rPr>
          <w:rFonts w:hint="eastAsia" w:ascii="宋体" w:hAnsi="宋体" w:cs="宋体"/>
          <w:sz w:val="28"/>
          <w:szCs w:val="28"/>
        </w:rPr>
        <w:t xml:space="preserve">    金隅冀东焦作区域公司，由博爱金隅水泥有限公司和沁阳金隅冀东环保科技有限公司、陵川金隅冀东环保科技有限公司、</w:t>
      </w:r>
      <w:r>
        <w:rPr>
          <w:rFonts w:ascii="宋体" w:hAnsi="宋体" w:cs="宋体"/>
          <w:sz w:val="28"/>
          <w:szCs w:val="28"/>
        </w:rPr>
        <w:t>冀东海天水泥闻喜有限责任公司</w:t>
      </w:r>
      <w:r>
        <w:rPr>
          <w:rFonts w:hint="eastAsia" w:ascii="宋体" w:hAnsi="宋体" w:cs="宋体"/>
          <w:sz w:val="28"/>
          <w:szCs w:val="28"/>
        </w:rPr>
        <w:t>四家公司合并组建而成；此次集中招标的中标单位可享有与四家单位签订合同优越条件，现诚邀符合招标条件的供应商前来投标。</w:t>
      </w:r>
    </w:p>
    <w:p>
      <w:pPr>
        <w:pStyle w:val="14"/>
        <w:numPr>
          <w:ilvl w:val="0"/>
          <w:numId w:val="0"/>
        </w:numPr>
        <w:spacing w:line="480" w:lineRule="exact"/>
        <w:ind w:leftChars="0"/>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招标编号：</w:t>
      </w:r>
    </w:p>
    <w:p>
      <w:pPr>
        <w:pStyle w:val="14"/>
        <w:numPr>
          <w:ilvl w:val="0"/>
          <w:numId w:val="0"/>
        </w:numPr>
        <w:spacing w:line="480" w:lineRule="exact"/>
        <w:ind w:leftChars="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招标内容：</w:t>
      </w:r>
      <w:r>
        <w:rPr>
          <w:rFonts w:hint="eastAsia" w:ascii="宋体" w:hAnsi="宋体" w:cs="宋体"/>
          <w:b w:val="0"/>
          <w:bCs w:val="0"/>
          <w:sz w:val="28"/>
          <w:szCs w:val="28"/>
        </w:rPr>
        <w:t>202</w:t>
      </w:r>
      <w:r>
        <w:rPr>
          <w:rFonts w:hint="eastAsia" w:ascii="宋体" w:hAnsi="宋体" w:cs="宋体"/>
          <w:b w:val="0"/>
          <w:bCs w:val="0"/>
          <w:sz w:val="28"/>
          <w:szCs w:val="28"/>
          <w:lang w:val="en-US" w:eastAsia="zh-CN"/>
        </w:rPr>
        <w:t>3</w:t>
      </w:r>
      <w:r>
        <w:rPr>
          <w:rFonts w:hint="eastAsia" w:ascii="宋体" w:hAnsi="宋体" w:cs="宋体"/>
          <w:b w:val="0"/>
          <w:bCs w:val="0"/>
          <w:sz w:val="28"/>
          <w:szCs w:val="28"/>
        </w:rPr>
        <w:t>年自行监测服务</w:t>
      </w:r>
    </w:p>
    <w:p>
      <w:pPr>
        <w:spacing w:line="480" w:lineRule="exact"/>
        <w:rPr>
          <w:rFonts w:ascii="宋体" w:hAnsi="宋体" w:cs="宋体"/>
          <w:sz w:val="28"/>
          <w:szCs w:val="28"/>
          <w:u w:val="single"/>
        </w:rPr>
      </w:pPr>
      <w:r>
        <w:rPr>
          <w:rFonts w:ascii="宋体" w:hAnsi="宋体" w:cs="宋体"/>
          <w:sz w:val="28"/>
          <w:szCs w:val="28"/>
        </w:rPr>
        <w:t>3</w:t>
      </w:r>
      <w:r>
        <w:rPr>
          <w:rFonts w:hint="eastAsia" w:ascii="宋体" w:hAnsi="宋体" w:cs="宋体"/>
          <w:sz w:val="28"/>
          <w:szCs w:val="28"/>
        </w:rPr>
        <w:t>.招标物资名称数量及主要技术规格：</w:t>
      </w:r>
      <w:r>
        <w:rPr>
          <w:rFonts w:hint="eastAsia" w:ascii="宋体" w:hAnsi="宋体" w:cs="宋体"/>
          <w:sz w:val="28"/>
          <w:szCs w:val="28"/>
          <w:u w:val="single"/>
        </w:rPr>
        <w:t>按招标项目清单和现行国家标准执行。</w:t>
      </w:r>
    </w:p>
    <w:p>
      <w:pPr>
        <w:spacing w:line="480" w:lineRule="exact"/>
        <w:rPr>
          <w:rFonts w:ascii="宋体" w:hAnsi="宋体" w:cs="宋体"/>
          <w:sz w:val="28"/>
          <w:szCs w:val="28"/>
          <w:u w:val="single"/>
        </w:rPr>
      </w:pPr>
      <w:r>
        <w:rPr>
          <w:rFonts w:ascii="宋体" w:hAnsi="宋体" w:cs="宋体"/>
          <w:sz w:val="28"/>
          <w:szCs w:val="28"/>
        </w:rPr>
        <w:t>4</w:t>
      </w:r>
      <w:r>
        <w:rPr>
          <w:rFonts w:hint="eastAsia" w:ascii="宋体" w:hAnsi="宋体" w:cs="宋体"/>
          <w:sz w:val="28"/>
          <w:szCs w:val="28"/>
        </w:rPr>
        <w:t>.工期：</w:t>
      </w:r>
      <w:r>
        <w:rPr>
          <w:rFonts w:hint="eastAsia" w:ascii="宋体" w:hAnsi="宋体" w:cs="宋体"/>
          <w:sz w:val="28"/>
          <w:szCs w:val="28"/>
          <w:u w:val="single"/>
        </w:rPr>
        <w:t>按招标方合同约定时间要求</w:t>
      </w:r>
    </w:p>
    <w:p>
      <w:pPr>
        <w:spacing w:line="480" w:lineRule="exact"/>
        <w:rPr>
          <w:rFonts w:ascii="宋体" w:hAnsi="宋体" w:cs="宋体"/>
          <w:sz w:val="28"/>
          <w:szCs w:val="28"/>
        </w:rPr>
      </w:pPr>
      <w:r>
        <w:rPr>
          <w:rFonts w:ascii="宋体" w:hAnsi="宋体" w:cs="宋体"/>
          <w:sz w:val="28"/>
          <w:szCs w:val="28"/>
        </w:rPr>
        <w:t>5.</w:t>
      </w:r>
      <w:r>
        <w:rPr>
          <w:rFonts w:hint="eastAsia" w:ascii="宋体" w:hAnsi="宋体" w:cs="宋体"/>
          <w:sz w:val="28"/>
          <w:szCs w:val="28"/>
        </w:rPr>
        <w:t>有效期：</w:t>
      </w: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01</w:t>
      </w:r>
      <w:r>
        <w:rPr>
          <w:rFonts w:hint="eastAsia" w:ascii="宋体" w:hAnsi="宋体" w:cs="宋体"/>
          <w:sz w:val="28"/>
          <w:szCs w:val="28"/>
        </w:rPr>
        <w:t>月</w:t>
      </w:r>
      <w:r>
        <w:rPr>
          <w:rFonts w:hint="eastAsia" w:ascii="宋体" w:hAnsi="宋体" w:cs="宋体"/>
          <w:sz w:val="28"/>
          <w:szCs w:val="28"/>
          <w:lang w:val="en-US" w:eastAsia="zh-CN"/>
        </w:rPr>
        <w:t>01</w:t>
      </w:r>
      <w:r>
        <w:rPr>
          <w:rFonts w:hint="eastAsia" w:ascii="宋体" w:hAnsi="宋体" w:cs="宋体"/>
          <w:sz w:val="28"/>
          <w:szCs w:val="28"/>
        </w:rPr>
        <w:t>日-</w:t>
      </w: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31</w:t>
      </w:r>
      <w:r>
        <w:rPr>
          <w:rFonts w:hint="eastAsia" w:ascii="宋体" w:hAnsi="宋体" w:cs="宋体"/>
          <w:sz w:val="28"/>
          <w:szCs w:val="28"/>
        </w:rPr>
        <w:t>日</w:t>
      </w:r>
    </w:p>
    <w:p>
      <w:pPr>
        <w:spacing w:line="480" w:lineRule="exact"/>
        <w:rPr>
          <w:rFonts w:ascii="宋体" w:hAnsi="宋体" w:cs="宋体"/>
          <w:color w:val="FF0000"/>
          <w:sz w:val="28"/>
          <w:szCs w:val="28"/>
          <w:u w:val="single"/>
        </w:rPr>
      </w:pPr>
      <w:r>
        <w:rPr>
          <w:rFonts w:ascii="宋体" w:hAnsi="宋体" w:cs="宋体"/>
          <w:sz w:val="28"/>
          <w:szCs w:val="28"/>
        </w:rPr>
        <w:t>6</w:t>
      </w:r>
      <w:r>
        <w:rPr>
          <w:rFonts w:hint="eastAsia" w:ascii="宋体" w:hAnsi="宋体" w:cs="宋体"/>
          <w:sz w:val="28"/>
          <w:szCs w:val="28"/>
        </w:rPr>
        <w:t>.投标地点：</w:t>
      </w:r>
      <w:r>
        <w:rPr>
          <w:rFonts w:hint="eastAsia" w:ascii="宋体" w:hAnsi="宋体" w:cs="宋体"/>
          <w:color w:val="FF0000"/>
          <w:sz w:val="28"/>
          <w:szCs w:val="28"/>
          <w:u w:val="single"/>
        </w:rPr>
        <w:t>金隅冀东阳光采购平台（http://cg.jdsn.com.cn/）</w:t>
      </w:r>
    </w:p>
    <w:p>
      <w:pPr>
        <w:spacing w:line="480" w:lineRule="exact"/>
        <w:rPr>
          <w:rFonts w:ascii="宋体" w:hAnsi="宋体" w:cs="宋体"/>
          <w:color w:val="FF0000"/>
          <w:sz w:val="28"/>
          <w:szCs w:val="28"/>
        </w:rPr>
      </w:pPr>
      <w:r>
        <w:rPr>
          <w:rFonts w:ascii="宋体" w:hAnsi="宋体" w:cs="宋体"/>
          <w:color w:val="FF0000"/>
          <w:sz w:val="28"/>
          <w:szCs w:val="28"/>
        </w:rPr>
        <w:t>7.</w:t>
      </w:r>
      <w:r>
        <w:rPr>
          <w:rFonts w:hint="eastAsia" w:ascii="宋体" w:hAnsi="宋体" w:cs="宋体"/>
          <w:color w:val="FF0000"/>
          <w:sz w:val="28"/>
          <w:szCs w:val="28"/>
        </w:rPr>
        <w:t>投标形式：电子版投标文件（文件每页须加盖公章）</w:t>
      </w:r>
    </w:p>
    <w:p>
      <w:pPr>
        <w:spacing w:line="480" w:lineRule="exact"/>
        <w:rPr>
          <w:rFonts w:ascii="宋体" w:hAnsi="宋体" w:cs="宋体"/>
          <w:sz w:val="28"/>
          <w:szCs w:val="28"/>
          <w:u w:val="single"/>
        </w:rPr>
      </w:pPr>
      <w:r>
        <w:rPr>
          <w:rFonts w:ascii="宋体" w:hAnsi="宋体" w:cs="宋体"/>
          <w:sz w:val="28"/>
          <w:szCs w:val="28"/>
        </w:rPr>
        <w:t>8</w:t>
      </w:r>
      <w:r>
        <w:rPr>
          <w:rFonts w:hint="eastAsia" w:ascii="宋体" w:hAnsi="宋体" w:cs="宋体"/>
          <w:sz w:val="28"/>
          <w:szCs w:val="28"/>
        </w:rPr>
        <w:t>.平台投标报价截止日期：</w:t>
      </w:r>
      <w:bookmarkStart w:id="0" w:name="_Hlk87605506"/>
      <w:r>
        <w:rPr>
          <w:rFonts w:hint="eastAsia" w:ascii="宋体" w:hAnsi="宋体" w:cs="宋体"/>
          <w:color w:val="auto"/>
          <w:sz w:val="28"/>
          <w:szCs w:val="28"/>
          <w:u w:val="single"/>
        </w:rPr>
        <w:t>以金隅冀东阳光采购平台公告为准</w:t>
      </w:r>
      <w:bookmarkEnd w:id="0"/>
      <w:r>
        <w:rPr>
          <w:rFonts w:hint="eastAsia" w:ascii="宋体" w:hAnsi="宋体" w:cs="宋体"/>
          <w:sz w:val="28"/>
          <w:szCs w:val="28"/>
        </w:rPr>
        <w:t>，逾期收到或不符合规定的投标文件恕不接受。</w:t>
      </w:r>
    </w:p>
    <w:p>
      <w:pPr>
        <w:spacing w:line="480" w:lineRule="exact"/>
        <w:rPr>
          <w:rFonts w:ascii="宋体" w:hAnsi="宋体" w:cs="宋体"/>
          <w:color w:val="0070C0"/>
          <w:sz w:val="28"/>
          <w:szCs w:val="28"/>
        </w:rPr>
      </w:pPr>
      <w:r>
        <w:rPr>
          <w:rFonts w:ascii="宋体" w:hAnsi="宋体" w:cs="宋体"/>
          <w:sz w:val="28"/>
          <w:szCs w:val="28"/>
        </w:rPr>
        <w:t>9</w:t>
      </w:r>
      <w:r>
        <w:rPr>
          <w:rFonts w:hint="eastAsia" w:ascii="宋体" w:hAnsi="宋体" w:cs="宋体"/>
          <w:sz w:val="28"/>
          <w:szCs w:val="28"/>
        </w:rPr>
        <w:t>.平台开标时间：</w:t>
      </w:r>
      <w:r>
        <w:rPr>
          <w:rFonts w:hint="eastAsia" w:ascii="宋体" w:hAnsi="宋体" w:cs="宋体"/>
          <w:color w:val="auto"/>
          <w:sz w:val="28"/>
          <w:szCs w:val="28"/>
          <w:u w:val="single"/>
        </w:rPr>
        <w:t>以金隅冀东阳光采购平台公告为准</w:t>
      </w:r>
      <w:r>
        <w:rPr>
          <w:rFonts w:hint="eastAsia" w:ascii="宋体" w:hAnsi="宋体" w:cs="宋体"/>
          <w:color w:val="0070C0"/>
          <w:sz w:val="28"/>
          <w:szCs w:val="28"/>
        </w:rPr>
        <w:t>。</w:t>
      </w:r>
    </w:p>
    <w:p>
      <w:pPr>
        <w:spacing w:line="480" w:lineRule="exact"/>
        <w:rPr>
          <w:rFonts w:ascii="宋体" w:hAnsi="宋体" w:cs="宋体"/>
          <w:sz w:val="28"/>
          <w:szCs w:val="28"/>
        </w:rPr>
      </w:pPr>
      <w:r>
        <w:rPr>
          <w:rFonts w:hint="eastAsia" w:ascii="宋体" w:hAnsi="宋体" w:cs="宋体"/>
          <w:sz w:val="28"/>
          <w:szCs w:val="28"/>
        </w:rPr>
        <w:t>招标单位：</w:t>
      </w:r>
      <w:r>
        <w:rPr>
          <w:rFonts w:ascii="宋体" w:hAnsi="宋体" w:cs="宋体"/>
          <w:sz w:val="28"/>
          <w:szCs w:val="28"/>
        </w:rPr>
        <w:t xml:space="preserve"> </w:t>
      </w:r>
      <w:r>
        <w:rPr>
          <w:rFonts w:hint="eastAsia" w:ascii="宋体" w:hAnsi="宋体" w:cs="宋体"/>
          <w:sz w:val="28"/>
          <w:szCs w:val="28"/>
        </w:rPr>
        <w:t>冀东海天水泥闻喜有限责任公司</w:t>
      </w:r>
    </w:p>
    <w:p>
      <w:pPr>
        <w:spacing w:line="480" w:lineRule="exact"/>
        <w:rPr>
          <w:rFonts w:ascii="宋体" w:hAnsi="宋体" w:cs="宋体"/>
          <w:sz w:val="28"/>
          <w:szCs w:val="28"/>
        </w:rPr>
      </w:pPr>
      <w:r>
        <w:rPr>
          <w:rFonts w:hint="eastAsia" w:ascii="宋体" w:hAnsi="宋体" w:cs="宋体"/>
          <w:sz w:val="28"/>
          <w:szCs w:val="28"/>
        </w:rPr>
        <w:t>地    址：</w:t>
      </w:r>
      <w:r>
        <w:rPr>
          <w:rFonts w:ascii="宋体" w:hAnsi="宋体" w:cs="宋体"/>
          <w:sz w:val="28"/>
          <w:szCs w:val="28"/>
        </w:rPr>
        <w:t xml:space="preserve"> </w:t>
      </w:r>
      <w:r>
        <w:rPr>
          <w:rFonts w:hint="eastAsia" w:ascii="宋体" w:hAnsi="宋体" w:cs="宋体"/>
          <w:sz w:val="28"/>
          <w:szCs w:val="28"/>
          <w:lang w:eastAsia="zh-CN"/>
        </w:rPr>
        <w:t>闻喜县侯村镇东泉村村西</w:t>
      </w:r>
    </w:p>
    <w:p>
      <w:pPr>
        <w:spacing w:line="480" w:lineRule="exact"/>
        <w:rPr>
          <w:rFonts w:ascii="宋体" w:hAnsi="宋体" w:cs="宋体"/>
          <w:sz w:val="28"/>
          <w:szCs w:val="28"/>
        </w:rPr>
      </w:pPr>
      <w:r>
        <w:rPr>
          <w:rFonts w:hint="eastAsia" w:ascii="宋体" w:hAnsi="宋体" w:cs="宋体"/>
          <w:sz w:val="28"/>
          <w:szCs w:val="28"/>
        </w:rPr>
        <w:t>联 系 人：</w:t>
      </w:r>
      <w:r>
        <w:rPr>
          <w:rFonts w:ascii="宋体" w:hAnsi="宋体" w:cs="宋体"/>
          <w:sz w:val="28"/>
          <w:szCs w:val="28"/>
        </w:rPr>
        <w:t xml:space="preserve"> </w:t>
      </w:r>
      <w:r>
        <w:rPr>
          <w:rFonts w:hint="default" w:ascii="宋体" w:hAnsi="宋体" w:cs="宋体"/>
          <w:sz w:val="28"/>
          <w:szCs w:val="28"/>
          <w:lang w:val="en-US" w:eastAsia="zh-CN"/>
        </w:rPr>
        <w:t>乔琳宏</w:t>
      </w:r>
    </w:p>
    <w:p>
      <w:pPr>
        <w:spacing w:line="480" w:lineRule="exact"/>
        <w:rPr>
          <w:rFonts w:ascii="宋体" w:hAnsi="宋体" w:cs="宋体"/>
          <w:sz w:val="28"/>
          <w:szCs w:val="28"/>
        </w:rPr>
      </w:pPr>
      <w:r>
        <w:rPr>
          <w:rFonts w:hint="eastAsia" w:ascii="宋体" w:hAnsi="宋体" w:cs="宋体"/>
          <w:sz w:val="28"/>
          <w:szCs w:val="28"/>
        </w:rPr>
        <w:t xml:space="preserve">电    话： </w:t>
      </w:r>
      <w:r>
        <w:rPr>
          <w:rFonts w:hint="default" w:ascii="宋体" w:hAnsi="宋体" w:cs="宋体"/>
          <w:sz w:val="28"/>
          <w:szCs w:val="28"/>
          <w:lang w:val="en-US" w:eastAsia="zh-CN"/>
        </w:rPr>
        <w:t>13466922302</w:t>
      </w:r>
    </w:p>
    <w:p>
      <w:pPr>
        <w:spacing w:line="480" w:lineRule="exact"/>
        <w:rPr>
          <w:rFonts w:hint="default" w:ascii="宋体" w:hAnsi="宋体" w:eastAsia="宋体" w:cs="宋体"/>
          <w:sz w:val="28"/>
          <w:szCs w:val="28"/>
          <w:lang w:val="en-US" w:eastAsia="zh-CN"/>
        </w:rPr>
      </w:pPr>
      <w:r>
        <w:rPr>
          <w:rFonts w:hint="eastAsia" w:ascii="宋体" w:hAnsi="宋体" w:cs="宋体"/>
          <w:sz w:val="28"/>
          <w:szCs w:val="28"/>
        </w:rPr>
        <w:t>邮    编：</w:t>
      </w:r>
      <w:r>
        <w:rPr>
          <w:rFonts w:hint="eastAsia" w:ascii="宋体" w:hAnsi="宋体" w:cs="宋体"/>
          <w:sz w:val="28"/>
          <w:szCs w:val="28"/>
          <w:lang w:val="en-US" w:eastAsia="zh-CN"/>
        </w:rPr>
        <w:t xml:space="preserve"> 043800</w:t>
      </w: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r>
        <w:rPr>
          <w:rFonts w:ascii="宋体" w:hAnsi="宋体" w:cs="宋体"/>
          <w:sz w:val="28"/>
          <w:szCs w:val="28"/>
        </w:rPr>
        <w:br w:type="page"/>
      </w:r>
      <w:r>
        <w:rPr>
          <w:rFonts w:hint="eastAsia" w:ascii="宋体" w:hAnsi="宋体" w:cs="宋体"/>
          <w:sz w:val="28"/>
          <w:szCs w:val="28"/>
        </w:rPr>
        <w:t>第二部分  投标方须知</w:t>
      </w:r>
    </w:p>
    <w:p>
      <w:pPr>
        <w:spacing w:line="460" w:lineRule="exact"/>
        <w:jc w:val="center"/>
        <w:rPr>
          <w:rFonts w:ascii="宋体" w:hAnsi="宋体" w:cs="宋体"/>
          <w:sz w:val="28"/>
          <w:szCs w:val="28"/>
        </w:rPr>
      </w:pPr>
      <w:r>
        <w:rPr>
          <w:rFonts w:hint="eastAsia" w:ascii="宋体" w:hAnsi="宋体" w:cs="宋体"/>
          <w:sz w:val="28"/>
          <w:szCs w:val="28"/>
        </w:rPr>
        <w:t>A  投标方</w:t>
      </w:r>
    </w:p>
    <w:p>
      <w:pPr>
        <w:spacing w:line="460" w:lineRule="exact"/>
        <w:jc w:val="left"/>
        <w:rPr>
          <w:rFonts w:ascii="宋体" w:hAnsi="宋体" w:cs="宋体"/>
          <w:sz w:val="28"/>
          <w:szCs w:val="28"/>
        </w:rPr>
      </w:pPr>
      <w:r>
        <w:rPr>
          <w:rFonts w:hint="eastAsia" w:ascii="宋体" w:hAnsi="宋体" w:cs="宋体"/>
          <w:sz w:val="28"/>
          <w:szCs w:val="28"/>
        </w:rPr>
        <w:t>1.投标方条件要求:</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1.1凡具有法人资格，具备我公司所列监测项目检测资质的国内企业、公司单位均可参加投标。</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1.2允许在中国注册的外国独资或中外合资、合作企业，以其在中国境内生产的产品参加投标。</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1.3投标方应遵守有关的国家法律、法令、法规和条例。</w:t>
      </w:r>
    </w:p>
    <w:p>
      <w:pPr>
        <w:spacing w:line="460" w:lineRule="exact"/>
        <w:rPr>
          <w:rFonts w:ascii="宋体" w:hAnsi="宋体" w:cs="宋体"/>
          <w:sz w:val="28"/>
          <w:szCs w:val="28"/>
        </w:rPr>
      </w:pPr>
      <w:r>
        <w:rPr>
          <w:rFonts w:hint="eastAsia" w:ascii="宋体" w:hAnsi="宋体" w:cs="宋体"/>
          <w:sz w:val="28"/>
          <w:szCs w:val="28"/>
        </w:rPr>
        <w:t>2.投标委托</w:t>
      </w:r>
    </w:p>
    <w:p>
      <w:pPr>
        <w:spacing w:line="460" w:lineRule="exact"/>
        <w:ind w:left="330" w:firstLine="280" w:firstLineChars="100"/>
        <w:rPr>
          <w:rFonts w:ascii="宋体" w:hAnsi="宋体" w:cs="宋体"/>
          <w:sz w:val="28"/>
          <w:szCs w:val="28"/>
        </w:rPr>
      </w:pPr>
      <w:r>
        <w:rPr>
          <w:rFonts w:hint="eastAsia" w:ascii="宋体" w:hAnsi="宋体" w:cs="宋体"/>
          <w:sz w:val="28"/>
          <w:szCs w:val="28"/>
        </w:rPr>
        <w:t>如投标方代表不是法人代表，须持有《法人代表授权书》（统一格式）。</w:t>
      </w:r>
    </w:p>
    <w:p>
      <w:pPr>
        <w:spacing w:line="460" w:lineRule="exact"/>
        <w:rPr>
          <w:rFonts w:ascii="宋体" w:hAnsi="宋体" w:cs="宋体"/>
          <w:sz w:val="28"/>
          <w:szCs w:val="28"/>
        </w:rPr>
      </w:pPr>
      <w:r>
        <w:rPr>
          <w:rFonts w:hint="eastAsia" w:ascii="宋体" w:hAnsi="宋体" w:cs="宋体"/>
          <w:sz w:val="28"/>
          <w:szCs w:val="28"/>
        </w:rPr>
        <w:t>3.投标费用</w:t>
      </w:r>
    </w:p>
    <w:p>
      <w:pPr>
        <w:spacing w:line="460" w:lineRule="exact"/>
        <w:ind w:firstLine="560" w:firstLineChars="200"/>
        <w:rPr>
          <w:rFonts w:ascii="宋体" w:hAnsi="宋体" w:cs="宋体"/>
          <w:sz w:val="28"/>
          <w:szCs w:val="28"/>
        </w:rPr>
      </w:pPr>
      <w:r>
        <w:rPr>
          <w:rFonts w:hint="eastAsia" w:ascii="宋体" w:hAnsi="宋体" w:cs="宋体"/>
          <w:sz w:val="28"/>
          <w:szCs w:val="28"/>
        </w:rPr>
        <w:t>无论投标过程中的作法和结果如何，投标方均自行承担其所有与参加投标有关的全部费用。</w:t>
      </w:r>
    </w:p>
    <w:p>
      <w:pPr>
        <w:spacing w:line="460" w:lineRule="exact"/>
        <w:ind w:left="330"/>
        <w:jc w:val="center"/>
        <w:rPr>
          <w:rFonts w:ascii="宋体" w:hAnsi="宋体" w:cs="宋体"/>
          <w:sz w:val="28"/>
          <w:szCs w:val="28"/>
        </w:rPr>
      </w:pPr>
      <w:r>
        <w:rPr>
          <w:rFonts w:hint="eastAsia" w:ascii="宋体" w:hAnsi="宋体" w:cs="宋体"/>
          <w:sz w:val="28"/>
          <w:szCs w:val="28"/>
        </w:rPr>
        <w:t>B  招标文件</w:t>
      </w:r>
    </w:p>
    <w:p>
      <w:pPr>
        <w:spacing w:line="460" w:lineRule="exact"/>
        <w:rPr>
          <w:rFonts w:ascii="宋体" w:hAnsi="宋体" w:cs="宋体"/>
          <w:sz w:val="28"/>
          <w:szCs w:val="28"/>
        </w:rPr>
      </w:pPr>
      <w:r>
        <w:rPr>
          <w:rFonts w:hint="eastAsia" w:ascii="宋体" w:hAnsi="宋体" w:cs="宋体"/>
          <w:sz w:val="28"/>
          <w:szCs w:val="28"/>
        </w:rPr>
        <w:t>4.招标文件</w:t>
      </w:r>
    </w:p>
    <w:p>
      <w:pPr>
        <w:spacing w:line="460" w:lineRule="exact"/>
        <w:rPr>
          <w:rFonts w:ascii="宋体" w:hAnsi="宋体" w:cs="宋体"/>
          <w:sz w:val="28"/>
          <w:szCs w:val="28"/>
        </w:rPr>
      </w:pPr>
      <w:r>
        <w:rPr>
          <w:rFonts w:hint="eastAsia" w:ascii="宋体" w:hAnsi="宋体" w:cs="宋体"/>
          <w:sz w:val="28"/>
          <w:szCs w:val="28"/>
        </w:rPr>
        <w:t xml:space="preserve">  4.1招标文件由招标文件总目录所列内容组成。</w:t>
      </w:r>
    </w:p>
    <w:p>
      <w:pPr>
        <w:spacing w:line="460" w:lineRule="exact"/>
        <w:rPr>
          <w:rFonts w:ascii="宋体" w:hAnsi="宋体" w:cs="宋体"/>
          <w:sz w:val="28"/>
          <w:szCs w:val="28"/>
        </w:rPr>
      </w:pPr>
      <w:r>
        <w:rPr>
          <w:rFonts w:hint="eastAsia" w:ascii="宋体" w:hAnsi="宋体" w:cs="宋体"/>
          <w:sz w:val="28"/>
          <w:szCs w:val="28"/>
        </w:rPr>
        <w:t xml:space="preserve">  4.2投标方应详细阅读招标文件的全部内容。不按招标文件的要求提供的投标文件和资料，可能导致其投标被拒绝。</w:t>
      </w:r>
    </w:p>
    <w:p>
      <w:pPr>
        <w:spacing w:line="460" w:lineRule="exact"/>
        <w:rPr>
          <w:rFonts w:ascii="宋体" w:hAnsi="宋体" w:cs="宋体"/>
          <w:sz w:val="28"/>
          <w:szCs w:val="28"/>
        </w:rPr>
      </w:pPr>
      <w:r>
        <w:rPr>
          <w:rFonts w:hint="eastAsia" w:ascii="宋体" w:hAnsi="宋体" w:cs="宋体"/>
          <w:sz w:val="28"/>
          <w:szCs w:val="28"/>
        </w:rPr>
        <w:t>5.招标文件的澄清</w:t>
      </w:r>
    </w:p>
    <w:p>
      <w:pPr>
        <w:spacing w:line="460" w:lineRule="exact"/>
        <w:rPr>
          <w:rFonts w:hint="eastAsia" w:ascii="宋体" w:hAnsi="宋体" w:cs="宋体"/>
          <w:sz w:val="28"/>
          <w:szCs w:val="28"/>
        </w:rPr>
      </w:pPr>
      <w:r>
        <w:rPr>
          <w:rFonts w:hint="eastAsia" w:ascii="宋体" w:hAnsi="宋体" w:cs="宋体"/>
          <w:sz w:val="28"/>
          <w:szCs w:val="28"/>
        </w:rPr>
        <w:t xml:space="preserve">  5.1投标方对招标文件如有疑点要求澄清，或认为有必要与招标方进行技术交流时，可采用书面、传真形式通知招标方，但通知不得迟于开标日期前2天使招标方收到，招标方应以书面、传真形式做出答复，招标方将视情况确定技术交流，或以书面形式予以答复。</w:t>
      </w:r>
    </w:p>
    <w:p>
      <w:pPr>
        <w:spacing w:line="460" w:lineRule="exact"/>
        <w:rPr>
          <w:rFonts w:ascii="宋体" w:hAnsi="宋体" w:cs="宋体"/>
          <w:sz w:val="28"/>
          <w:szCs w:val="28"/>
        </w:rPr>
      </w:pPr>
      <w:r>
        <w:rPr>
          <w:rFonts w:hint="eastAsia" w:ascii="宋体" w:hAnsi="宋体" w:cs="宋体"/>
          <w:sz w:val="28"/>
          <w:szCs w:val="28"/>
        </w:rPr>
        <w:t>6.招标文件的修改</w:t>
      </w:r>
    </w:p>
    <w:p>
      <w:pPr>
        <w:spacing w:line="460" w:lineRule="exact"/>
        <w:rPr>
          <w:rFonts w:ascii="宋体" w:hAnsi="宋体" w:cs="宋体"/>
          <w:sz w:val="28"/>
          <w:szCs w:val="28"/>
        </w:rPr>
      </w:pPr>
      <w:r>
        <w:rPr>
          <w:rFonts w:hint="eastAsia" w:ascii="宋体" w:hAnsi="宋体" w:cs="宋体"/>
          <w:sz w:val="28"/>
          <w:szCs w:val="28"/>
        </w:rPr>
        <w:t xml:space="preserve">  6.1在投标截止时间前，招标方无论出于自己的考虑，还是出于对投标方提问的澄清，均可对招标文件用补充文件的方式进行修改。</w:t>
      </w:r>
    </w:p>
    <w:p>
      <w:pPr>
        <w:spacing w:line="460" w:lineRule="exact"/>
        <w:rPr>
          <w:rFonts w:ascii="宋体" w:hAnsi="宋体" w:cs="宋体"/>
          <w:sz w:val="28"/>
          <w:szCs w:val="28"/>
        </w:rPr>
      </w:pPr>
      <w:r>
        <w:rPr>
          <w:rFonts w:hint="eastAsia" w:ascii="宋体" w:hAnsi="宋体" w:cs="宋体"/>
          <w:sz w:val="28"/>
          <w:szCs w:val="28"/>
        </w:rPr>
        <w:t xml:space="preserve">  6.2对招标文件的修改，招标方将以书面或传真形式通知每一投标方。补充文件将作为招标文件的组成部分，对所有投标方均具有约束力。</w:t>
      </w:r>
    </w:p>
    <w:p>
      <w:pPr>
        <w:spacing w:line="460" w:lineRule="exact"/>
        <w:rPr>
          <w:rFonts w:ascii="宋体" w:hAnsi="宋体" w:cs="宋体"/>
          <w:sz w:val="28"/>
          <w:szCs w:val="28"/>
        </w:rPr>
      </w:pPr>
      <w:r>
        <w:rPr>
          <w:rFonts w:hint="eastAsia" w:ascii="宋体" w:hAnsi="宋体" w:cs="宋体"/>
          <w:sz w:val="28"/>
          <w:szCs w:val="28"/>
        </w:rPr>
        <w:t xml:space="preserve"> </w:t>
      </w:r>
    </w:p>
    <w:p>
      <w:pPr>
        <w:spacing w:line="460" w:lineRule="exact"/>
        <w:jc w:val="center"/>
        <w:rPr>
          <w:rFonts w:ascii="宋体" w:hAnsi="宋体" w:cs="宋体"/>
          <w:sz w:val="28"/>
          <w:szCs w:val="28"/>
        </w:rPr>
      </w:pPr>
      <w:r>
        <w:rPr>
          <w:rFonts w:hint="eastAsia" w:ascii="宋体" w:hAnsi="宋体" w:cs="宋体"/>
          <w:sz w:val="28"/>
          <w:szCs w:val="28"/>
        </w:rPr>
        <w:t>C  投标文件</w:t>
      </w:r>
    </w:p>
    <w:p>
      <w:pPr>
        <w:spacing w:line="460" w:lineRule="exact"/>
        <w:rPr>
          <w:rFonts w:ascii="宋体" w:hAnsi="宋体" w:cs="宋体"/>
          <w:sz w:val="28"/>
          <w:szCs w:val="28"/>
        </w:rPr>
      </w:pPr>
      <w:r>
        <w:rPr>
          <w:rFonts w:hint="eastAsia" w:ascii="宋体" w:hAnsi="宋体" w:cs="宋体"/>
          <w:sz w:val="28"/>
          <w:szCs w:val="28"/>
        </w:rPr>
        <w:t>7.投标文件计量单位</w:t>
      </w:r>
    </w:p>
    <w:p>
      <w:pPr>
        <w:spacing w:line="460" w:lineRule="exact"/>
        <w:rPr>
          <w:rFonts w:ascii="宋体" w:hAnsi="宋体" w:cs="宋体"/>
          <w:sz w:val="28"/>
          <w:szCs w:val="28"/>
        </w:rPr>
      </w:pPr>
      <w:r>
        <w:rPr>
          <w:rFonts w:hint="eastAsia" w:ascii="宋体" w:hAnsi="宋体" w:cs="宋体"/>
          <w:sz w:val="28"/>
          <w:szCs w:val="28"/>
        </w:rPr>
        <w:t xml:space="preserve">  7.1投标文件中所使用的计量单位，除招标文件中有特殊要求的外，应采用国家法定计量单位。</w:t>
      </w:r>
    </w:p>
    <w:p>
      <w:pPr>
        <w:spacing w:line="460" w:lineRule="exact"/>
        <w:rPr>
          <w:rFonts w:ascii="宋体" w:hAnsi="宋体" w:cs="宋体"/>
          <w:sz w:val="28"/>
          <w:szCs w:val="28"/>
        </w:rPr>
      </w:pPr>
      <w:r>
        <w:rPr>
          <w:rFonts w:hint="eastAsia" w:ascii="宋体" w:hAnsi="宋体" w:cs="宋体"/>
          <w:sz w:val="28"/>
          <w:szCs w:val="28"/>
        </w:rPr>
        <w:t>8.投标文件的组成</w:t>
      </w:r>
    </w:p>
    <w:p>
      <w:pPr>
        <w:spacing w:line="460" w:lineRule="exact"/>
        <w:rPr>
          <w:rFonts w:ascii="宋体" w:hAnsi="宋体" w:cs="宋体"/>
          <w:sz w:val="28"/>
          <w:szCs w:val="28"/>
        </w:rPr>
      </w:pPr>
      <w:r>
        <w:rPr>
          <w:rFonts w:hint="eastAsia" w:ascii="宋体" w:hAnsi="宋体" w:cs="宋体"/>
          <w:sz w:val="28"/>
          <w:szCs w:val="28"/>
        </w:rPr>
        <w:t xml:space="preserve">  8.1投标书（按照附件统一格式），包括：</w:t>
      </w:r>
    </w:p>
    <w:p>
      <w:pPr>
        <w:spacing w:line="460" w:lineRule="exact"/>
        <w:rPr>
          <w:rFonts w:ascii="宋体" w:hAnsi="宋体" w:cs="宋体"/>
          <w:sz w:val="28"/>
          <w:szCs w:val="28"/>
        </w:rPr>
      </w:pPr>
      <w:r>
        <w:rPr>
          <w:rFonts w:hint="eastAsia" w:ascii="宋体" w:hAnsi="宋体" w:cs="宋体"/>
          <w:sz w:val="28"/>
          <w:szCs w:val="28"/>
        </w:rPr>
        <w:t xml:space="preserve">  ⑴投标函；</w:t>
      </w:r>
    </w:p>
    <w:p>
      <w:pPr>
        <w:spacing w:line="460" w:lineRule="exact"/>
        <w:rPr>
          <w:rFonts w:ascii="宋体" w:hAnsi="宋体" w:cs="宋体"/>
          <w:sz w:val="28"/>
          <w:szCs w:val="28"/>
        </w:rPr>
      </w:pPr>
      <w:r>
        <w:rPr>
          <w:rFonts w:hint="eastAsia" w:ascii="宋体" w:hAnsi="宋体" w:cs="宋体"/>
          <w:sz w:val="28"/>
          <w:szCs w:val="28"/>
        </w:rPr>
        <w:t xml:space="preserve">  ⑵开标一览表（用于唱标）；</w:t>
      </w:r>
    </w:p>
    <w:p>
      <w:pPr>
        <w:spacing w:line="460" w:lineRule="exact"/>
        <w:rPr>
          <w:rFonts w:ascii="宋体" w:hAnsi="宋体" w:cs="宋体"/>
          <w:sz w:val="28"/>
          <w:szCs w:val="28"/>
        </w:rPr>
      </w:pPr>
      <w:r>
        <w:rPr>
          <w:rFonts w:hint="eastAsia" w:ascii="宋体" w:hAnsi="宋体" w:cs="宋体"/>
          <w:sz w:val="28"/>
          <w:szCs w:val="28"/>
        </w:rPr>
        <w:t xml:space="preserve">  ⑶投标保证金证明（仅需一份复印件）；</w:t>
      </w:r>
    </w:p>
    <w:p>
      <w:pPr>
        <w:spacing w:line="460" w:lineRule="exact"/>
        <w:ind w:firstLine="280" w:firstLineChars="100"/>
        <w:rPr>
          <w:rFonts w:ascii="宋体" w:hAnsi="宋体" w:cs="宋体"/>
          <w:sz w:val="28"/>
          <w:szCs w:val="28"/>
        </w:rPr>
      </w:pPr>
      <w:r>
        <w:rPr>
          <w:rFonts w:hint="eastAsia" w:ascii="宋体" w:hAnsi="宋体" w:cs="宋体"/>
          <w:sz w:val="28"/>
          <w:szCs w:val="28"/>
        </w:rPr>
        <w:t>⑷投标</w:t>
      </w:r>
      <w:r>
        <w:rPr>
          <w:rFonts w:hint="eastAsia" w:ascii="宋体" w:hAnsi="宋体" w:cs="宋体"/>
          <w:sz w:val="28"/>
          <w:szCs w:val="28"/>
          <w:lang w:eastAsia="zh-CN"/>
        </w:rPr>
        <w:t>标的名称</w:t>
      </w:r>
      <w:r>
        <w:rPr>
          <w:rFonts w:hint="eastAsia" w:ascii="宋体" w:hAnsi="宋体" w:cs="宋体"/>
          <w:sz w:val="28"/>
          <w:szCs w:val="28"/>
        </w:rPr>
        <w:t>、</w:t>
      </w:r>
      <w:r>
        <w:rPr>
          <w:rFonts w:hint="eastAsia" w:ascii="宋体" w:hAnsi="宋体" w:cs="宋体"/>
          <w:sz w:val="28"/>
          <w:szCs w:val="28"/>
          <w:lang w:eastAsia="zh-CN"/>
        </w:rPr>
        <w:t>投标报价</w:t>
      </w:r>
      <w:r>
        <w:rPr>
          <w:rFonts w:hint="eastAsia" w:ascii="宋体" w:hAnsi="宋体" w:cs="宋体"/>
          <w:sz w:val="28"/>
          <w:szCs w:val="28"/>
        </w:rPr>
        <w:t>；</w:t>
      </w:r>
    </w:p>
    <w:p>
      <w:pPr>
        <w:spacing w:line="460" w:lineRule="exact"/>
        <w:rPr>
          <w:rFonts w:ascii="宋体" w:hAnsi="宋体" w:cs="宋体"/>
          <w:sz w:val="28"/>
          <w:szCs w:val="28"/>
        </w:rPr>
      </w:pPr>
      <w:r>
        <w:rPr>
          <w:rFonts w:hint="eastAsia" w:ascii="宋体" w:hAnsi="宋体" w:cs="宋体"/>
          <w:sz w:val="28"/>
          <w:szCs w:val="28"/>
        </w:rPr>
        <w:t xml:space="preserve">  ⑸投标书附件（投标方需自行编写）；</w:t>
      </w:r>
    </w:p>
    <w:p>
      <w:pPr>
        <w:spacing w:line="460" w:lineRule="exact"/>
        <w:ind w:firstLine="280" w:firstLineChars="100"/>
        <w:rPr>
          <w:rFonts w:ascii="宋体" w:hAnsi="宋体" w:cs="宋体"/>
          <w:sz w:val="28"/>
          <w:szCs w:val="28"/>
        </w:rPr>
      </w:pPr>
      <w:r>
        <w:rPr>
          <w:rFonts w:hint="eastAsia" w:ascii="宋体" w:hAnsi="宋体" w:cs="宋体"/>
          <w:sz w:val="28"/>
          <w:szCs w:val="28"/>
        </w:rPr>
        <w:t>8.2资格证明文件，包括：</w:t>
      </w:r>
    </w:p>
    <w:p>
      <w:pPr>
        <w:spacing w:line="460" w:lineRule="exact"/>
        <w:ind w:firstLine="280" w:firstLineChars="100"/>
        <w:rPr>
          <w:rFonts w:ascii="宋体" w:hAnsi="宋体" w:cs="宋体"/>
          <w:sz w:val="28"/>
          <w:szCs w:val="28"/>
        </w:rPr>
      </w:pPr>
      <w:r>
        <w:rPr>
          <w:rFonts w:hint="eastAsia" w:ascii="宋体" w:hAnsi="宋体" w:cs="宋体"/>
          <w:sz w:val="28"/>
          <w:szCs w:val="28"/>
        </w:rPr>
        <w:t>⑴营业执照（复印件）；</w:t>
      </w:r>
    </w:p>
    <w:p>
      <w:pPr>
        <w:spacing w:line="460" w:lineRule="exact"/>
        <w:ind w:firstLine="280" w:firstLineChars="100"/>
        <w:rPr>
          <w:rFonts w:ascii="宋体" w:hAnsi="宋体" w:cs="宋体"/>
          <w:sz w:val="28"/>
          <w:szCs w:val="28"/>
        </w:rPr>
      </w:pPr>
      <w:r>
        <w:rPr>
          <w:rFonts w:hint="eastAsia" w:ascii="宋体" w:hAnsi="宋体" w:cs="宋体"/>
          <w:sz w:val="28"/>
          <w:szCs w:val="28"/>
        </w:rPr>
        <w:t>⑵银行开户许可证（复印件）；</w:t>
      </w:r>
    </w:p>
    <w:p>
      <w:pPr>
        <w:spacing w:line="460" w:lineRule="exact"/>
        <w:ind w:firstLine="280" w:firstLineChars="100"/>
        <w:rPr>
          <w:rFonts w:ascii="宋体" w:hAnsi="宋体" w:cs="宋体"/>
          <w:sz w:val="28"/>
          <w:szCs w:val="28"/>
        </w:rPr>
      </w:pPr>
      <w:r>
        <w:rPr>
          <w:rFonts w:hint="eastAsia" w:ascii="宋体" w:hAnsi="宋体" w:cs="宋体"/>
          <w:sz w:val="28"/>
          <w:szCs w:val="28"/>
        </w:rPr>
        <w:t>⑶法人代表授权书；</w:t>
      </w:r>
    </w:p>
    <w:p>
      <w:pPr>
        <w:spacing w:line="460" w:lineRule="exact"/>
        <w:ind w:firstLine="280" w:firstLineChars="100"/>
        <w:rPr>
          <w:rFonts w:ascii="宋体" w:hAnsi="宋体" w:cs="宋体"/>
          <w:sz w:val="28"/>
          <w:szCs w:val="28"/>
        </w:rPr>
      </w:pPr>
      <w:r>
        <w:rPr>
          <w:rFonts w:hint="eastAsia" w:ascii="宋体" w:hAnsi="宋体" w:cs="宋体"/>
          <w:sz w:val="28"/>
          <w:szCs w:val="28"/>
        </w:rPr>
        <w:t>⑷法人及法人授权代表身份证（复印件）各一份；</w:t>
      </w:r>
    </w:p>
    <w:p>
      <w:pPr>
        <w:spacing w:line="460" w:lineRule="exact"/>
        <w:ind w:firstLine="280" w:firstLineChars="100"/>
        <w:rPr>
          <w:rFonts w:ascii="宋体" w:hAnsi="宋体" w:cs="宋体"/>
          <w:sz w:val="28"/>
          <w:szCs w:val="28"/>
        </w:rPr>
      </w:pPr>
      <w:r>
        <w:rPr>
          <w:rFonts w:hint="eastAsia" w:ascii="宋体" w:hAnsi="宋体" w:cs="宋体"/>
          <w:sz w:val="28"/>
          <w:szCs w:val="28"/>
        </w:rPr>
        <w:t>⑸国家或行业强制要求办理的相关资质文件等。</w:t>
      </w:r>
    </w:p>
    <w:p>
      <w:pPr>
        <w:spacing w:line="460" w:lineRule="exact"/>
        <w:rPr>
          <w:rFonts w:ascii="宋体" w:hAnsi="宋体" w:cs="宋体"/>
          <w:sz w:val="28"/>
          <w:szCs w:val="28"/>
        </w:rPr>
      </w:pPr>
      <w:r>
        <w:rPr>
          <w:rFonts w:hint="eastAsia" w:ascii="宋体" w:hAnsi="宋体" w:cs="宋体"/>
          <w:sz w:val="28"/>
          <w:szCs w:val="28"/>
        </w:rPr>
        <w:t>9.投标内容填写说明</w:t>
      </w:r>
    </w:p>
    <w:p>
      <w:pPr>
        <w:spacing w:line="460" w:lineRule="exact"/>
        <w:rPr>
          <w:rFonts w:ascii="宋体" w:hAnsi="宋体" w:cs="宋体"/>
          <w:sz w:val="28"/>
          <w:szCs w:val="28"/>
        </w:rPr>
      </w:pPr>
      <w:r>
        <w:rPr>
          <w:rFonts w:hint="eastAsia" w:ascii="宋体" w:hAnsi="宋体" w:cs="宋体"/>
          <w:sz w:val="28"/>
          <w:szCs w:val="28"/>
        </w:rPr>
        <w:t xml:space="preserve">  9.1投标书按统一格式填写，并按平台要求上传。</w:t>
      </w:r>
    </w:p>
    <w:p>
      <w:pPr>
        <w:spacing w:line="460" w:lineRule="exact"/>
        <w:rPr>
          <w:rFonts w:ascii="宋体" w:hAnsi="宋体" w:cs="宋体"/>
          <w:sz w:val="28"/>
          <w:szCs w:val="28"/>
        </w:rPr>
      </w:pPr>
      <w:r>
        <w:rPr>
          <w:rFonts w:hint="eastAsia" w:ascii="宋体" w:hAnsi="宋体" w:cs="宋体"/>
          <w:sz w:val="28"/>
          <w:szCs w:val="28"/>
        </w:rPr>
        <w:t xml:space="preserve">  9.2开标一览表是在开标仪式上唱标的内容，按提供的统一格式填写，不得自行增减内容。</w:t>
      </w:r>
    </w:p>
    <w:p>
      <w:pPr>
        <w:spacing w:line="460" w:lineRule="exact"/>
        <w:rPr>
          <w:rFonts w:ascii="宋体" w:hAnsi="宋体" w:cs="宋体"/>
          <w:sz w:val="28"/>
          <w:szCs w:val="28"/>
        </w:rPr>
      </w:pPr>
      <w:r>
        <w:rPr>
          <w:rFonts w:hint="eastAsia" w:ascii="宋体" w:hAnsi="宋体" w:cs="宋体"/>
          <w:sz w:val="28"/>
          <w:szCs w:val="28"/>
        </w:rPr>
        <w:t>10.投标书附件的编制与编目</w:t>
      </w:r>
    </w:p>
    <w:p>
      <w:pPr>
        <w:spacing w:line="460" w:lineRule="exact"/>
        <w:ind w:firstLine="280" w:firstLineChars="100"/>
        <w:rPr>
          <w:rFonts w:ascii="宋体" w:hAnsi="宋体" w:cs="宋体"/>
          <w:sz w:val="28"/>
          <w:szCs w:val="28"/>
        </w:rPr>
      </w:pPr>
      <w:r>
        <w:rPr>
          <w:rFonts w:hint="eastAsia" w:ascii="宋体" w:hAnsi="宋体" w:cs="宋体"/>
          <w:sz w:val="28"/>
          <w:szCs w:val="28"/>
        </w:rPr>
        <w:t>10.1投标书附件由投标方视需要自行编制。规格幅面应与正文一致。</w:t>
      </w:r>
    </w:p>
    <w:p>
      <w:pPr>
        <w:spacing w:line="460" w:lineRule="exact"/>
        <w:ind w:firstLine="280" w:firstLineChars="100"/>
        <w:rPr>
          <w:rFonts w:ascii="宋体" w:hAnsi="宋体" w:cs="宋体"/>
          <w:sz w:val="28"/>
          <w:szCs w:val="28"/>
        </w:rPr>
      </w:pPr>
      <w:r>
        <w:rPr>
          <w:rFonts w:hint="eastAsia" w:ascii="宋体" w:hAnsi="宋体" w:cs="宋体"/>
          <w:sz w:val="28"/>
          <w:szCs w:val="28"/>
        </w:rPr>
        <w:t>10.2投标书附件可以包含以下内容：</w:t>
      </w:r>
    </w:p>
    <w:p>
      <w:pPr>
        <w:spacing w:line="460" w:lineRule="exact"/>
        <w:ind w:firstLine="280" w:firstLineChars="100"/>
        <w:rPr>
          <w:rFonts w:hint="eastAsia" w:ascii="宋体" w:hAnsi="宋体" w:cs="宋体"/>
          <w:sz w:val="28"/>
          <w:szCs w:val="28"/>
        </w:rPr>
      </w:pPr>
      <w:r>
        <w:rPr>
          <w:rFonts w:hint="eastAsia" w:ascii="宋体" w:hAnsi="宋体" w:cs="宋体"/>
          <w:sz w:val="28"/>
          <w:szCs w:val="28"/>
        </w:rPr>
        <w:t xml:space="preserve">  ⑴投标单位相关资质证明；</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⑵设备运行维护的及时性与维护质量保证。</w:t>
      </w:r>
    </w:p>
    <w:p>
      <w:pPr>
        <w:spacing w:line="460" w:lineRule="exact"/>
        <w:rPr>
          <w:rFonts w:ascii="宋体" w:hAnsi="宋体" w:cs="宋体"/>
          <w:sz w:val="28"/>
          <w:szCs w:val="28"/>
        </w:rPr>
      </w:pPr>
      <w:r>
        <w:rPr>
          <w:rFonts w:hint="eastAsia" w:ascii="宋体" w:hAnsi="宋体" w:cs="宋体"/>
          <w:sz w:val="28"/>
          <w:szCs w:val="28"/>
        </w:rPr>
        <w:t>11.报价及付款方式</w:t>
      </w:r>
    </w:p>
    <w:p>
      <w:pPr>
        <w:spacing w:line="460" w:lineRule="exact"/>
        <w:rPr>
          <w:rFonts w:ascii="宋体" w:hAnsi="宋体" w:cs="宋体"/>
          <w:color w:val="auto"/>
          <w:sz w:val="28"/>
          <w:szCs w:val="28"/>
        </w:rPr>
      </w:pPr>
      <w:r>
        <w:rPr>
          <w:rFonts w:hint="eastAsia" w:ascii="宋体" w:hAnsi="宋体" w:cs="宋体"/>
          <w:sz w:val="28"/>
          <w:szCs w:val="28"/>
        </w:rPr>
        <w:t xml:space="preserve">  11.1所有报价均以人民币报价；</w:t>
      </w:r>
      <w:r>
        <w:rPr>
          <w:rFonts w:hint="eastAsia" w:ascii="宋体" w:hAnsi="宋体" w:cs="宋体"/>
          <w:color w:val="auto"/>
          <w:sz w:val="28"/>
          <w:szCs w:val="28"/>
        </w:rPr>
        <w:t>报价要求含税率全额增值税专用发票并在报价单内注明税率。</w:t>
      </w:r>
    </w:p>
    <w:p>
      <w:pPr>
        <w:spacing w:line="460" w:lineRule="exact"/>
        <w:rPr>
          <w:rFonts w:hint="eastAsia" w:ascii="宋体" w:hAnsi="宋体" w:cs="宋体"/>
          <w:sz w:val="28"/>
          <w:szCs w:val="28"/>
        </w:rPr>
      </w:pPr>
      <w:r>
        <w:rPr>
          <w:rFonts w:hint="eastAsia" w:ascii="宋体" w:hAnsi="宋体" w:cs="宋体"/>
          <w:sz w:val="28"/>
          <w:szCs w:val="28"/>
        </w:rPr>
        <w:t xml:space="preserve">  11.2投标方要按监测因子、监测点位、监测频次分别报价后汇总合计，具体监测要求参考附件四，并由法人代表或授权代表签署；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11.3最低报价不作为唯一中标的保证；</w:t>
      </w:r>
    </w:p>
    <w:p>
      <w:pPr>
        <w:spacing w:line="500" w:lineRule="exact"/>
        <w:ind w:firstLine="280" w:firstLineChars="100"/>
        <w:rPr>
          <w:rFonts w:ascii="宋体" w:hAnsi="宋体" w:cs="宋体"/>
          <w:color w:val="FF0000"/>
          <w:sz w:val="28"/>
          <w:szCs w:val="28"/>
        </w:rPr>
      </w:pPr>
      <w:r>
        <w:rPr>
          <w:rFonts w:hint="eastAsia" w:ascii="宋体" w:hAnsi="宋体" w:cs="宋体"/>
          <w:sz w:val="28"/>
          <w:szCs w:val="28"/>
        </w:rPr>
        <w:t>11.</w:t>
      </w:r>
      <w:r>
        <w:rPr>
          <w:rFonts w:hint="eastAsia" w:ascii="宋体" w:hAnsi="宋体" w:cs="宋体"/>
          <w:color w:val="auto"/>
          <w:sz w:val="28"/>
          <w:szCs w:val="28"/>
        </w:rPr>
        <w:t>4付款方式：第一次：合同生效后，乙方完成半年度监测项目并出具监测报告后，甲方首次支付合同价的40%，乙方提供相同数额增值税专用发票；第二次：乙方完成202</w:t>
      </w:r>
      <w:r>
        <w:rPr>
          <w:rFonts w:hint="eastAsia" w:ascii="宋体" w:hAnsi="宋体" w:cs="宋体"/>
          <w:color w:val="auto"/>
          <w:sz w:val="28"/>
          <w:szCs w:val="28"/>
          <w:lang w:val="en-US" w:eastAsia="zh-CN"/>
        </w:rPr>
        <w:t>3</w:t>
      </w:r>
      <w:r>
        <w:rPr>
          <w:rFonts w:hint="eastAsia" w:ascii="宋体" w:hAnsi="宋体" w:cs="宋体"/>
          <w:color w:val="auto"/>
          <w:sz w:val="28"/>
          <w:szCs w:val="28"/>
        </w:rPr>
        <w:t>年全部监测项目后，甲方支付技术服务费用60%，乙方提供相同数额增值税专用发票。支付方式：电汇。</w:t>
      </w:r>
    </w:p>
    <w:p>
      <w:pPr>
        <w:spacing w:line="460" w:lineRule="exact"/>
        <w:rPr>
          <w:rFonts w:ascii="宋体" w:hAnsi="宋体" w:cs="宋体"/>
          <w:sz w:val="28"/>
          <w:szCs w:val="28"/>
        </w:rPr>
      </w:pPr>
      <w:r>
        <w:rPr>
          <w:rFonts w:hint="eastAsia" w:ascii="宋体" w:hAnsi="宋体" w:cs="宋体"/>
          <w:sz w:val="28"/>
          <w:szCs w:val="28"/>
        </w:rPr>
        <w:t>12.投标保证金及合同期限</w:t>
      </w:r>
    </w:p>
    <w:p>
      <w:pPr>
        <w:spacing w:line="460" w:lineRule="exact"/>
        <w:rPr>
          <w:rFonts w:ascii="宋体" w:hAnsi="宋体" w:cs="宋体"/>
          <w:color w:val="auto"/>
          <w:sz w:val="28"/>
          <w:szCs w:val="28"/>
        </w:rPr>
      </w:pPr>
      <w:r>
        <w:rPr>
          <w:rFonts w:hint="eastAsia" w:ascii="宋体" w:hAnsi="宋体" w:cs="宋体"/>
          <w:sz w:val="28"/>
          <w:szCs w:val="28"/>
        </w:rPr>
        <w:t xml:space="preserve">  12.1</w:t>
      </w:r>
      <w:r>
        <w:rPr>
          <w:rFonts w:hint="eastAsia" w:ascii="宋体" w:hAnsi="宋体" w:cs="宋体"/>
          <w:color w:val="auto"/>
          <w:sz w:val="28"/>
          <w:szCs w:val="28"/>
        </w:rPr>
        <w:t>投标方应交纳</w:t>
      </w:r>
      <w:r>
        <w:rPr>
          <w:rFonts w:hint="eastAsia" w:ascii="宋体" w:hAnsi="宋体" w:cs="宋体"/>
          <w:color w:val="auto"/>
          <w:sz w:val="28"/>
          <w:szCs w:val="28"/>
          <w:u w:val="single"/>
          <w:lang w:val="en-US" w:eastAsia="zh-CN"/>
        </w:rPr>
        <w:t>10000</w:t>
      </w:r>
      <w:r>
        <w:rPr>
          <w:rFonts w:hint="eastAsia" w:ascii="宋体" w:hAnsi="宋体" w:cs="宋体"/>
          <w:color w:val="auto"/>
          <w:sz w:val="28"/>
          <w:szCs w:val="28"/>
        </w:rPr>
        <w:t>的投标保证金，并在平台上传交款凭证；</w:t>
      </w:r>
    </w:p>
    <w:p>
      <w:pPr>
        <w:spacing w:line="460" w:lineRule="exact"/>
        <w:rPr>
          <w:rFonts w:ascii="宋体" w:hAnsi="宋体" w:cs="宋体"/>
          <w:color w:val="auto"/>
          <w:sz w:val="28"/>
          <w:szCs w:val="28"/>
        </w:rPr>
      </w:pPr>
      <w:r>
        <w:rPr>
          <w:rFonts w:hint="eastAsia" w:ascii="宋体" w:hAnsi="宋体" w:cs="宋体"/>
          <w:sz w:val="28"/>
          <w:szCs w:val="28"/>
        </w:rPr>
        <w:t xml:space="preserve">  12.2投标保证金采用汇款方式（由投标单位公司账户汇入我公司账户，此次招标不接受个人汇款，</w:t>
      </w:r>
      <w:r>
        <w:rPr>
          <w:rFonts w:hint="eastAsia" w:ascii="宋体" w:hAnsi="宋体" w:cs="宋体"/>
          <w:color w:val="auto"/>
          <w:sz w:val="28"/>
          <w:szCs w:val="28"/>
        </w:rPr>
        <w:t>汇款截止时间为</w:t>
      </w:r>
      <w:r>
        <w:rPr>
          <w:rFonts w:hint="eastAsia" w:ascii="宋体" w:hAnsi="宋体" w:cs="宋体"/>
          <w:color w:val="auto"/>
          <w:sz w:val="28"/>
          <w:szCs w:val="28"/>
          <w:lang w:val="en-US" w:eastAsia="zh-CN"/>
        </w:rPr>
        <w:t>平台投标报价截止时间之前</w:t>
      </w:r>
      <w:r>
        <w:rPr>
          <w:rFonts w:hint="eastAsia" w:ascii="宋体" w:hAnsi="宋体" w:cs="宋体"/>
          <w:color w:val="auto"/>
          <w:sz w:val="28"/>
          <w:szCs w:val="28"/>
        </w:rPr>
        <w:t>，超期视为无效）；</w:t>
      </w:r>
    </w:p>
    <w:p>
      <w:pPr>
        <w:spacing w:line="460" w:lineRule="exact"/>
        <w:ind w:firstLine="280" w:firstLineChars="100"/>
        <w:rPr>
          <w:rFonts w:ascii="宋体" w:hAnsi="宋体" w:cs="宋体"/>
          <w:sz w:val="28"/>
          <w:szCs w:val="28"/>
        </w:rPr>
      </w:pPr>
      <w:r>
        <w:rPr>
          <w:rFonts w:hint="eastAsia" w:ascii="宋体" w:hAnsi="宋体" w:cs="宋体"/>
          <w:sz w:val="28"/>
          <w:szCs w:val="28"/>
        </w:rPr>
        <w:t>12.3收款信息：</w:t>
      </w:r>
    </w:p>
    <w:p>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单位名称：冀东海天水泥闻喜有限责任公司 </w:t>
      </w:r>
    </w:p>
    <w:p>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开 户 行：中国工商银行股份有限公司闻喜支行</w:t>
      </w:r>
    </w:p>
    <w:p>
      <w:pPr>
        <w:spacing w:line="4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账    号：0511035419022132253</w:t>
      </w:r>
    </w:p>
    <w:p>
      <w:pPr>
        <w:spacing w:line="4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行    号：102181903541</w:t>
      </w:r>
    </w:p>
    <w:p>
      <w:pPr>
        <w:spacing w:line="460" w:lineRule="exact"/>
        <w:rPr>
          <w:rFonts w:ascii="宋体" w:hAnsi="宋体" w:cs="宋体"/>
          <w:color w:val="FF0000"/>
          <w:sz w:val="28"/>
          <w:szCs w:val="28"/>
        </w:rPr>
      </w:pPr>
      <w:r>
        <w:rPr>
          <w:rFonts w:hint="eastAsia" w:ascii="宋体" w:hAnsi="宋体" w:cs="宋体"/>
          <w:color w:val="0070C0"/>
          <w:sz w:val="28"/>
          <w:szCs w:val="28"/>
        </w:rPr>
        <w:t xml:space="preserve"> </w:t>
      </w:r>
      <w:r>
        <w:rPr>
          <w:rFonts w:hint="eastAsia" w:ascii="宋体" w:hAnsi="宋体" w:cs="宋体"/>
          <w:color w:val="auto"/>
          <w:sz w:val="28"/>
          <w:szCs w:val="28"/>
        </w:rPr>
        <w:t xml:space="preserve"> 12.4未按上述12.1、12.2及12.3要求，投标将被视为投标无效；</w:t>
      </w:r>
    </w:p>
    <w:p>
      <w:pPr>
        <w:spacing w:line="460" w:lineRule="exact"/>
        <w:rPr>
          <w:rFonts w:ascii="宋体" w:hAnsi="宋体" w:cs="宋体"/>
          <w:sz w:val="28"/>
          <w:szCs w:val="28"/>
        </w:rPr>
      </w:pPr>
      <w:r>
        <w:rPr>
          <w:rFonts w:hint="eastAsia" w:ascii="宋体" w:hAnsi="宋体" w:cs="宋体"/>
          <w:sz w:val="28"/>
          <w:szCs w:val="28"/>
        </w:rPr>
        <w:t xml:space="preserve">  12.5投标方的投标保证金在中标后签订合同时将转为合同履约金，此履约金为区域内单一企业履约金，如与区域内其它企业签订合同，需补交相同金额合同履约金，且合同期满时无息退还；</w:t>
      </w:r>
    </w:p>
    <w:p>
      <w:pPr>
        <w:spacing w:line="460" w:lineRule="exact"/>
        <w:ind w:firstLine="280" w:firstLineChars="100"/>
        <w:rPr>
          <w:rFonts w:ascii="宋体" w:hAnsi="宋体" w:cs="宋体"/>
          <w:sz w:val="28"/>
          <w:szCs w:val="28"/>
        </w:rPr>
      </w:pPr>
      <w:r>
        <w:rPr>
          <w:rFonts w:hint="eastAsia" w:ascii="宋体" w:hAnsi="宋体" w:cs="宋体"/>
          <w:sz w:val="28"/>
          <w:szCs w:val="28"/>
        </w:rPr>
        <w:t>12.6中标方与招标方签订合同期限为一年；</w:t>
      </w:r>
    </w:p>
    <w:p>
      <w:pPr>
        <w:spacing w:line="460" w:lineRule="exact"/>
        <w:rPr>
          <w:rFonts w:ascii="宋体" w:hAnsi="宋体" w:cs="宋体"/>
          <w:sz w:val="28"/>
          <w:szCs w:val="28"/>
        </w:rPr>
      </w:pPr>
      <w:r>
        <w:rPr>
          <w:rFonts w:hint="eastAsia" w:ascii="宋体" w:hAnsi="宋体" w:cs="宋体"/>
          <w:sz w:val="28"/>
          <w:szCs w:val="28"/>
        </w:rPr>
        <w:t xml:space="preserve">  12.7未中标方的投标保证金原则上将在公布招标中标结果后</w:t>
      </w:r>
      <w:r>
        <w:rPr>
          <w:rFonts w:ascii="宋体" w:hAnsi="宋体" w:cs="宋体"/>
          <w:sz w:val="28"/>
          <w:szCs w:val="28"/>
        </w:rPr>
        <w:t>5</w:t>
      </w:r>
      <w:r>
        <w:rPr>
          <w:rFonts w:hint="eastAsia" w:ascii="宋体" w:hAnsi="宋体" w:cs="宋体"/>
          <w:sz w:val="28"/>
          <w:szCs w:val="28"/>
        </w:rPr>
        <w:t>个工作日内无息退还；</w:t>
      </w:r>
    </w:p>
    <w:p>
      <w:pPr>
        <w:spacing w:line="460" w:lineRule="exact"/>
        <w:rPr>
          <w:rFonts w:ascii="宋体" w:hAnsi="宋体" w:cs="宋体"/>
          <w:sz w:val="28"/>
          <w:szCs w:val="28"/>
        </w:rPr>
      </w:pPr>
      <w:r>
        <w:rPr>
          <w:rFonts w:hint="eastAsia" w:ascii="宋体" w:hAnsi="宋体" w:cs="宋体"/>
          <w:sz w:val="28"/>
          <w:szCs w:val="28"/>
        </w:rPr>
        <w:t xml:space="preserve">  12.8发生下列情况之一，保证金将被没收：</w:t>
      </w:r>
    </w:p>
    <w:p>
      <w:pPr>
        <w:spacing w:line="460" w:lineRule="exact"/>
        <w:rPr>
          <w:rFonts w:ascii="宋体" w:hAnsi="宋体" w:cs="宋体"/>
          <w:sz w:val="28"/>
          <w:szCs w:val="28"/>
        </w:rPr>
      </w:pPr>
      <w:r>
        <w:rPr>
          <w:rFonts w:hint="eastAsia" w:ascii="宋体" w:hAnsi="宋体" w:cs="宋体"/>
          <w:sz w:val="28"/>
          <w:szCs w:val="28"/>
        </w:rPr>
        <w:t xml:space="preserve">   ⑴开标后在投标有效期间，投标方撤回其投标书；</w:t>
      </w:r>
    </w:p>
    <w:p>
      <w:pPr>
        <w:spacing w:line="460" w:lineRule="exact"/>
        <w:rPr>
          <w:rFonts w:ascii="宋体" w:hAnsi="宋体" w:cs="宋体"/>
          <w:sz w:val="28"/>
          <w:szCs w:val="28"/>
        </w:rPr>
      </w:pPr>
      <w:r>
        <w:rPr>
          <w:rFonts w:hint="eastAsia" w:ascii="宋体" w:hAnsi="宋体" w:cs="宋体"/>
          <w:sz w:val="28"/>
          <w:szCs w:val="28"/>
        </w:rPr>
        <w:t xml:space="preserve">   ⑵中标方不按中标通知书规定的时间、地点与买方签订中标经济合同。</w:t>
      </w:r>
    </w:p>
    <w:p>
      <w:pPr>
        <w:spacing w:line="460" w:lineRule="exact"/>
        <w:rPr>
          <w:rFonts w:ascii="宋体" w:hAnsi="宋体" w:cs="宋体"/>
          <w:sz w:val="28"/>
          <w:szCs w:val="28"/>
        </w:rPr>
      </w:pPr>
      <w:r>
        <w:rPr>
          <w:rFonts w:hint="eastAsia" w:ascii="宋体" w:hAnsi="宋体" w:cs="宋体"/>
          <w:sz w:val="28"/>
          <w:szCs w:val="28"/>
        </w:rPr>
        <w:t>13.投标文件的有效期</w:t>
      </w:r>
    </w:p>
    <w:p>
      <w:pPr>
        <w:spacing w:line="460" w:lineRule="exact"/>
        <w:rPr>
          <w:rFonts w:ascii="宋体" w:hAnsi="宋体" w:cs="宋体"/>
          <w:sz w:val="28"/>
          <w:szCs w:val="28"/>
        </w:rPr>
      </w:pPr>
      <w:r>
        <w:rPr>
          <w:rFonts w:hint="eastAsia" w:ascii="宋体" w:hAnsi="宋体" w:cs="宋体"/>
          <w:sz w:val="28"/>
          <w:szCs w:val="28"/>
        </w:rPr>
        <w:t xml:space="preserve">  13.1自开标日起12个月内，投标书应保持有效。有效期短于这个规定期限的投标，将被拒绝参与投标。</w:t>
      </w:r>
    </w:p>
    <w:p>
      <w:pPr>
        <w:spacing w:line="460" w:lineRule="exact"/>
        <w:rPr>
          <w:rFonts w:ascii="宋体" w:hAnsi="宋体" w:cs="宋体"/>
          <w:sz w:val="28"/>
          <w:szCs w:val="28"/>
        </w:rPr>
      </w:pPr>
      <w:r>
        <w:rPr>
          <w:rFonts w:hint="eastAsia" w:ascii="宋体" w:hAnsi="宋体" w:cs="宋体"/>
          <w:sz w:val="28"/>
          <w:szCs w:val="28"/>
        </w:rPr>
        <w:t xml:space="preserve">  13.2在特殊情况下，招标方可与投标方协商延长投标书的有效期。这种要求和答复都应以书面、传真的方式进行。按本须知的第12条规定的投标保证金的有效期也应相应延长。投标方可以拒绝接受延期要求而不致被没收保证金。同意延长有效期的投标方不能修改其投标文件。</w:t>
      </w:r>
    </w:p>
    <w:p>
      <w:pPr>
        <w:spacing w:line="460" w:lineRule="exact"/>
        <w:rPr>
          <w:rFonts w:ascii="宋体" w:hAnsi="宋体" w:cs="宋体"/>
          <w:sz w:val="28"/>
          <w:szCs w:val="28"/>
        </w:rPr>
      </w:pPr>
      <w:r>
        <w:rPr>
          <w:rFonts w:hint="eastAsia" w:ascii="宋体" w:hAnsi="宋体" w:cs="宋体"/>
          <w:sz w:val="28"/>
          <w:szCs w:val="28"/>
        </w:rPr>
        <w:t>14.投标文件的签署及规定</w:t>
      </w:r>
    </w:p>
    <w:p>
      <w:pPr>
        <w:spacing w:line="460" w:lineRule="exact"/>
        <w:rPr>
          <w:rFonts w:ascii="宋体" w:hAnsi="宋体" w:cs="宋体"/>
          <w:sz w:val="28"/>
          <w:szCs w:val="28"/>
        </w:rPr>
      </w:pPr>
      <w:r>
        <w:rPr>
          <w:rFonts w:hint="eastAsia" w:ascii="宋体" w:hAnsi="宋体" w:cs="宋体"/>
          <w:sz w:val="28"/>
          <w:szCs w:val="28"/>
        </w:rPr>
        <w:t xml:space="preserve">  14.1组成投标文件的各项资料（本须知第8条中所规定）均应遵守本条规定。</w:t>
      </w:r>
    </w:p>
    <w:p>
      <w:pPr>
        <w:spacing w:line="460" w:lineRule="exact"/>
        <w:rPr>
          <w:rFonts w:ascii="宋体" w:hAnsi="宋体" w:cs="宋体"/>
          <w:sz w:val="28"/>
          <w:szCs w:val="28"/>
        </w:rPr>
      </w:pPr>
      <w:r>
        <w:rPr>
          <w:rFonts w:hint="eastAsia" w:ascii="宋体" w:hAnsi="宋体" w:cs="宋体"/>
          <w:sz w:val="28"/>
          <w:szCs w:val="28"/>
        </w:rPr>
        <w:t xml:space="preserve">  14.2投标方应填写全称，并加盖公司印章。</w:t>
      </w:r>
    </w:p>
    <w:p>
      <w:pPr>
        <w:spacing w:line="460" w:lineRule="exact"/>
        <w:rPr>
          <w:rFonts w:ascii="宋体" w:hAnsi="宋体" w:cs="宋体"/>
          <w:sz w:val="28"/>
          <w:szCs w:val="28"/>
        </w:rPr>
      </w:pPr>
      <w:r>
        <w:rPr>
          <w:rFonts w:hint="eastAsia" w:ascii="宋体" w:hAnsi="宋体" w:cs="宋体"/>
          <w:sz w:val="28"/>
          <w:szCs w:val="28"/>
        </w:rPr>
        <w:t xml:space="preserve">  14.3投标文件必须由法人代表或授权代表签署。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4</w:t>
      </w:r>
      <w:r>
        <w:rPr>
          <w:rFonts w:hint="eastAsia" w:ascii="宋体" w:hAnsi="宋体" w:cs="宋体"/>
          <w:sz w:val="28"/>
          <w:szCs w:val="28"/>
        </w:rPr>
        <w:t>投标文件不得涂改或增删，如有修改错漏处，必须由同一签署人签字或盖章。</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5</w:t>
      </w:r>
      <w:r>
        <w:rPr>
          <w:rFonts w:hint="eastAsia" w:ascii="宋体" w:hAnsi="宋体" w:cs="宋体"/>
          <w:sz w:val="28"/>
          <w:szCs w:val="28"/>
        </w:rPr>
        <w:t>投标文件因字迹潦草或表达不清所引起的后果由投标方自负。</w:t>
      </w:r>
    </w:p>
    <w:p>
      <w:pPr>
        <w:spacing w:line="460" w:lineRule="exact"/>
        <w:jc w:val="center"/>
        <w:rPr>
          <w:rFonts w:ascii="宋体" w:hAnsi="宋体" w:cs="宋体"/>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bCs/>
          <w:sz w:val="28"/>
          <w:szCs w:val="28"/>
        </w:rPr>
      </w:pPr>
      <w:r>
        <w:rPr>
          <w:rFonts w:ascii="宋体" w:hAnsi="宋体" w:cs="宋体"/>
          <w:b/>
          <w:sz w:val="28"/>
          <w:szCs w:val="28"/>
        </w:rPr>
        <w:br w:type="page"/>
      </w:r>
      <w:r>
        <w:rPr>
          <w:rFonts w:hint="eastAsia" w:ascii="宋体" w:hAnsi="宋体" w:cs="宋体"/>
          <w:b/>
          <w:sz w:val="28"/>
          <w:szCs w:val="28"/>
        </w:rPr>
        <w:t>第三部分</w:t>
      </w:r>
      <w:r>
        <w:rPr>
          <w:rFonts w:hint="eastAsia" w:ascii="宋体" w:hAnsi="宋体" w:cs="宋体"/>
          <w:b/>
          <w:bCs/>
          <w:sz w:val="28"/>
          <w:szCs w:val="28"/>
        </w:rPr>
        <w:t xml:space="preserve">    附件——投标文件格式</w:t>
      </w:r>
    </w:p>
    <w:p>
      <w:pPr>
        <w:spacing w:line="360" w:lineRule="auto"/>
        <w:rPr>
          <w:rFonts w:ascii="宋体" w:hAnsi="宋体" w:cs="宋体"/>
          <w:sz w:val="28"/>
          <w:szCs w:val="28"/>
        </w:rPr>
      </w:pPr>
      <w:r>
        <w:rPr>
          <w:rFonts w:hint="eastAsia" w:ascii="宋体" w:hAnsi="宋体" w:cs="宋体"/>
          <w:sz w:val="28"/>
          <w:szCs w:val="28"/>
        </w:rPr>
        <w:t>附件一：                 投  标  函</w:t>
      </w:r>
    </w:p>
    <w:p>
      <w:pPr>
        <w:spacing w:line="360" w:lineRule="auto"/>
        <w:rPr>
          <w:rFonts w:ascii="宋体" w:hAnsi="宋体" w:cs="宋体"/>
          <w:color w:val="0070C0"/>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ascii="宋体" w:hAnsi="宋体" w:cs="宋体"/>
          <w:sz w:val="28"/>
          <w:szCs w:val="28"/>
          <w:u w:val="single"/>
        </w:rPr>
        <w:t xml:space="preserve">                           </w:t>
      </w:r>
      <w:r>
        <w:rPr>
          <w:rFonts w:ascii="宋体" w:hAnsi="宋体" w:cs="宋体"/>
          <w:color w:val="0070C0"/>
          <w:sz w:val="28"/>
          <w:szCs w:val="28"/>
        </w:rPr>
        <w:t xml:space="preserve"> </w:t>
      </w: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（投标单位全称）授权</w:t>
      </w:r>
      <w:r>
        <w:rPr>
          <w:rFonts w:hint="eastAsia" w:ascii="宋体" w:hAnsi="宋体" w:cs="宋体"/>
          <w:sz w:val="28"/>
          <w:szCs w:val="28"/>
          <w:u w:val="single"/>
        </w:rPr>
        <w:t xml:space="preserve">               </w:t>
      </w:r>
      <w:r>
        <w:rPr>
          <w:rFonts w:hint="eastAsia" w:ascii="宋体" w:hAnsi="宋体" w:cs="宋体"/>
          <w:sz w:val="28"/>
          <w:szCs w:val="28"/>
        </w:rPr>
        <w:t>（授权代表姓名）</w:t>
      </w:r>
      <w:r>
        <w:rPr>
          <w:rFonts w:hint="eastAsia" w:ascii="宋体" w:hAnsi="宋体" w:cs="宋体"/>
          <w:sz w:val="28"/>
          <w:szCs w:val="28"/>
          <w:u w:val="single"/>
        </w:rPr>
        <w:t xml:space="preserve">                  </w:t>
      </w:r>
      <w:r>
        <w:rPr>
          <w:rFonts w:hint="eastAsia" w:ascii="宋体" w:hAnsi="宋体" w:cs="宋体"/>
          <w:sz w:val="28"/>
          <w:szCs w:val="28"/>
        </w:rPr>
        <w:t xml:space="preserve">（职务、职称）为全权代表，参加贵方组织的 </w:t>
      </w:r>
      <w:r>
        <w:rPr>
          <w:rFonts w:hint="eastAsia" w:ascii="宋体" w:hAnsi="宋体" w:cs="宋体"/>
          <w:sz w:val="28"/>
          <w:szCs w:val="28"/>
          <w:u w:val="single"/>
        </w:rPr>
        <w:t>（招标编号：</w:t>
      </w:r>
      <w:r>
        <w:rPr>
          <w:rFonts w:ascii="宋体" w:hAnsi="宋体" w:cs="宋体"/>
          <w:color w:val="FF0000"/>
          <w:sz w:val="28"/>
          <w:szCs w:val="28"/>
          <w:u w:val="single"/>
        </w:rPr>
        <w:t xml:space="preserve">           </w:t>
      </w:r>
      <w:r>
        <w:rPr>
          <w:rFonts w:hint="eastAsia" w:ascii="宋体" w:hAnsi="宋体" w:cs="宋体"/>
          <w:color w:val="0070C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 xml:space="preserve">招标的有关活动，并对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进行投标。</w:t>
      </w:r>
    </w:p>
    <w:p>
      <w:pPr>
        <w:spacing w:line="360" w:lineRule="auto"/>
        <w:rPr>
          <w:rFonts w:ascii="宋体" w:hAnsi="宋体" w:cs="宋体"/>
          <w:sz w:val="28"/>
          <w:szCs w:val="28"/>
        </w:rPr>
      </w:pPr>
      <w:r>
        <w:rPr>
          <w:rFonts w:hint="eastAsia" w:ascii="宋体" w:hAnsi="宋体" w:cs="宋体"/>
          <w:sz w:val="28"/>
          <w:szCs w:val="28"/>
        </w:rPr>
        <w:t>1.提供投标须知规定的全部投标文件（投标书及资格证明文件各一份）。</w:t>
      </w:r>
    </w:p>
    <w:p>
      <w:pPr>
        <w:spacing w:line="360" w:lineRule="auto"/>
        <w:rPr>
          <w:rFonts w:ascii="宋体" w:hAnsi="宋体" w:cs="宋体"/>
          <w:sz w:val="28"/>
          <w:szCs w:val="28"/>
        </w:rPr>
      </w:pPr>
      <w:r>
        <w:rPr>
          <w:rFonts w:hint="eastAsia" w:ascii="宋体" w:hAnsi="宋体" w:cs="宋体"/>
          <w:sz w:val="28"/>
          <w:szCs w:val="28"/>
        </w:rPr>
        <w:t>2.投标物资的总投标金额为（金额大写）：</w:t>
      </w:r>
      <w:r>
        <w:rPr>
          <w:rFonts w:hint="eastAsia" w:ascii="宋体" w:hAnsi="宋体" w:cs="宋体"/>
          <w:sz w:val="28"/>
          <w:szCs w:val="28"/>
          <w:u w:val="single"/>
        </w:rPr>
        <w:t xml:space="preserve">                  </w:t>
      </w:r>
      <w:r>
        <w:rPr>
          <w:rFonts w:hint="eastAsia" w:ascii="宋体" w:hAnsi="宋体" w:cs="宋体"/>
          <w:sz w:val="28"/>
          <w:szCs w:val="28"/>
        </w:rPr>
        <w:t>元人民币。</w:t>
      </w:r>
    </w:p>
    <w:p>
      <w:pPr>
        <w:spacing w:line="360" w:lineRule="auto"/>
        <w:rPr>
          <w:rFonts w:ascii="宋体" w:hAnsi="宋体" w:cs="宋体"/>
          <w:sz w:val="28"/>
          <w:szCs w:val="28"/>
        </w:rPr>
      </w:pPr>
      <w:r>
        <w:rPr>
          <w:rFonts w:hint="eastAsia" w:ascii="宋体" w:hAnsi="宋体" w:cs="宋体"/>
          <w:sz w:val="28"/>
          <w:szCs w:val="28"/>
        </w:rPr>
        <w:t>3.保证遵守招标文件中的有关规定和收费标准。</w:t>
      </w:r>
    </w:p>
    <w:p>
      <w:pPr>
        <w:spacing w:line="360" w:lineRule="auto"/>
        <w:rPr>
          <w:rFonts w:ascii="宋体" w:hAnsi="宋体" w:cs="宋体"/>
          <w:sz w:val="28"/>
          <w:szCs w:val="28"/>
        </w:rPr>
      </w:pPr>
      <w:r>
        <w:rPr>
          <w:rFonts w:hint="eastAsia" w:ascii="宋体" w:hAnsi="宋体" w:cs="宋体"/>
          <w:sz w:val="28"/>
          <w:szCs w:val="28"/>
        </w:rPr>
        <w:t>4.如果我方中标，保证忠实地执行买卖双方所签订的经济合同，并承担合同规定的全部责任和义务。</w:t>
      </w:r>
    </w:p>
    <w:p>
      <w:pPr>
        <w:spacing w:line="360" w:lineRule="auto"/>
        <w:rPr>
          <w:rFonts w:ascii="宋体" w:hAnsi="宋体" w:cs="宋体"/>
          <w:sz w:val="28"/>
          <w:szCs w:val="28"/>
        </w:rPr>
      </w:pPr>
      <w:r>
        <w:rPr>
          <w:rFonts w:hint="eastAsia" w:ascii="宋体" w:hAnsi="宋体" w:cs="宋体"/>
          <w:sz w:val="28"/>
          <w:szCs w:val="28"/>
        </w:rPr>
        <w:t>5.愿意向贵方提供任何与该项目投标有关的数据、情况和技术资料。</w:t>
      </w:r>
    </w:p>
    <w:p>
      <w:pPr>
        <w:spacing w:line="360" w:lineRule="auto"/>
        <w:rPr>
          <w:rFonts w:ascii="宋体" w:hAnsi="宋体" w:cs="宋体"/>
          <w:sz w:val="28"/>
          <w:szCs w:val="28"/>
        </w:rPr>
      </w:pPr>
      <w:r>
        <w:rPr>
          <w:rFonts w:hint="eastAsia" w:ascii="宋体" w:hAnsi="宋体" w:cs="宋体"/>
          <w:sz w:val="28"/>
          <w:szCs w:val="28"/>
        </w:rPr>
        <w:t>6.本投标自开标之日起12个月内有效。</w:t>
      </w:r>
    </w:p>
    <w:p>
      <w:pPr>
        <w:spacing w:line="360" w:lineRule="auto"/>
        <w:rPr>
          <w:rFonts w:ascii="宋体" w:hAnsi="宋体" w:cs="宋体"/>
          <w:sz w:val="28"/>
          <w:szCs w:val="28"/>
        </w:rPr>
      </w:pPr>
      <w:r>
        <w:rPr>
          <w:rFonts w:hint="eastAsia" w:ascii="宋体" w:hAnsi="宋体" w:cs="宋体"/>
          <w:sz w:val="28"/>
          <w:szCs w:val="28"/>
        </w:rPr>
        <w:t>7.与本投标有关的一切往来通讯请寄：</w:t>
      </w:r>
    </w:p>
    <w:p>
      <w:pPr>
        <w:spacing w:line="360" w:lineRule="auto"/>
        <w:rPr>
          <w:rFonts w:ascii="宋体" w:hAnsi="宋体" w:cs="宋体"/>
          <w:sz w:val="28"/>
          <w:szCs w:val="28"/>
          <w:u w:val="single"/>
        </w:rPr>
      </w:pPr>
      <w:r>
        <w:rPr>
          <w:rFonts w:hint="eastAsia" w:ascii="宋体" w:hAnsi="宋体" w:cs="宋体"/>
          <w:sz w:val="28"/>
          <w:szCs w:val="28"/>
        </w:rPr>
        <w:t xml:space="preserve">   地址：</w:t>
      </w:r>
      <w:r>
        <w:rPr>
          <w:rFonts w:hint="eastAsia" w:ascii="宋体" w:hAnsi="宋体" w:cs="宋体"/>
          <w:sz w:val="28"/>
          <w:szCs w:val="28"/>
          <w:u w:val="single"/>
        </w:rPr>
        <w:t xml:space="preserve">                                                  </w:t>
      </w:r>
    </w:p>
    <w:p>
      <w:pPr>
        <w:spacing w:line="360" w:lineRule="auto"/>
        <w:rPr>
          <w:rFonts w:ascii="宋体" w:hAnsi="宋体" w:cs="宋体"/>
          <w:sz w:val="28"/>
          <w:szCs w:val="28"/>
          <w:u w:val="single"/>
        </w:rPr>
      </w:pPr>
      <w:r>
        <w:rPr>
          <w:rFonts w:hint="eastAsia" w:ascii="宋体" w:hAnsi="宋体" w:cs="宋体"/>
          <w:sz w:val="28"/>
          <w:szCs w:val="28"/>
        </w:rPr>
        <w:t xml:space="preserve">   邮编：</w:t>
      </w:r>
      <w:r>
        <w:rPr>
          <w:rFonts w:hint="eastAsia" w:ascii="宋体" w:hAnsi="宋体" w:cs="宋体"/>
          <w:sz w:val="28"/>
          <w:szCs w:val="28"/>
          <w:u w:val="single"/>
        </w:rPr>
        <w:t xml:space="preserve">           </w:t>
      </w: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rPr>
        <w:t>传真：</w:t>
      </w:r>
      <w:r>
        <w:rPr>
          <w:rFonts w:hint="eastAsia" w:ascii="宋体" w:hAnsi="宋体" w:cs="宋体"/>
          <w:sz w:val="28"/>
          <w:szCs w:val="28"/>
          <w:u w:val="single"/>
        </w:rPr>
        <w:t xml:space="preserve">                        </w:t>
      </w:r>
    </w:p>
    <w:p>
      <w:pPr>
        <w:spacing w:line="360" w:lineRule="auto"/>
        <w:ind w:firstLine="4480" w:firstLineChars="1600"/>
        <w:rPr>
          <w:rFonts w:ascii="宋体" w:hAnsi="宋体" w:cs="宋体"/>
          <w:sz w:val="28"/>
          <w:szCs w:val="28"/>
        </w:rPr>
      </w:pPr>
      <w:r>
        <w:rPr>
          <w:rFonts w:hint="eastAsia" w:ascii="宋体" w:hAnsi="宋体" w:cs="宋体"/>
          <w:sz w:val="28"/>
          <w:szCs w:val="28"/>
        </w:rPr>
        <w:t>投标单位（盖章）：</w:t>
      </w:r>
    </w:p>
    <w:p>
      <w:pPr>
        <w:spacing w:line="360" w:lineRule="auto"/>
        <w:ind w:firstLine="4480" w:firstLineChars="1600"/>
        <w:rPr>
          <w:rFonts w:ascii="宋体" w:hAnsi="宋体" w:cs="宋体"/>
          <w:sz w:val="28"/>
          <w:szCs w:val="28"/>
        </w:rPr>
      </w:pPr>
      <w:r>
        <w:rPr>
          <w:rFonts w:hint="eastAsia" w:ascii="宋体" w:hAnsi="宋体" w:cs="宋体"/>
          <w:sz w:val="28"/>
          <w:szCs w:val="28"/>
        </w:rPr>
        <w:t>授权代表（签字）：</w:t>
      </w:r>
    </w:p>
    <w:p>
      <w:pPr>
        <w:spacing w:line="360" w:lineRule="auto"/>
        <w:ind w:firstLine="4480" w:firstLineChars="1600"/>
        <w:rPr>
          <w:rFonts w:ascii="宋体" w:hAnsi="宋体" w:cs="宋体"/>
          <w:sz w:val="28"/>
          <w:szCs w:val="28"/>
        </w:rPr>
      </w:pPr>
      <w:r>
        <w:rPr>
          <w:rFonts w:hint="eastAsia" w:ascii="宋体" w:hAnsi="宋体" w:cs="宋体"/>
          <w:sz w:val="28"/>
          <w:szCs w:val="28"/>
        </w:rPr>
        <w:t>日    期：</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附件二：</w:t>
      </w:r>
    </w:p>
    <w:p>
      <w:pPr>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开标一览表</w:t>
      </w:r>
    </w:p>
    <w:p>
      <w:pPr>
        <w:tabs>
          <w:tab w:val="left" w:pos="1600"/>
          <w:tab w:val="left" w:pos="3000"/>
          <w:tab w:val="center" w:pos="4536"/>
        </w:tabs>
        <w:rPr>
          <w:rFonts w:hint="default" w:ascii="宋体" w:hAnsi="宋体" w:eastAsia="宋体" w:cs="Times New Roman"/>
          <w:b/>
          <w:kern w:val="0"/>
          <w:sz w:val="24"/>
          <w:szCs w:val="24"/>
          <w:u w:val="single"/>
          <w:lang w:val="en-US" w:eastAsia="zh-CN"/>
        </w:rPr>
      </w:pPr>
      <w:r>
        <w:rPr>
          <w:rFonts w:hint="eastAsia" w:ascii="宋体" w:hAnsi="宋体" w:eastAsia="宋体" w:cs="宋体"/>
          <w:kern w:val="0"/>
          <w:sz w:val="28"/>
          <w:szCs w:val="28"/>
        </w:rPr>
        <w:t>项目名称：</w:t>
      </w:r>
      <w:r>
        <w:rPr>
          <w:rFonts w:hint="eastAsia" w:ascii="宋体" w:hAnsi="宋体" w:eastAsia="宋体" w:cs="宋体"/>
          <w:kern w:val="0"/>
          <w:sz w:val="28"/>
          <w:szCs w:val="28"/>
          <w:u w:val="single"/>
          <w:lang w:val="en-US" w:eastAsia="zh-CN"/>
        </w:rPr>
        <w:t>2023年自行监测服务</w:t>
      </w:r>
    </w:p>
    <w:p>
      <w:pPr>
        <w:spacing w:line="360" w:lineRule="auto"/>
        <w:rPr>
          <w:rFonts w:ascii="宋体" w:hAnsi="宋体" w:eastAsia="宋体" w:cs="宋体"/>
          <w:kern w:val="0"/>
          <w:sz w:val="28"/>
          <w:szCs w:val="28"/>
          <w:u w:val="single"/>
        </w:rPr>
      </w:pPr>
      <w:r>
        <w:rPr>
          <w:rFonts w:hint="eastAsia" w:ascii="宋体" w:hAnsi="宋体" w:eastAsia="宋体" w:cs="宋体"/>
          <w:kern w:val="0"/>
          <w:sz w:val="28"/>
          <w:szCs w:val="28"/>
        </w:rPr>
        <w:t xml:space="preserve">招标编号：                           </w:t>
      </w:r>
      <w:r>
        <w:rPr>
          <w:rFonts w:hint="eastAsia" w:ascii="宋体" w:hAnsi="宋体" w:eastAsia="宋体" w:cs="宋体"/>
          <w:kern w:val="0"/>
          <w:sz w:val="28"/>
          <w:szCs w:val="28"/>
          <w:u w:val="single"/>
        </w:rPr>
        <w:t xml:space="preserve"> 金额单位：人民币（元）</w:t>
      </w: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eastAsia="宋体" w:cs="Times New Roman"/>
          <w:kern w:val="0"/>
          <w:sz w:val="20"/>
          <w:szCs w:val="20"/>
        </w:rPr>
      </w:pPr>
      <w:r>
        <w:rPr>
          <w:rFonts w:hint="eastAsia" w:eastAsia="宋体" w:cs="Times New Roman"/>
          <w:kern w:val="0"/>
          <w:sz w:val="20"/>
          <w:szCs w:val="20"/>
        </w:rPr>
        <w:t xml:space="preserve">    </w:t>
      </w:r>
    </w:p>
    <w:tbl>
      <w:tblPr>
        <w:tblStyle w:val="7"/>
        <w:tblW w:w="91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240"/>
        <w:gridCol w:w="2475"/>
        <w:gridCol w:w="1020"/>
        <w:gridCol w:w="1770"/>
        <w:gridCol w:w="960"/>
        <w:gridCol w:w="99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4" w:hRule="atLeast"/>
        </w:trPr>
        <w:tc>
          <w:tcPr>
            <w:tcW w:w="704" w:type="dxa"/>
            <w:vMerge w:val="restart"/>
            <w:noWrap w:val="0"/>
            <w:vAlign w:val="center"/>
          </w:tcPr>
          <w:p>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序号</w:t>
            </w:r>
          </w:p>
        </w:tc>
        <w:tc>
          <w:tcPr>
            <w:tcW w:w="1240" w:type="dxa"/>
            <w:vMerge w:val="restart"/>
            <w:tcBorders>
              <w:left w:val="single" w:color="auto" w:sz="4" w:space="0"/>
            </w:tcBorders>
            <w:noWrap w:val="0"/>
            <w:vAlign w:val="center"/>
          </w:tcPr>
          <w:p>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监测项目名称</w:t>
            </w:r>
          </w:p>
        </w:tc>
        <w:tc>
          <w:tcPr>
            <w:tcW w:w="2475" w:type="dxa"/>
            <w:vMerge w:val="restart"/>
            <w:noWrap w:val="0"/>
            <w:vAlign w:val="center"/>
          </w:tcPr>
          <w:p>
            <w:pPr>
              <w:spacing w:line="360" w:lineRule="auto"/>
              <w:jc w:val="center"/>
              <w:rPr>
                <w:rFonts w:hint="eastAsia" w:ascii="宋体" w:hAnsi="宋体" w:eastAsia="宋体" w:cs="宋体"/>
                <w:b/>
                <w:bCs/>
                <w:kern w:val="2"/>
                <w:sz w:val="24"/>
                <w:szCs w:val="24"/>
                <w:highlight w:val="none"/>
                <w:vertAlign w:val="superscript"/>
              </w:rPr>
            </w:pPr>
            <w:r>
              <w:rPr>
                <w:rFonts w:hint="eastAsia" w:ascii="宋体" w:hAnsi="宋体" w:eastAsia="宋体" w:cs="宋体"/>
                <w:b/>
                <w:bCs/>
                <w:kern w:val="2"/>
                <w:sz w:val="24"/>
                <w:szCs w:val="24"/>
                <w:highlight w:val="none"/>
              </w:rPr>
              <w:t>分析项目</w:t>
            </w:r>
          </w:p>
        </w:tc>
        <w:tc>
          <w:tcPr>
            <w:tcW w:w="3750" w:type="dxa"/>
            <w:gridSpan w:val="3"/>
            <w:noWrap w:val="0"/>
            <w:vAlign w:val="center"/>
          </w:tcPr>
          <w:p>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价    格</w:t>
            </w:r>
          </w:p>
        </w:tc>
        <w:tc>
          <w:tcPr>
            <w:tcW w:w="990" w:type="dxa"/>
            <w:vMerge w:val="restart"/>
            <w:noWrap w:val="0"/>
            <w:vAlign w:val="center"/>
          </w:tcPr>
          <w:p>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6" w:hRule="atLeast"/>
        </w:trPr>
        <w:tc>
          <w:tcPr>
            <w:tcW w:w="704" w:type="dxa"/>
            <w:vMerge w:val="continue"/>
            <w:noWrap w:val="0"/>
            <w:vAlign w:val="center"/>
          </w:tcPr>
          <w:p>
            <w:pPr>
              <w:spacing w:line="360" w:lineRule="auto"/>
              <w:jc w:val="center"/>
              <w:rPr>
                <w:rFonts w:hint="eastAsia" w:ascii="宋体" w:hAnsi="宋体" w:eastAsia="宋体" w:cs="宋体"/>
                <w:b/>
                <w:bCs/>
                <w:kern w:val="2"/>
                <w:sz w:val="24"/>
                <w:szCs w:val="24"/>
                <w:highlight w:val="none"/>
              </w:rPr>
            </w:pP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b/>
                <w:bCs/>
                <w:kern w:val="2"/>
                <w:sz w:val="24"/>
                <w:szCs w:val="24"/>
                <w:highlight w:val="none"/>
              </w:rPr>
            </w:pPr>
          </w:p>
        </w:tc>
        <w:tc>
          <w:tcPr>
            <w:tcW w:w="2475" w:type="dxa"/>
            <w:vMerge w:val="continue"/>
            <w:noWrap w:val="0"/>
            <w:vAlign w:val="center"/>
          </w:tcPr>
          <w:p>
            <w:pPr>
              <w:spacing w:line="360" w:lineRule="auto"/>
              <w:jc w:val="center"/>
              <w:rPr>
                <w:rFonts w:hint="eastAsia" w:ascii="宋体" w:hAnsi="宋体" w:eastAsia="宋体" w:cs="宋体"/>
                <w:b/>
                <w:bCs/>
                <w:kern w:val="2"/>
                <w:sz w:val="24"/>
                <w:szCs w:val="24"/>
                <w:highlight w:val="none"/>
                <w:vertAlign w:val="superscript"/>
              </w:rPr>
            </w:pPr>
          </w:p>
        </w:tc>
        <w:tc>
          <w:tcPr>
            <w:tcW w:w="1020" w:type="dxa"/>
            <w:tcBorders>
              <w:right w:val="single" w:color="auto" w:sz="4" w:space="0"/>
            </w:tcBorders>
            <w:noWrap w:val="0"/>
            <w:vAlign w:val="center"/>
          </w:tcPr>
          <w:p>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 xml:space="preserve">单价    </w:t>
            </w: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 xml:space="preserve">监测样品数量    </w:t>
            </w: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总价</w:t>
            </w:r>
          </w:p>
        </w:tc>
        <w:tc>
          <w:tcPr>
            <w:tcW w:w="990" w:type="dxa"/>
            <w:vMerge w:val="continue"/>
            <w:tcBorders>
              <w:bottom w:val="single" w:color="auto" w:sz="4" w:space="0"/>
            </w:tcBorders>
            <w:noWrap w:val="0"/>
            <w:vAlign w:val="center"/>
          </w:tcPr>
          <w:p>
            <w:pPr>
              <w:spacing w:line="360" w:lineRule="auto"/>
              <w:rPr>
                <w:rFonts w:hint="eastAsia" w:ascii="宋体" w:hAnsi="宋体" w:eastAsia="宋体" w:cs="宋体"/>
                <w:b/>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1240" w:type="dxa"/>
            <w:vMerge w:val="restart"/>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废气固定源</w:t>
            </w: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颗粒物</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rPr>
                <w:rFonts w:hint="eastAsia" w:ascii="宋体" w:hAnsi="宋体" w:eastAsia="宋体" w:cs="宋体"/>
                <w:b/>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p>
        </w:tc>
        <w:tc>
          <w:tcPr>
            <w:tcW w:w="1240" w:type="dxa"/>
            <w:vMerge w:val="continue"/>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二氧化硫</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p>
        </w:tc>
        <w:tc>
          <w:tcPr>
            <w:tcW w:w="1240" w:type="dxa"/>
            <w:vMerge w:val="continue"/>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氮氧化物</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w:t>
            </w:r>
          </w:p>
        </w:tc>
        <w:tc>
          <w:tcPr>
            <w:tcW w:w="1240" w:type="dxa"/>
            <w:vMerge w:val="continue"/>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铊及其化合物</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5</w:t>
            </w:r>
          </w:p>
        </w:tc>
        <w:tc>
          <w:tcPr>
            <w:tcW w:w="1240" w:type="dxa"/>
            <w:vMerge w:val="continue"/>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镉及其化合物</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6</w:t>
            </w:r>
          </w:p>
        </w:tc>
        <w:tc>
          <w:tcPr>
            <w:tcW w:w="1240" w:type="dxa"/>
            <w:vMerge w:val="continue"/>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铅及其化合物</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7</w:t>
            </w:r>
          </w:p>
        </w:tc>
        <w:tc>
          <w:tcPr>
            <w:tcW w:w="1240" w:type="dxa"/>
            <w:vMerge w:val="continue"/>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砷及其化合物</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8</w:t>
            </w:r>
          </w:p>
        </w:tc>
        <w:tc>
          <w:tcPr>
            <w:tcW w:w="1240" w:type="dxa"/>
            <w:vMerge w:val="continue"/>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铍及其化合物</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9</w:t>
            </w:r>
          </w:p>
        </w:tc>
        <w:tc>
          <w:tcPr>
            <w:tcW w:w="1240" w:type="dxa"/>
            <w:vMerge w:val="continue"/>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铬及其化合物</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10</w:t>
            </w:r>
          </w:p>
        </w:tc>
        <w:tc>
          <w:tcPr>
            <w:tcW w:w="1240" w:type="dxa"/>
            <w:vMerge w:val="continue"/>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锡及其化合物</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11</w:t>
            </w:r>
          </w:p>
        </w:tc>
        <w:tc>
          <w:tcPr>
            <w:tcW w:w="1240" w:type="dxa"/>
            <w:vMerge w:val="continue"/>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锑及其化合物</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12</w:t>
            </w:r>
          </w:p>
        </w:tc>
        <w:tc>
          <w:tcPr>
            <w:tcW w:w="1240" w:type="dxa"/>
            <w:vMerge w:val="continue"/>
            <w:tcBorders>
              <w:left w:val="single" w:color="auto" w:sz="4" w:space="0"/>
            </w:tcBorders>
            <w:noWrap w:val="0"/>
            <w:vAlign w:val="center"/>
          </w:tcPr>
          <w:p>
            <w:pPr>
              <w:keepNext/>
              <w:widowControl w:val="0"/>
              <w:spacing w:line="360" w:lineRule="auto"/>
              <w:jc w:val="center"/>
              <w:outlineLvl w:val="5"/>
              <w:rPr>
                <w:rFonts w:hint="eastAsia" w:ascii="宋体" w:hAnsi="宋体" w:eastAsia="宋体" w:cs="宋体"/>
                <w:b w:val="0"/>
                <w:bCs/>
                <w:color w:val="000000"/>
                <w:kern w:val="2"/>
                <w:sz w:val="24"/>
                <w:szCs w:val="24"/>
                <w:highlight w:val="none"/>
                <w:lang w:val="en-US" w:eastAsia="zh-CN" w:bidi="ar-SA"/>
              </w:rPr>
            </w:pPr>
          </w:p>
        </w:tc>
        <w:tc>
          <w:tcPr>
            <w:tcW w:w="2475" w:type="dxa"/>
            <w:noWrap w:val="0"/>
            <w:vAlign w:val="center"/>
          </w:tcPr>
          <w:p>
            <w:pPr>
              <w:keepNext/>
              <w:widowControl w:val="0"/>
              <w:spacing w:line="240" w:lineRule="auto"/>
              <w:jc w:val="center"/>
              <w:outlineLvl w:val="5"/>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铜及其化合物</w:t>
            </w:r>
          </w:p>
        </w:tc>
        <w:tc>
          <w:tcPr>
            <w:tcW w:w="1020" w:type="dxa"/>
            <w:tcBorders>
              <w:right w:val="single" w:color="auto" w:sz="4" w:space="0"/>
            </w:tcBorders>
            <w:noWrap w:val="0"/>
            <w:vAlign w:val="center"/>
          </w:tcPr>
          <w:p>
            <w:pPr>
              <w:spacing w:line="360" w:lineRule="auto"/>
              <w:rPr>
                <w:rFonts w:hint="eastAsia" w:ascii="宋体" w:hAnsi="宋体" w:eastAsia="宋体" w:cs="宋体"/>
                <w:b/>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钴及其化合物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锰及其化合物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镍及其化合物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钒及其化合物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总有机碳</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6"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18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FF0000"/>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氟化物（以总F计）</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color w:val="FF0000"/>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19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氟化氢</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20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氯化氢</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21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氨（氨气）</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22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汞及其化合物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23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二噁英</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3"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24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硫化氢</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25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非甲烷总烃</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26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臭气浓度</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27</w:t>
            </w:r>
          </w:p>
        </w:tc>
        <w:tc>
          <w:tcPr>
            <w:tcW w:w="1240" w:type="dxa"/>
            <w:vMerge w:val="restart"/>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废气</w:t>
            </w:r>
            <w:r>
              <w:rPr>
                <w:rFonts w:hint="eastAsia" w:ascii="宋体" w:hAnsi="宋体" w:eastAsia="宋体" w:cs="宋体"/>
                <w:kern w:val="2"/>
                <w:sz w:val="24"/>
                <w:szCs w:val="24"/>
                <w:highlight w:val="none"/>
              </w:rPr>
              <w:t>无组织</w:t>
            </w: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氨（氨气）</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28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硫化氢</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29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非甲烷总烃</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3"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30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臭气浓度</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31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总悬浮颗粒物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32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default"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VOCS</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33</w:t>
            </w:r>
          </w:p>
        </w:tc>
        <w:tc>
          <w:tcPr>
            <w:tcW w:w="1240" w:type="dxa"/>
            <w:vMerge w:val="restart"/>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污水处理设施出水口</w:t>
            </w: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BOD5</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34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COD</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35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NH3-N</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36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SS</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37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PH</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38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石油类</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39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TP</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704" w:type="dxa"/>
            <w:noWrap w:val="0"/>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40</w:t>
            </w:r>
          </w:p>
        </w:tc>
        <w:tc>
          <w:tcPr>
            <w:tcW w:w="1240" w:type="dxa"/>
            <w:vMerge w:val="restart"/>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厂区雨水总排口</w:t>
            </w: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PH</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704" w:type="dxa"/>
            <w:noWrap w:val="0"/>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NH3-N</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704" w:type="dxa"/>
            <w:noWrap w:val="0"/>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COD</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704" w:type="dxa"/>
            <w:noWrap w:val="0"/>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43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BOD5</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44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SS</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45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氟化物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46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氰化物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47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Cu</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48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Zn</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Pb</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50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Cd</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51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Cr6+</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52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Ni</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53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As</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54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石油类</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3" w:hRule="atLeast"/>
        </w:trPr>
        <w:tc>
          <w:tcPr>
            <w:tcW w:w="704" w:type="dxa"/>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55</w:t>
            </w:r>
          </w:p>
        </w:tc>
        <w:tc>
          <w:tcPr>
            <w:tcW w:w="124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厂界噪声</w:t>
            </w: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1#-8#Leq</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56</w:t>
            </w:r>
          </w:p>
        </w:tc>
        <w:tc>
          <w:tcPr>
            <w:tcW w:w="1240" w:type="dxa"/>
            <w:vMerge w:val="restart"/>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土壤</w:t>
            </w: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镉</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铬（六价）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铜</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铅</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汞</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镍</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四氯化碳</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氯仿</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氯甲烷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1,1-二氯乙烷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1,2-二氯乙烷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1,1-二氯乙烯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顺-1,2-二氯乙烯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反-1,2-二氯乙烯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二氯甲烷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1,2-二氯丙烷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1,1,1,2-四氯乙烷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1,1,2,2-四氯乙烷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6"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四氯乙烯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6"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1,1,1-三氯乙烷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SA"/>
              </w:rPr>
              <w:t>77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1,1,2-三氯乙烷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三氯乙烯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1,2,3-三氯丙烷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氯乙烯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氯苯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1,2-二氯苯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1，4-二氯苯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乙苯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苯乙烯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甲苯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间二甲苯＋ 对二甲苯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6"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邻二甲苯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硝基苯</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苯胺</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2-氯酚</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苯并［a］蒽</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苯并［a］芘</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苯并［b］荧蒽</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苯并［k］荧蒽</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䓛</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二苯并［a，h］ 蒽</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茚并［1,2,3-cd］芘</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萘</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锑</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6"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铍</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钴</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钒</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SA"/>
              </w:rPr>
              <w:t>105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氰化物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二噁英类</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石油烃（C10-C40）</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108</w:t>
            </w:r>
          </w:p>
        </w:tc>
        <w:tc>
          <w:tcPr>
            <w:tcW w:w="1240" w:type="dxa"/>
            <w:vMerge w:val="restart"/>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周边环境土壤</w:t>
            </w: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pH</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汞</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铊</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镉</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铅</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铍</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铬</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锑</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铜</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钴</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锰</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镍</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钒</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锡</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123</w:t>
            </w:r>
          </w:p>
        </w:tc>
        <w:tc>
          <w:tcPr>
            <w:tcW w:w="1240" w:type="dxa"/>
            <w:vMerge w:val="restart"/>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环境空气</w:t>
            </w: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TSP</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PM10</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PM2.5</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SO2</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NO2</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CO</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O3</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铅</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镉</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SA"/>
              </w:rPr>
              <w:t>133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汞</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六价铬</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氟化物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NH3</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H2S</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HCl</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lang w:eastAsia="zh-CN"/>
              </w:rPr>
              <w:t>钒</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lang w:eastAsia="zh-CN"/>
              </w:rPr>
              <w:t>铍</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lang w:eastAsia="zh-CN"/>
              </w:rPr>
              <w:t>钴</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lang w:eastAsia="zh-CN"/>
              </w:rPr>
              <w:t>铊</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lang w:eastAsia="zh-CN"/>
              </w:rPr>
              <w:t>锑</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锰及其化合物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VOCs</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镍</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铜</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非甲烷总烃</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eastAsia="zh-CN"/>
              </w:rPr>
            </w:pP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kern w:val="2"/>
                <w:sz w:val="24"/>
                <w:szCs w:val="24"/>
                <w:highlight w:val="none"/>
              </w:rPr>
              <w:t>二噁英类</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1240" w:type="dxa"/>
            <w:vMerge w:val="restart"/>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周边环境地下水</w:t>
            </w:r>
          </w:p>
        </w:tc>
        <w:tc>
          <w:tcPr>
            <w:tcW w:w="2475" w:type="dxa"/>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pH 值</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氨氮</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硝酸盐</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亚硝酸盐</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挥发酚</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氰化物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砷</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汞</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六价铬</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总硬度</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铅</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SA"/>
              </w:rPr>
              <w:t>161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氟化物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镉</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铁</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164</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锰</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165</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溶解性总固体</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3"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166</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耗氧量</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167</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硫酸盐</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 w:hRule="atLeas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氯化物</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7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169</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总大肠菌群</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7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SA"/>
              </w:rPr>
              <w:t>170</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菌落总数</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704" w:type="dxa"/>
            <w:noWrap w:val="0"/>
            <w:vAlign w:val="center"/>
          </w:tcPr>
          <w:p>
            <w:pPr>
              <w:spacing w:line="360" w:lineRule="auto"/>
              <w:jc w:val="center"/>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171</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铜</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704" w:type="dxa"/>
            <w:noWrap w:val="0"/>
            <w:vAlign w:val="center"/>
          </w:tcPr>
          <w:p>
            <w:pPr>
              <w:spacing w:line="360" w:lineRule="auto"/>
              <w:jc w:val="center"/>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172</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镍</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704" w:type="dxa"/>
            <w:noWrap w:val="0"/>
            <w:vAlign w:val="center"/>
          </w:tcPr>
          <w:p>
            <w:pPr>
              <w:spacing w:line="360" w:lineRule="auto"/>
              <w:jc w:val="center"/>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173</w:t>
            </w:r>
          </w:p>
        </w:tc>
        <w:tc>
          <w:tcPr>
            <w:tcW w:w="1240" w:type="dxa"/>
            <w:vMerge w:val="continue"/>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2475"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锌</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704" w:type="dxa"/>
            <w:noWrap w:val="0"/>
            <w:vAlign w:val="center"/>
          </w:tcPr>
          <w:p>
            <w:pPr>
              <w:spacing w:line="360" w:lineRule="auto"/>
              <w:jc w:val="center"/>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174</w:t>
            </w:r>
          </w:p>
        </w:tc>
        <w:tc>
          <w:tcPr>
            <w:tcW w:w="3715" w:type="dxa"/>
            <w:gridSpan w:val="2"/>
            <w:tcBorders>
              <w:left w:val="single" w:color="auto" w:sz="4" w:space="0"/>
            </w:tcBorders>
            <w:noWrap w:val="0"/>
            <w:vAlign w:val="center"/>
          </w:tcPr>
          <w:p>
            <w:pPr>
              <w:spacing w:line="36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油烟</w:t>
            </w:r>
          </w:p>
        </w:tc>
        <w:tc>
          <w:tcPr>
            <w:tcW w:w="102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1770" w:type="dxa"/>
            <w:tcBorders>
              <w:lef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60" w:type="dxa"/>
            <w:tcBorders>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rPr>
            </w:pPr>
          </w:p>
        </w:tc>
        <w:tc>
          <w:tcPr>
            <w:tcW w:w="990"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5439" w:type="dxa"/>
            <w:gridSpan w:val="4"/>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kern w:val="2"/>
                <w:sz w:val="24"/>
                <w:szCs w:val="24"/>
                <w:highlight w:val="none"/>
                <w:lang w:eastAsia="zh-CN"/>
              </w:rPr>
            </w:pPr>
            <w:r>
              <w:rPr>
                <w:rFonts w:hint="eastAsia" w:ascii="宋体" w:hAnsi="宋体" w:eastAsia="宋体" w:cs="宋体"/>
                <w:b/>
                <w:kern w:val="2"/>
                <w:sz w:val="24"/>
                <w:szCs w:val="24"/>
                <w:highlight w:val="none"/>
                <w:lang w:eastAsia="zh-CN"/>
              </w:rPr>
              <w:t>合计</w:t>
            </w:r>
          </w:p>
        </w:tc>
        <w:tc>
          <w:tcPr>
            <w:tcW w:w="3720" w:type="dxa"/>
            <w:gridSpan w:val="3"/>
            <w:tcBorders>
              <w:top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GB"/>
              </w:rPr>
            </w:pPr>
          </w:p>
        </w:tc>
      </w:tr>
    </w:tbl>
    <w:p>
      <w:pPr>
        <w:spacing w:line="360" w:lineRule="auto"/>
        <w:rPr>
          <w:rFonts w:hint="eastAsia" w:ascii="宋体" w:hAnsi="宋体" w:cs="宋体"/>
          <w:color w:val="000000"/>
          <w:kern w:val="0"/>
          <w:sz w:val="28"/>
          <w:szCs w:val="28"/>
          <w:lang w:bidi="ar"/>
        </w:rPr>
      </w:pPr>
    </w:p>
    <w:p>
      <w:pPr>
        <w:spacing w:line="480" w:lineRule="auto"/>
        <w:ind w:firstLine="560" w:firstLineChars="200"/>
        <w:rPr>
          <w:rFonts w:hint="eastAsia" w:ascii="宋体" w:hAnsi="宋体" w:eastAsia="宋体" w:cs="Times New Roman"/>
          <w:bCs/>
          <w:sz w:val="28"/>
          <w:szCs w:val="28"/>
          <w:lang w:val="en-US" w:eastAsia="zh-CN" w:bidi="ar-SA"/>
        </w:rPr>
      </w:pPr>
      <w:r>
        <w:rPr>
          <w:rFonts w:hint="eastAsia" w:ascii="宋体" w:hAnsi="宋体" w:eastAsia="宋体" w:cs="Times New Roman"/>
          <w:bCs/>
          <w:sz w:val="28"/>
          <w:szCs w:val="28"/>
          <w:lang w:val="en-US" w:eastAsia="zh-CN" w:bidi="ar-SA"/>
        </w:rPr>
        <w:t>二、付款方式：</w:t>
      </w:r>
    </w:p>
    <w:p>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第一次：合同生效后，乙方完成半年度监测项目并出具监测报告后，甲方首次支付合同价的40%，乙方提供相同数额增值税专用发票；</w:t>
      </w:r>
    </w:p>
    <w:p>
      <w:pPr>
        <w:spacing w:line="480" w:lineRule="auto"/>
        <w:ind w:firstLine="560" w:firstLineChars="200"/>
        <w:rPr>
          <w:rFonts w:hint="eastAsia" w:ascii="宋体" w:hAnsi="宋体" w:eastAsia="宋体" w:cs="Times New Roman"/>
          <w:bCs/>
          <w:sz w:val="28"/>
          <w:szCs w:val="28"/>
          <w:lang w:val="en-US" w:eastAsia="zh-CN" w:bidi="ar-SA"/>
        </w:rPr>
      </w:pPr>
      <w:r>
        <w:rPr>
          <w:rFonts w:hint="eastAsia" w:ascii="宋体" w:hAnsi="宋体" w:eastAsia="宋体" w:cs="宋体"/>
          <w:sz w:val="28"/>
          <w:szCs w:val="28"/>
        </w:rPr>
        <w:t>第二次：乙方完成202</w:t>
      </w:r>
      <w:r>
        <w:rPr>
          <w:rFonts w:hint="eastAsia" w:ascii="宋体" w:hAnsi="宋体" w:eastAsia="宋体" w:cs="宋体"/>
          <w:sz w:val="28"/>
          <w:szCs w:val="28"/>
          <w:lang w:val="en-US" w:eastAsia="zh-CN"/>
        </w:rPr>
        <w:t>3</w:t>
      </w:r>
      <w:r>
        <w:rPr>
          <w:rFonts w:hint="eastAsia" w:ascii="宋体" w:hAnsi="宋体" w:eastAsia="宋体" w:cs="宋体"/>
          <w:sz w:val="28"/>
          <w:szCs w:val="28"/>
        </w:rPr>
        <w:t>年全部监测项目后，甲方支付技术服务费用60%，乙方提供相同数额增值税专用发票。</w:t>
      </w:r>
    </w:p>
    <w:p>
      <w:pPr>
        <w:widowControl w:val="0"/>
        <w:numPr>
          <w:ilvl w:val="0"/>
          <w:numId w:val="0"/>
        </w:numPr>
        <w:spacing w:line="480" w:lineRule="auto"/>
        <w:ind w:leftChars="0" w:firstLine="560" w:firstLineChars="200"/>
        <w:jc w:val="both"/>
        <w:rPr>
          <w:rFonts w:hint="eastAsia" w:ascii="宋体" w:hAnsi="宋体" w:eastAsia="宋体" w:cs="Times New Roman"/>
          <w:kern w:val="2"/>
          <w:sz w:val="28"/>
          <w:szCs w:val="28"/>
          <w:lang w:val="en-US" w:eastAsia="zh-CN" w:bidi="ar-SA"/>
        </w:rPr>
      </w:pPr>
      <w:r>
        <w:rPr>
          <w:rFonts w:hint="eastAsia" w:ascii="宋体" w:hAnsi="宋体" w:eastAsia="宋体" w:cs="Times New Roman"/>
          <w:bCs/>
          <w:sz w:val="28"/>
          <w:szCs w:val="28"/>
          <w:lang w:val="en-US" w:eastAsia="zh-CN" w:bidi="ar-SA"/>
        </w:rPr>
        <w:t>三、结算方式：电汇。</w:t>
      </w:r>
    </w:p>
    <w:p>
      <w:pPr>
        <w:widowControl w:val="0"/>
        <w:numPr>
          <w:ilvl w:val="0"/>
          <w:numId w:val="0"/>
        </w:numPr>
        <w:spacing w:line="480" w:lineRule="auto"/>
        <w:ind w:firstLine="560" w:firstLineChars="200"/>
        <w:jc w:val="both"/>
        <w:rPr>
          <w:rFonts w:hint="eastAsia" w:ascii="宋体" w:hAnsi="宋体" w:eastAsia="宋体" w:cs="Times New Roman"/>
          <w:bCs/>
          <w:sz w:val="28"/>
          <w:szCs w:val="28"/>
          <w:lang w:val="en-US" w:eastAsia="zh-CN" w:bidi="ar-SA"/>
        </w:rPr>
      </w:pPr>
      <w:r>
        <w:rPr>
          <w:rFonts w:hint="eastAsia" w:ascii="宋体" w:hAnsi="宋体" w:cs="Times New Roman"/>
          <w:kern w:val="2"/>
          <w:sz w:val="28"/>
          <w:szCs w:val="28"/>
          <w:lang w:eastAsia="zh-CN"/>
        </w:rPr>
        <w:t>四</w:t>
      </w:r>
      <w:r>
        <w:rPr>
          <w:rFonts w:hint="eastAsia" w:ascii="宋体" w:hAnsi="宋体" w:cs="Times New Roman"/>
          <w:kern w:val="2"/>
          <w:sz w:val="28"/>
          <w:szCs w:val="28"/>
        </w:rPr>
        <w:t>、</w:t>
      </w:r>
      <w:r>
        <w:rPr>
          <w:rFonts w:hint="eastAsia" w:ascii="宋体" w:hAnsi="宋体" w:eastAsia="宋体" w:cs="Times New Roman"/>
          <w:bCs/>
          <w:sz w:val="28"/>
          <w:szCs w:val="28"/>
          <w:lang w:val="en-US" w:eastAsia="zh-CN" w:bidi="ar-SA"/>
        </w:rPr>
        <w:t>技术服务目标：</w:t>
      </w:r>
    </w:p>
    <w:p>
      <w:pPr>
        <w:widowControl w:val="0"/>
        <w:numPr>
          <w:ilvl w:val="0"/>
          <w:numId w:val="0"/>
        </w:numPr>
        <w:spacing w:line="480" w:lineRule="auto"/>
        <w:ind w:firstLine="560" w:firstLineChars="200"/>
        <w:jc w:val="both"/>
        <w:rPr>
          <w:rFonts w:hint="eastAsia" w:ascii="宋体" w:hAnsi="宋体" w:eastAsia="宋体" w:cs="Times New Roman"/>
          <w:bCs/>
          <w:sz w:val="28"/>
          <w:szCs w:val="28"/>
          <w:lang w:val="en-US" w:eastAsia="zh-CN" w:bidi="ar-SA"/>
        </w:rPr>
      </w:pPr>
      <w:r>
        <w:rPr>
          <w:rFonts w:hint="eastAsia" w:ascii="宋体" w:hAnsi="宋体" w:eastAsia="宋体" w:cs="Times New Roman"/>
          <w:bCs/>
          <w:sz w:val="28"/>
          <w:szCs w:val="28"/>
          <w:lang w:val="en-US" w:eastAsia="zh-CN" w:bidi="ar-SA"/>
        </w:rPr>
        <w:t>（1）手工监测流程符合国家及地方相关管理规定和标准。</w:t>
      </w:r>
    </w:p>
    <w:p>
      <w:pPr>
        <w:spacing w:line="48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（2）要求在监测完成10日内出具监测报告，其中窑头、窑尾和水泥磨在线异常情况监测要求在在线设备发生故障安排人员和设备两小时内到达现场，开展手工监测工作。</w:t>
      </w:r>
    </w:p>
    <w:p>
      <w:pPr>
        <w:pStyle w:val="2"/>
        <w:spacing w:line="480" w:lineRule="auto"/>
        <w:ind w:left="0" w:leftChars="0" w:firstLine="840" w:firstLineChars="300"/>
        <w:rPr>
          <w:rFonts w:hint="eastAsia"/>
        </w:rPr>
      </w:pPr>
      <w:r>
        <w:rPr>
          <w:rFonts w:hint="eastAsia" w:ascii="宋体" w:hAnsi="宋体" w:cs="Times New Roman"/>
          <w:kern w:val="2"/>
          <w:sz w:val="28"/>
          <w:szCs w:val="28"/>
          <w:lang w:eastAsia="zh-CN"/>
        </w:rPr>
        <w:t>五</w:t>
      </w:r>
      <w:r>
        <w:rPr>
          <w:rFonts w:hint="eastAsia" w:ascii="宋体" w:hAnsi="宋体" w:cs="Times New Roman"/>
          <w:kern w:val="2"/>
          <w:sz w:val="28"/>
          <w:szCs w:val="28"/>
        </w:rPr>
        <w:t>、技术服务内容</w:t>
      </w:r>
      <w:r>
        <w:rPr>
          <w:rFonts w:hint="eastAsia" w:ascii="宋体" w:hAnsi="宋体" w:cs="Times New Roman"/>
          <w:kern w:val="2"/>
          <w:sz w:val="28"/>
          <w:szCs w:val="28"/>
          <w:lang w:eastAsia="zh-CN"/>
        </w:rPr>
        <w:t>（监测方法以最新标准为准，可以修改）</w:t>
      </w:r>
    </w:p>
    <w:p>
      <w:pPr>
        <w:tabs>
          <w:tab w:val="left" w:pos="3755"/>
        </w:tabs>
        <w:autoSpaceDE w:val="0"/>
        <w:autoSpaceDN w:val="0"/>
        <w:spacing w:before="0" w:after="4" w:line="240" w:lineRule="auto"/>
        <w:ind w:right="0"/>
        <w:jc w:val="center"/>
        <w:rPr>
          <w:rFonts w:hint="eastAsia" w:ascii="宋体" w:hAnsi="宋体" w:eastAsia="宋体" w:cs="宋体"/>
          <w:b/>
          <w:kern w:val="0"/>
          <w:sz w:val="24"/>
          <w:szCs w:val="22"/>
          <w:lang w:val="zh-CN" w:bidi="zh-CN"/>
        </w:rPr>
      </w:pPr>
    </w:p>
    <w:p>
      <w:pPr>
        <w:tabs>
          <w:tab w:val="left" w:pos="3755"/>
        </w:tabs>
        <w:autoSpaceDE w:val="0"/>
        <w:autoSpaceDN w:val="0"/>
        <w:spacing w:before="0" w:after="4" w:line="240" w:lineRule="auto"/>
        <w:ind w:right="0"/>
        <w:jc w:val="center"/>
        <w:rPr>
          <w:rFonts w:hint="eastAsia" w:ascii="宋体" w:hAnsi="宋体" w:eastAsia="宋体" w:cs="宋体"/>
          <w:b/>
          <w:kern w:val="0"/>
          <w:sz w:val="24"/>
          <w:szCs w:val="22"/>
          <w:lang w:val="zh-CN" w:bidi="zh-CN"/>
        </w:rPr>
      </w:pPr>
    </w:p>
    <w:p>
      <w:pPr>
        <w:tabs>
          <w:tab w:val="left" w:pos="3755"/>
        </w:tabs>
        <w:autoSpaceDE w:val="0"/>
        <w:autoSpaceDN w:val="0"/>
        <w:spacing w:before="0" w:after="4" w:line="240" w:lineRule="auto"/>
        <w:ind w:right="0"/>
        <w:jc w:val="center"/>
        <w:rPr>
          <w:rFonts w:hint="eastAsia" w:ascii="宋体" w:hAnsi="宋体" w:eastAsia="宋体" w:cs="宋体"/>
          <w:b/>
          <w:kern w:val="0"/>
          <w:sz w:val="24"/>
          <w:szCs w:val="22"/>
          <w:lang w:val="zh-CN" w:bidi="zh-CN"/>
        </w:rPr>
      </w:pPr>
    </w:p>
    <w:p>
      <w:pPr>
        <w:tabs>
          <w:tab w:val="left" w:pos="3755"/>
        </w:tabs>
        <w:autoSpaceDE w:val="0"/>
        <w:autoSpaceDN w:val="0"/>
        <w:spacing w:before="0" w:after="4" w:line="240" w:lineRule="auto"/>
        <w:ind w:right="0"/>
        <w:jc w:val="center"/>
        <w:rPr>
          <w:rFonts w:ascii="宋体" w:hAnsi="宋体" w:eastAsia="宋体" w:cs="宋体"/>
          <w:b/>
          <w:kern w:val="0"/>
          <w:sz w:val="24"/>
          <w:szCs w:val="22"/>
          <w:lang w:val="zh-CN" w:bidi="zh-CN"/>
        </w:rPr>
      </w:pPr>
      <w:r>
        <w:rPr>
          <w:rFonts w:hint="eastAsia" w:ascii="宋体" w:hAnsi="宋体" w:eastAsia="宋体" w:cs="宋体"/>
          <w:b/>
          <w:kern w:val="0"/>
          <w:sz w:val="24"/>
          <w:szCs w:val="22"/>
          <w:lang w:val="zh-CN" w:bidi="zh-CN"/>
        </w:rPr>
        <w:t>表</w:t>
      </w:r>
      <w:r>
        <w:rPr>
          <w:rFonts w:hint="eastAsia" w:ascii="宋体" w:hAnsi="宋体" w:eastAsia="宋体" w:cs="宋体"/>
          <w:b/>
          <w:kern w:val="0"/>
          <w:sz w:val="24"/>
          <w:szCs w:val="22"/>
          <w:lang w:val="en-US" w:bidi="zh-CN"/>
        </w:rPr>
        <w:t xml:space="preserve">1 </w:t>
      </w:r>
      <w:r>
        <w:rPr>
          <w:rFonts w:ascii="宋体" w:hAnsi="宋体" w:eastAsia="宋体" w:cs="宋体"/>
          <w:b/>
          <w:kern w:val="0"/>
          <w:sz w:val="24"/>
          <w:szCs w:val="22"/>
          <w:lang w:val="zh-CN" w:bidi="zh-CN"/>
        </w:rPr>
        <w:t>废气污染源手工监测内容一览表</w:t>
      </w:r>
    </w:p>
    <w:p>
      <w:pPr>
        <w:pStyle w:val="2"/>
        <w:ind w:left="0" w:leftChars="0" w:firstLine="0" w:firstLineChars="0"/>
        <w:rPr>
          <w:lang w:val="zh-CN"/>
        </w:rPr>
      </w:pPr>
    </w:p>
    <w:tbl>
      <w:tblPr>
        <w:tblStyle w:val="7"/>
        <w:tblW w:w="97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663"/>
        <w:gridCol w:w="3546"/>
        <w:gridCol w:w="1770"/>
        <w:gridCol w:w="1110"/>
        <w:gridCol w:w="1185"/>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575"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序号</w:t>
            </w:r>
          </w:p>
        </w:tc>
        <w:tc>
          <w:tcPr>
            <w:tcW w:w="663"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污染源类型</w:t>
            </w:r>
          </w:p>
        </w:tc>
        <w:tc>
          <w:tcPr>
            <w:tcW w:w="3546"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污染源名称</w:t>
            </w:r>
          </w:p>
        </w:tc>
        <w:tc>
          <w:tcPr>
            <w:tcW w:w="1770"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监测点位</w:t>
            </w:r>
          </w:p>
        </w:tc>
        <w:tc>
          <w:tcPr>
            <w:tcW w:w="1110"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监测项目</w:t>
            </w:r>
          </w:p>
        </w:tc>
        <w:tc>
          <w:tcPr>
            <w:tcW w:w="1185"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监测频次</w:t>
            </w:r>
          </w:p>
        </w:tc>
        <w:tc>
          <w:tcPr>
            <w:tcW w:w="855"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样品</w:t>
            </w:r>
          </w:p>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个数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0" w:after="0" w:line="253" w:lineRule="exact"/>
              <w:ind w:left="10" w:right="0"/>
              <w:jc w:val="center"/>
              <w:rPr>
                <w:rFonts w:ascii="宋体" w:hAnsi="宋体" w:eastAsia="宋体" w:cs="宋体"/>
                <w:kern w:val="0"/>
                <w:sz w:val="24"/>
                <w:szCs w:val="24"/>
                <w:lang w:val="zh-CN" w:eastAsia="zh-CN" w:bidi="zh-CN"/>
              </w:rPr>
            </w:pPr>
            <w:r>
              <w:rPr>
                <w:rFonts w:ascii="宋体" w:hAnsi="宋体" w:eastAsia="宋体" w:cs="宋体"/>
                <w:kern w:val="0"/>
                <w:sz w:val="24"/>
                <w:szCs w:val="24"/>
                <w:lang w:val="zh-CN" w:eastAsia="zh-CN" w:bidi="zh-CN"/>
              </w:rPr>
              <w:t>1</w:t>
            </w:r>
          </w:p>
        </w:tc>
        <w:tc>
          <w:tcPr>
            <w:tcW w:w="663" w:type="dxa"/>
            <w:vMerge w:val="restart"/>
            <w:vAlign w:val="center"/>
          </w:tcPr>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3" w:after="0" w:line="240" w:lineRule="auto"/>
              <w:ind w:left="0" w:right="0"/>
              <w:jc w:val="center"/>
              <w:rPr>
                <w:rFonts w:ascii="宋体" w:hAnsi="宋体" w:eastAsia="宋体" w:cs="宋体"/>
                <w:b/>
                <w:kern w:val="0"/>
                <w:sz w:val="24"/>
                <w:szCs w:val="24"/>
                <w:lang w:val="zh-CN" w:eastAsia="zh-CN" w:bidi="zh-CN"/>
              </w:rPr>
            </w:pPr>
          </w:p>
          <w:p>
            <w:pPr>
              <w:widowControl w:val="0"/>
              <w:autoSpaceDE w:val="0"/>
              <w:autoSpaceDN w:val="0"/>
              <w:spacing w:before="0" w:after="0" w:line="242" w:lineRule="auto"/>
              <w:ind w:left="225" w:right="215"/>
              <w:jc w:val="center"/>
              <w:rPr>
                <w:rFonts w:ascii="宋体" w:hAnsi="宋体" w:eastAsia="宋体" w:cs="宋体"/>
                <w:kern w:val="0"/>
                <w:sz w:val="24"/>
                <w:szCs w:val="24"/>
                <w:lang w:val="zh-CN" w:eastAsia="zh-CN" w:bidi="zh-CN"/>
              </w:rPr>
            </w:pPr>
            <w:r>
              <w:rPr>
                <w:rFonts w:ascii="宋体" w:hAnsi="宋体" w:eastAsia="宋体" w:cs="宋体"/>
                <w:kern w:val="0"/>
                <w:sz w:val="24"/>
                <w:szCs w:val="24"/>
                <w:lang w:val="zh-CN" w:eastAsia="zh-CN" w:bidi="zh-CN"/>
              </w:rPr>
              <w:t>固定源废气</w:t>
            </w:r>
          </w:p>
        </w:tc>
        <w:tc>
          <w:tcPr>
            <w:tcW w:w="3546"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石灰石破碎</w:t>
            </w:r>
          </w:p>
        </w:tc>
        <w:tc>
          <w:tcPr>
            <w:tcW w:w="1770"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排气筒出口</w:t>
            </w: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restart"/>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每半年1次</w:t>
            </w:r>
          </w:p>
        </w:tc>
        <w:tc>
          <w:tcPr>
            <w:tcW w:w="855" w:type="dxa"/>
            <w:vMerge w:val="restart"/>
          </w:tcPr>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0" w:after="0" w:line="240" w:lineRule="auto"/>
              <w:ind w:left="0" w:right="0"/>
              <w:jc w:val="left"/>
              <w:rPr>
                <w:rFonts w:ascii="宋体" w:hAnsi="宋体" w:eastAsia="宋体" w:cs="宋体"/>
                <w:b/>
                <w:kern w:val="0"/>
                <w:sz w:val="20"/>
                <w:szCs w:val="22"/>
                <w:lang w:val="zh-CN" w:eastAsia="zh-CN" w:bidi="zh-CN"/>
              </w:rPr>
            </w:pPr>
          </w:p>
          <w:p>
            <w:pPr>
              <w:widowControl w:val="0"/>
              <w:autoSpaceDE w:val="0"/>
              <w:autoSpaceDN w:val="0"/>
              <w:spacing w:before="3" w:after="0" w:line="240" w:lineRule="auto"/>
              <w:ind w:left="0" w:right="0"/>
              <w:jc w:val="left"/>
              <w:rPr>
                <w:rFonts w:ascii="宋体" w:hAnsi="宋体" w:eastAsia="宋体" w:cs="宋体"/>
                <w:b/>
                <w:kern w:val="0"/>
                <w:sz w:val="18"/>
                <w:szCs w:val="22"/>
                <w:lang w:val="zh-CN" w:eastAsia="zh-CN" w:bidi="zh-CN"/>
              </w:rPr>
            </w:pPr>
          </w:p>
          <w:p>
            <w:pPr>
              <w:widowControl w:val="0"/>
              <w:autoSpaceDE w:val="0"/>
              <w:autoSpaceDN w:val="0"/>
              <w:spacing w:before="0" w:after="0" w:line="242" w:lineRule="auto"/>
              <w:ind w:left="161" w:right="129"/>
              <w:jc w:val="both"/>
              <w:rPr>
                <w:rFonts w:ascii="宋体" w:hAnsi="宋体" w:eastAsia="宋体" w:cs="宋体"/>
                <w:kern w:val="0"/>
                <w:sz w:val="21"/>
                <w:szCs w:val="22"/>
                <w:lang w:val="zh-CN" w:eastAsia="zh-CN" w:bidi="zh-CN"/>
              </w:rPr>
            </w:pPr>
            <w:r>
              <w:rPr>
                <w:rFonts w:ascii="宋体" w:hAnsi="宋体" w:eastAsia="宋体" w:cs="宋体"/>
                <w:kern w:val="0"/>
                <w:sz w:val="24"/>
                <w:szCs w:val="24"/>
                <w:lang w:val="zh-CN" w:eastAsia="zh-CN" w:bidi="zh-CN"/>
              </w:rPr>
              <w:t>非连续采样至</w:t>
            </w:r>
            <w:r>
              <w:rPr>
                <w:rFonts w:hint="eastAsia" w:ascii="宋体" w:hAnsi="宋体" w:eastAsia="宋体" w:cs="宋体"/>
                <w:kern w:val="0"/>
                <w:sz w:val="24"/>
                <w:szCs w:val="24"/>
                <w:lang w:val="zh-CN" w:eastAsia="zh-CN" w:bidi="zh-CN"/>
              </w:rPr>
              <w:t>少</w:t>
            </w:r>
            <w:r>
              <w:rPr>
                <w:rFonts w:ascii="宋体" w:hAnsi="宋体" w:eastAsia="宋体" w:cs="宋体"/>
                <w:kern w:val="0"/>
                <w:sz w:val="24"/>
                <w:szCs w:val="24"/>
                <w:lang w:val="zh-CN" w:eastAsia="zh-CN" w:bidi="zh-CN"/>
              </w:rPr>
              <w:t>3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煤磨</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tcPr>
          <w:p>
            <w:pPr>
              <w:widowControl w:val="0"/>
              <w:autoSpaceDE w:val="0"/>
              <w:autoSpaceDN w:val="0"/>
              <w:spacing w:before="0" w:after="0" w:line="240" w:lineRule="auto"/>
              <w:ind w:left="120" w:right="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1#辊压机</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2#辊压机</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1#水泥磨机</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6</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2#水泥磨机</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7</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水泥包装1#包装机</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8</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水泥包装2#包装机</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9</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水泥包装3#包装机</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10</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水泥包装4#包装机</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11</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水泥1#散装仓</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12</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水泥2#散装仓</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13</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水泥3#散装仓</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14</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水泥4#散装仓</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15</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矿渣微粉储存库侧</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0" w:after="0" w:line="252" w:lineRule="exact"/>
              <w:ind w:left="162" w:leftChars="0" w:right="152" w:rightChars="0"/>
              <w:jc w:val="center"/>
              <w:rPr>
                <w:rFonts w:ascii="宋体" w:hAnsi="宋体" w:eastAsia="宋体" w:cs="宋体"/>
                <w:kern w:val="0"/>
                <w:sz w:val="24"/>
                <w:szCs w:val="24"/>
                <w:lang w:val="zh-CN" w:eastAsia="zh-CN" w:bidi="zh-CN"/>
              </w:rPr>
            </w:pPr>
            <w:r>
              <w:rPr>
                <w:rFonts w:ascii="宋体" w:hAnsi="宋体" w:eastAsia="宋体" w:cs="宋体"/>
                <w:kern w:val="0"/>
                <w:sz w:val="24"/>
                <w:szCs w:val="24"/>
                <w:lang w:val="zh-CN" w:eastAsia="zh-CN" w:bidi="zh-CN"/>
              </w:rPr>
              <w:t>16</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5#水泥散装仓</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0" w:after="0" w:line="252" w:lineRule="exact"/>
              <w:ind w:left="162" w:leftChars="0" w:right="152" w:rightChars="0"/>
              <w:jc w:val="center"/>
              <w:rPr>
                <w:rFonts w:ascii="宋体" w:hAnsi="宋体" w:eastAsia="宋体" w:cs="宋体"/>
                <w:kern w:val="0"/>
                <w:sz w:val="24"/>
                <w:szCs w:val="24"/>
                <w:lang w:val="zh-CN" w:eastAsia="zh-CN" w:bidi="zh-CN"/>
              </w:rPr>
            </w:pPr>
            <w:r>
              <w:rPr>
                <w:rFonts w:ascii="宋体" w:hAnsi="宋体" w:eastAsia="宋体" w:cs="宋体"/>
                <w:kern w:val="0"/>
                <w:sz w:val="24"/>
                <w:szCs w:val="24"/>
                <w:lang w:val="zh-CN" w:eastAsia="zh-CN" w:bidi="zh-CN"/>
              </w:rPr>
              <w:t>17</w:t>
            </w:r>
          </w:p>
        </w:tc>
        <w:tc>
          <w:tcPr>
            <w:tcW w:w="663" w:type="dxa"/>
            <w:vMerge w:val="continue"/>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6#水泥散装仓</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颗粒物</w:t>
            </w:r>
          </w:p>
        </w:tc>
        <w:tc>
          <w:tcPr>
            <w:tcW w:w="1185" w:type="dxa"/>
            <w:vMerge w:val="continue"/>
            <w:vAlign w:val="top"/>
          </w:tcPr>
          <w:p>
            <w:pPr>
              <w:widowControl w:val="0"/>
              <w:autoSpaceDE w:val="0"/>
              <w:autoSpaceDN w:val="0"/>
              <w:spacing w:before="0" w:after="0" w:line="240" w:lineRule="auto"/>
              <w:ind w:left="120" w:leftChars="0" w:right="0" w:rightChars="0"/>
              <w:jc w:val="left"/>
              <w:rPr>
                <w:rFonts w:ascii="宋体" w:hAnsi="宋体" w:eastAsia="宋体" w:cs="宋体"/>
                <w:kern w:val="0"/>
                <w:sz w:val="24"/>
                <w:szCs w:val="24"/>
                <w:lang w:val="zh-CN" w:eastAsia="zh-CN" w:bidi="zh-CN"/>
              </w:rPr>
            </w:pPr>
          </w:p>
        </w:tc>
        <w:tc>
          <w:tcPr>
            <w:tcW w:w="855" w:type="dxa"/>
            <w:vMerge w:val="continue"/>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exact"/>
          <w:jc w:val="center"/>
        </w:trPr>
        <w:tc>
          <w:tcPr>
            <w:tcW w:w="575" w:type="dxa"/>
            <w:vAlign w:val="center"/>
          </w:tcPr>
          <w:p>
            <w:pPr>
              <w:widowControl w:val="0"/>
              <w:autoSpaceDE w:val="0"/>
              <w:autoSpaceDN w:val="0"/>
              <w:spacing w:before="4" w:after="0" w:line="256" w:lineRule="exact"/>
              <w:ind w:left="161" w:leftChars="0" w:right="152" w:rightChars="0"/>
              <w:jc w:val="center"/>
              <w:rPr>
                <w:rFonts w:ascii="宋体" w:hAnsi="宋体" w:eastAsia="宋体" w:cs="宋体"/>
                <w:kern w:val="0"/>
                <w:sz w:val="24"/>
                <w:szCs w:val="24"/>
                <w:lang w:val="zh-CN" w:eastAsia="zh-CN" w:bidi="zh-CN"/>
              </w:rPr>
            </w:pPr>
            <w:r>
              <w:rPr>
                <w:rFonts w:ascii="宋体" w:hAnsi="宋体" w:eastAsia="宋体" w:cs="宋体"/>
                <w:kern w:val="0"/>
                <w:sz w:val="24"/>
                <w:szCs w:val="24"/>
                <w:lang w:val="zh-CN" w:eastAsia="zh-CN" w:bidi="zh-CN"/>
              </w:rPr>
              <w:t>18</w:t>
            </w:r>
          </w:p>
        </w:tc>
        <w:tc>
          <w:tcPr>
            <w:tcW w:w="663" w:type="dxa"/>
            <w:vMerge w:val="continue"/>
            <w:tcBorders>
              <w:top w:val="nil"/>
              <w:bottom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矿渣磨</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SO2、NOx</w:t>
            </w:r>
          </w:p>
        </w:tc>
        <w:tc>
          <w:tcPr>
            <w:tcW w:w="1185" w:type="dxa"/>
            <w:vMerge w:val="continue"/>
            <w:vAlign w:val="center"/>
          </w:tcPr>
          <w:p>
            <w:pPr>
              <w:jc w:val="center"/>
              <w:rPr>
                <w:rFonts w:hint="eastAsia" w:ascii="宋体" w:hAnsi="宋体" w:eastAsia="宋体" w:cs="宋体"/>
                <w:kern w:val="0"/>
                <w:sz w:val="24"/>
                <w:szCs w:val="24"/>
                <w:lang w:val="zh-CN" w:eastAsia="zh-CN" w:bidi="ar-SA"/>
              </w:rPr>
            </w:pPr>
          </w:p>
        </w:tc>
        <w:tc>
          <w:tcPr>
            <w:tcW w:w="855" w:type="dxa"/>
            <w:vMerge w:val="continue"/>
            <w:tcBorders>
              <w:top w:val="nil"/>
              <w:bottom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0" w:after="0" w:line="252" w:lineRule="exact"/>
              <w:ind w:left="161" w:leftChars="0" w:right="152" w:rightChars="0"/>
              <w:jc w:val="center"/>
              <w:rPr>
                <w:rFonts w:ascii="宋体" w:hAnsi="宋体" w:eastAsia="宋体" w:cs="宋体"/>
                <w:kern w:val="0"/>
                <w:sz w:val="24"/>
                <w:szCs w:val="24"/>
                <w:lang w:val="zh-CN" w:eastAsia="zh-CN" w:bidi="zh-CN"/>
              </w:rPr>
            </w:pPr>
            <w:r>
              <w:rPr>
                <w:rFonts w:ascii="宋体" w:hAnsi="宋体" w:eastAsia="宋体" w:cs="宋体"/>
                <w:kern w:val="0"/>
                <w:sz w:val="24"/>
                <w:szCs w:val="24"/>
                <w:lang w:val="zh-CN" w:eastAsia="zh-CN" w:bidi="zh-CN"/>
              </w:rPr>
              <w:t>19</w:t>
            </w:r>
          </w:p>
        </w:tc>
        <w:tc>
          <w:tcPr>
            <w:tcW w:w="663" w:type="dxa"/>
            <w:tcBorders>
              <w:top w:val="nil"/>
              <w:bottom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1＃矿渣微粉储存库顶</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restart"/>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每两年一次</w:t>
            </w:r>
          </w:p>
        </w:tc>
        <w:tc>
          <w:tcPr>
            <w:tcW w:w="855" w:type="dxa"/>
            <w:tcBorders>
              <w:top w:val="nil"/>
              <w:bottom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 w:after="0" w:line="252" w:lineRule="exact"/>
              <w:ind w:left="161" w:leftChars="0" w:right="152" w:rightChars="0"/>
              <w:jc w:val="center"/>
              <w:rPr>
                <w:rFonts w:ascii="宋体" w:hAnsi="宋体" w:eastAsia="宋体" w:cs="宋体"/>
                <w:kern w:val="0"/>
                <w:sz w:val="24"/>
                <w:szCs w:val="24"/>
                <w:lang w:val="zh-CN" w:eastAsia="zh-CN" w:bidi="zh-CN"/>
              </w:rPr>
            </w:pPr>
            <w:r>
              <w:rPr>
                <w:rFonts w:ascii="宋体" w:hAnsi="宋体" w:eastAsia="宋体" w:cs="宋体"/>
                <w:kern w:val="0"/>
                <w:sz w:val="24"/>
                <w:szCs w:val="24"/>
                <w:lang w:val="zh-CN" w:eastAsia="zh-CN" w:bidi="zh-CN"/>
              </w:rPr>
              <w:t>20</w:t>
            </w:r>
          </w:p>
        </w:tc>
        <w:tc>
          <w:tcPr>
            <w:tcW w:w="663" w:type="dxa"/>
            <w:tcBorders>
              <w:top w:val="nil"/>
              <w:bottom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2＃矿渣微粉储存库顶</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center"/>
          </w:tcPr>
          <w:p>
            <w:pPr>
              <w:jc w:val="center"/>
              <w:rPr>
                <w:rFonts w:hint="eastAsia" w:ascii="宋体" w:hAnsi="宋体" w:eastAsia="宋体" w:cs="宋体"/>
                <w:kern w:val="0"/>
                <w:sz w:val="24"/>
                <w:szCs w:val="24"/>
                <w:lang w:val="zh-CN" w:eastAsia="zh-CN" w:bidi="ar-SA"/>
              </w:rPr>
            </w:pPr>
          </w:p>
        </w:tc>
        <w:tc>
          <w:tcPr>
            <w:tcW w:w="855" w:type="dxa"/>
            <w:tcBorders>
              <w:top w:val="nil"/>
              <w:bottom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69" w:after="0" w:line="240" w:lineRule="auto"/>
              <w:ind w:left="161" w:leftChars="0" w:right="152" w:rightChars="0"/>
              <w:jc w:val="center"/>
              <w:rPr>
                <w:rFonts w:ascii="宋体" w:hAnsi="宋体" w:eastAsia="宋体" w:cs="宋体"/>
                <w:kern w:val="0"/>
                <w:sz w:val="24"/>
                <w:szCs w:val="24"/>
                <w:lang w:val="zh-CN" w:eastAsia="zh-CN" w:bidi="zh-CN"/>
              </w:rPr>
            </w:pPr>
            <w:r>
              <w:rPr>
                <w:rFonts w:ascii="宋体" w:hAnsi="宋体" w:eastAsia="宋体" w:cs="宋体"/>
                <w:kern w:val="0"/>
                <w:sz w:val="24"/>
                <w:szCs w:val="24"/>
                <w:lang w:val="zh-CN" w:eastAsia="zh-CN" w:bidi="zh-CN"/>
              </w:rPr>
              <w:t>21</w:t>
            </w:r>
          </w:p>
        </w:tc>
        <w:tc>
          <w:tcPr>
            <w:tcW w:w="663" w:type="dxa"/>
            <w:tcBorders>
              <w:top w:val="nil"/>
              <w:bottom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水泥配料站熟料库顶</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center"/>
          </w:tcPr>
          <w:p>
            <w:pPr>
              <w:jc w:val="center"/>
              <w:rPr>
                <w:rFonts w:hint="eastAsia" w:ascii="宋体" w:hAnsi="宋体" w:eastAsia="宋体" w:cs="宋体"/>
                <w:kern w:val="0"/>
                <w:sz w:val="24"/>
                <w:szCs w:val="24"/>
                <w:lang w:val="zh-CN" w:eastAsia="zh-CN" w:bidi="ar-SA"/>
              </w:rPr>
            </w:pPr>
          </w:p>
        </w:tc>
        <w:tc>
          <w:tcPr>
            <w:tcW w:w="855" w:type="dxa"/>
            <w:tcBorders>
              <w:top w:val="nil"/>
              <w:bottom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22</w:t>
            </w:r>
          </w:p>
        </w:tc>
        <w:tc>
          <w:tcPr>
            <w:tcW w:w="663" w:type="dxa"/>
            <w:tcBorders>
              <w:top w:val="nil"/>
              <w:bottom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水泥配料站石灰石库顶</w:t>
            </w:r>
          </w:p>
        </w:tc>
        <w:tc>
          <w:tcPr>
            <w:tcW w:w="1770" w:type="dxa"/>
            <w:vMerge w:val="continue"/>
            <w:vAlign w:val="center"/>
          </w:tcPr>
          <w:p>
            <w:pPr>
              <w:jc w:val="center"/>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center"/>
          </w:tcPr>
          <w:p>
            <w:pPr>
              <w:jc w:val="center"/>
              <w:rPr>
                <w:rFonts w:hint="eastAsia" w:ascii="宋体" w:hAnsi="宋体" w:eastAsia="宋体" w:cs="宋体"/>
                <w:kern w:val="0"/>
                <w:sz w:val="24"/>
                <w:szCs w:val="24"/>
                <w:lang w:val="zh-CN" w:eastAsia="zh-CN" w:bidi="ar-SA"/>
              </w:rPr>
            </w:pPr>
          </w:p>
        </w:tc>
        <w:tc>
          <w:tcPr>
            <w:tcW w:w="855" w:type="dxa"/>
            <w:tcBorders>
              <w:top w:val="nil"/>
              <w:bottom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23</w:t>
            </w:r>
          </w:p>
        </w:tc>
        <w:tc>
          <w:tcPr>
            <w:tcW w:w="663" w:type="dxa"/>
            <w:tcBorders>
              <w:top w:val="nil"/>
              <w:bottom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熟料粉仓 172.05</w:t>
            </w:r>
          </w:p>
        </w:tc>
        <w:tc>
          <w:tcPr>
            <w:tcW w:w="1770" w:type="dxa"/>
            <w:vMerge w:val="continue"/>
            <w:vAlign w:val="center"/>
          </w:tcPr>
          <w:p>
            <w:pPr>
              <w:jc w:val="both"/>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center"/>
          </w:tcPr>
          <w:p>
            <w:pPr>
              <w:jc w:val="center"/>
              <w:rPr>
                <w:rFonts w:hint="eastAsia" w:ascii="宋体" w:hAnsi="宋体" w:eastAsia="宋体" w:cs="宋体"/>
                <w:kern w:val="0"/>
                <w:sz w:val="24"/>
                <w:szCs w:val="24"/>
                <w:lang w:val="zh-CN" w:eastAsia="zh-CN" w:bidi="ar-SA"/>
              </w:rPr>
            </w:pPr>
          </w:p>
        </w:tc>
        <w:tc>
          <w:tcPr>
            <w:tcW w:w="855" w:type="dxa"/>
            <w:tcBorders>
              <w:top w:val="nil"/>
              <w:bottom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5" w:after="0" w:line="240" w:lineRule="auto"/>
              <w:ind w:left="10" w:right="0"/>
              <w:jc w:val="center"/>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24</w:t>
            </w:r>
          </w:p>
        </w:tc>
        <w:tc>
          <w:tcPr>
            <w:tcW w:w="663" w:type="dxa"/>
            <w:tcBorders>
              <w:top w:val="nil"/>
            </w:tcBorders>
            <w:vAlign w:val="center"/>
          </w:tcPr>
          <w:p>
            <w:pPr>
              <w:autoSpaceDE w:val="0"/>
              <w:autoSpaceDN w:val="0"/>
              <w:spacing w:before="0" w:after="0" w:line="240" w:lineRule="auto"/>
              <w:ind w:left="0" w:right="0"/>
              <w:jc w:val="center"/>
              <w:rPr>
                <w:rFonts w:ascii="宋体" w:hAnsi="宋体" w:eastAsia="宋体" w:cs="宋体"/>
                <w:kern w:val="0"/>
                <w:sz w:val="24"/>
                <w:szCs w:val="24"/>
                <w:lang w:val="zh-CN" w:bidi="zh-CN"/>
              </w:rPr>
            </w:pPr>
          </w:p>
        </w:tc>
        <w:tc>
          <w:tcPr>
            <w:tcW w:w="3546"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矿渣微粉仓 172.06</w:t>
            </w:r>
          </w:p>
        </w:tc>
        <w:tc>
          <w:tcPr>
            <w:tcW w:w="1770" w:type="dxa"/>
            <w:vMerge w:val="continue"/>
            <w:vAlign w:val="center"/>
          </w:tcPr>
          <w:p>
            <w:pPr>
              <w:jc w:val="both"/>
              <w:rPr>
                <w:rFonts w:hint="eastAsia" w:ascii="宋体" w:hAnsi="宋体" w:eastAsia="宋体" w:cs="宋体"/>
                <w:kern w:val="0"/>
                <w:sz w:val="24"/>
                <w:szCs w:val="24"/>
                <w:lang w:val="zh-CN"/>
              </w:rPr>
            </w:pPr>
          </w:p>
        </w:tc>
        <w:tc>
          <w:tcPr>
            <w:tcW w:w="111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185" w:type="dxa"/>
            <w:vMerge w:val="continue"/>
            <w:vAlign w:val="center"/>
          </w:tcPr>
          <w:p>
            <w:pPr>
              <w:jc w:val="center"/>
              <w:rPr>
                <w:rFonts w:hint="eastAsia" w:ascii="宋体" w:hAnsi="宋体" w:eastAsia="宋体" w:cs="宋体"/>
                <w:kern w:val="0"/>
                <w:sz w:val="24"/>
                <w:szCs w:val="24"/>
                <w:lang w:val="zh-CN" w:eastAsia="zh-CN" w:bidi="ar-SA"/>
              </w:rPr>
            </w:pPr>
          </w:p>
        </w:tc>
        <w:tc>
          <w:tcPr>
            <w:tcW w:w="855" w:type="dxa"/>
            <w:tcBorders>
              <w:top w:val="nil"/>
            </w:tcBorders>
          </w:tcPr>
          <w:p>
            <w:pPr>
              <w:autoSpaceDE w:val="0"/>
              <w:autoSpaceDN w:val="0"/>
              <w:spacing w:before="0" w:after="0" w:line="240" w:lineRule="auto"/>
              <w:ind w:left="0" w:right="0"/>
              <w:jc w:val="left"/>
              <w:rPr>
                <w:rFonts w:ascii="宋体" w:hAnsi="宋体" w:eastAsia="宋体" w:cs="宋体"/>
                <w:kern w:val="0"/>
                <w:sz w:val="2"/>
                <w:szCs w:val="2"/>
                <w:lang w:val="zh-CN" w:bidi="zh-CN"/>
              </w:rPr>
            </w:pPr>
          </w:p>
        </w:tc>
      </w:tr>
    </w:tbl>
    <w:p>
      <w:pPr>
        <w:spacing w:after="0"/>
        <w:rPr>
          <w:sz w:val="2"/>
          <w:szCs w:val="2"/>
        </w:rPr>
        <w:sectPr>
          <w:pgSz w:w="11910" w:h="16840"/>
          <w:pgMar w:top="1580" w:right="960" w:bottom="900" w:left="980" w:header="0" w:footer="640" w:gutter="0"/>
          <w:cols w:space="720" w:num="1"/>
        </w:sectPr>
      </w:pPr>
    </w:p>
    <w:p>
      <w:pPr>
        <w:spacing w:after="0"/>
        <w:rPr>
          <w:sz w:val="2"/>
          <w:szCs w:val="2"/>
        </w:rPr>
      </w:pPr>
    </w:p>
    <w:p>
      <w:pPr>
        <w:tabs>
          <w:tab w:val="left" w:pos="888"/>
        </w:tabs>
        <w:bidi w:val="0"/>
        <w:jc w:val="left"/>
        <w:rPr>
          <w:lang w:val="en-US" w:eastAsia="zh-CN"/>
        </w:rPr>
      </w:pPr>
    </w:p>
    <w:tbl>
      <w:tblPr>
        <w:tblStyle w:val="7"/>
        <w:tblW w:w="97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663"/>
        <w:gridCol w:w="3546"/>
        <w:gridCol w:w="1785"/>
        <w:gridCol w:w="1095"/>
        <w:gridCol w:w="1200"/>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575"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序号</w:t>
            </w:r>
          </w:p>
        </w:tc>
        <w:tc>
          <w:tcPr>
            <w:tcW w:w="663"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污染源类型</w:t>
            </w:r>
          </w:p>
        </w:tc>
        <w:tc>
          <w:tcPr>
            <w:tcW w:w="3546"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污染源名称</w:t>
            </w:r>
          </w:p>
        </w:tc>
        <w:tc>
          <w:tcPr>
            <w:tcW w:w="1785"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监测点位</w:t>
            </w:r>
          </w:p>
        </w:tc>
        <w:tc>
          <w:tcPr>
            <w:tcW w:w="1095"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监测项目</w:t>
            </w:r>
          </w:p>
        </w:tc>
        <w:tc>
          <w:tcPr>
            <w:tcW w:w="1200"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监测频次</w:t>
            </w:r>
          </w:p>
        </w:tc>
        <w:tc>
          <w:tcPr>
            <w:tcW w:w="840"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样品</w:t>
            </w:r>
          </w:p>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个数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0" w:after="0" w:line="252" w:lineRule="exact"/>
              <w:ind w:left="161" w:leftChars="0" w:right="152" w:rightChars="0"/>
              <w:jc w:val="center"/>
              <w:rPr>
                <w:rFonts w:hint="eastAsia" w:ascii="宋体" w:hAnsi="宋体" w:eastAsia="宋体" w:cs="宋体"/>
                <w:kern w:val="0"/>
                <w:sz w:val="24"/>
                <w:szCs w:val="24"/>
                <w:lang w:val="zh-CN" w:eastAsia="zh-CN" w:bidi="zh-CN"/>
              </w:rPr>
            </w:pPr>
            <w:r>
              <w:rPr>
                <w:rFonts w:ascii="宋体" w:hAnsi="宋体" w:eastAsia="宋体" w:cs="宋体"/>
                <w:kern w:val="0"/>
                <w:sz w:val="24"/>
                <w:szCs w:val="24"/>
                <w:lang w:val="zh-CN" w:eastAsia="zh-CN" w:bidi="zh-CN"/>
              </w:rPr>
              <w:t>25</w:t>
            </w:r>
          </w:p>
        </w:tc>
        <w:tc>
          <w:tcPr>
            <w:tcW w:w="663" w:type="dxa"/>
            <w:vMerge w:val="restart"/>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1#水泥库顶</w:t>
            </w:r>
          </w:p>
        </w:tc>
        <w:tc>
          <w:tcPr>
            <w:tcW w:w="1785" w:type="dxa"/>
            <w:vMerge w:val="restart"/>
            <w:tcBorders>
              <w:top w:val="nil"/>
            </w:tcBorders>
            <w:vAlign w:val="center"/>
          </w:tcPr>
          <w:p>
            <w:pPr>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eastAsia="zh-CN"/>
              </w:rPr>
              <w:t>排气筒出口</w:t>
            </w: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restart"/>
            <w:tcBorders>
              <w:top w:val="nil"/>
            </w:tcBorders>
          </w:tcPr>
          <w:p>
            <w:pPr>
              <w:rPr>
                <w:rFonts w:eastAsia="宋体" w:cs="Times New Roman"/>
                <w:kern w:val="0"/>
                <w:sz w:val="20"/>
                <w:szCs w:val="20"/>
                <w:lang w:val="zh-CN"/>
              </w:rPr>
            </w:pPr>
          </w:p>
        </w:tc>
        <w:tc>
          <w:tcPr>
            <w:tcW w:w="840" w:type="dxa"/>
            <w:vMerge w:val="restart"/>
            <w:tcBorders>
              <w:top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6" w:after="0" w:line="240" w:lineRule="auto"/>
              <w:ind w:left="161" w:leftChars="0" w:right="152" w:rightChars="0"/>
              <w:jc w:val="center"/>
              <w:rPr>
                <w:rFonts w:hint="eastAsia" w:ascii="宋体" w:hAnsi="宋体" w:eastAsia="宋体" w:cs="宋体"/>
                <w:kern w:val="0"/>
                <w:sz w:val="24"/>
                <w:szCs w:val="24"/>
                <w:lang w:val="zh-CN" w:eastAsia="zh-CN" w:bidi="zh-CN"/>
              </w:rPr>
            </w:pPr>
            <w:r>
              <w:rPr>
                <w:rFonts w:ascii="宋体" w:hAnsi="宋体" w:eastAsia="宋体" w:cs="宋体"/>
                <w:kern w:val="0"/>
                <w:sz w:val="24"/>
                <w:szCs w:val="24"/>
                <w:lang w:val="zh-CN" w:eastAsia="zh-CN" w:bidi="zh-CN"/>
              </w:rPr>
              <w:t>26</w:t>
            </w:r>
          </w:p>
        </w:tc>
        <w:tc>
          <w:tcPr>
            <w:tcW w:w="663" w:type="dxa"/>
            <w:vMerge w:val="continue"/>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2#水泥库顶</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continue"/>
            <w:tcBorders>
              <w:top w:val="nil"/>
            </w:tcBorders>
          </w:tcPr>
          <w:p>
            <w:pPr>
              <w:rPr>
                <w:rFonts w:eastAsia="宋体" w:cs="Times New Roman"/>
                <w:kern w:val="0"/>
                <w:sz w:val="20"/>
                <w:szCs w:val="20"/>
                <w:lang w:val="zh-CN"/>
              </w:rPr>
            </w:pPr>
          </w:p>
        </w:tc>
        <w:tc>
          <w:tcPr>
            <w:tcW w:w="840" w:type="dxa"/>
            <w:vMerge w:val="continue"/>
            <w:tcBorders>
              <w:top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widowControl w:val="0"/>
              <w:autoSpaceDE w:val="0"/>
              <w:autoSpaceDN w:val="0"/>
              <w:spacing w:before="136" w:after="0" w:line="240" w:lineRule="auto"/>
              <w:ind w:left="161" w:leftChars="0" w:right="152" w:rightChars="0"/>
              <w:jc w:val="center"/>
              <w:rPr>
                <w:rFonts w:hint="eastAsia" w:ascii="宋体" w:hAnsi="宋体" w:eastAsia="宋体" w:cs="宋体"/>
                <w:kern w:val="0"/>
                <w:sz w:val="24"/>
                <w:szCs w:val="24"/>
                <w:lang w:val="zh-CN" w:eastAsia="zh-CN" w:bidi="zh-CN"/>
              </w:rPr>
            </w:pPr>
            <w:r>
              <w:rPr>
                <w:rFonts w:ascii="宋体" w:hAnsi="宋体" w:eastAsia="宋体" w:cs="宋体"/>
                <w:kern w:val="0"/>
                <w:sz w:val="24"/>
                <w:szCs w:val="24"/>
                <w:lang w:val="zh-CN" w:eastAsia="zh-CN" w:bidi="zh-CN"/>
              </w:rPr>
              <w:t>27</w:t>
            </w:r>
          </w:p>
        </w:tc>
        <w:tc>
          <w:tcPr>
            <w:tcW w:w="663" w:type="dxa"/>
            <w:vMerge w:val="continue"/>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3#水泥库顶</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continue"/>
            <w:tcBorders>
              <w:top w:val="nil"/>
            </w:tcBorders>
          </w:tcPr>
          <w:p>
            <w:pPr>
              <w:rPr>
                <w:rFonts w:eastAsia="宋体" w:cs="Times New Roman"/>
                <w:kern w:val="0"/>
                <w:sz w:val="20"/>
                <w:szCs w:val="20"/>
                <w:lang w:val="zh-CN"/>
              </w:rPr>
            </w:pPr>
          </w:p>
        </w:tc>
        <w:tc>
          <w:tcPr>
            <w:tcW w:w="840" w:type="dxa"/>
            <w:vMerge w:val="continue"/>
            <w:tcBorders>
              <w:top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28</w:t>
            </w:r>
          </w:p>
        </w:tc>
        <w:tc>
          <w:tcPr>
            <w:tcW w:w="663" w:type="dxa"/>
            <w:vMerge w:val="continue"/>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4#水泥库顶</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continue"/>
            <w:tcBorders>
              <w:top w:val="nil"/>
            </w:tcBorders>
          </w:tcPr>
          <w:p>
            <w:pPr>
              <w:rPr>
                <w:rFonts w:eastAsia="宋体" w:cs="Times New Roman"/>
                <w:kern w:val="0"/>
                <w:sz w:val="20"/>
                <w:szCs w:val="20"/>
                <w:lang w:val="zh-CN"/>
              </w:rPr>
            </w:pPr>
          </w:p>
        </w:tc>
        <w:tc>
          <w:tcPr>
            <w:tcW w:w="840" w:type="dxa"/>
            <w:vMerge w:val="continue"/>
            <w:tcBorders>
              <w:top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29</w:t>
            </w:r>
          </w:p>
        </w:tc>
        <w:tc>
          <w:tcPr>
            <w:tcW w:w="663" w:type="dxa"/>
            <w:vMerge w:val="continue"/>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5#水泥库顶</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continue"/>
            <w:tcBorders>
              <w:top w:val="nil"/>
            </w:tcBorders>
          </w:tcPr>
          <w:p>
            <w:pPr>
              <w:rPr>
                <w:rFonts w:eastAsia="宋体" w:cs="Times New Roman"/>
                <w:kern w:val="0"/>
                <w:sz w:val="20"/>
                <w:szCs w:val="20"/>
                <w:lang w:val="zh-CN"/>
              </w:rPr>
            </w:pPr>
          </w:p>
        </w:tc>
        <w:tc>
          <w:tcPr>
            <w:tcW w:w="840" w:type="dxa"/>
            <w:vMerge w:val="continue"/>
            <w:tcBorders>
              <w:top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30</w:t>
            </w:r>
          </w:p>
        </w:tc>
        <w:tc>
          <w:tcPr>
            <w:tcW w:w="663" w:type="dxa"/>
            <w:vMerge w:val="continue"/>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6#水泥库顶</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continue"/>
            <w:tcBorders>
              <w:top w:val="nil"/>
            </w:tcBorders>
          </w:tcPr>
          <w:p>
            <w:pPr>
              <w:rPr>
                <w:rFonts w:eastAsia="宋体" w:cs="Times New Roman"/>
                <w:kern w:val="0"/>
                <w:sz w:val="20"/>
                <w:szCs w:val="20"/>
                <w:lang w:val="zh-CN"/>
              </w:rPr>
            </w:pPr>
          </w:p>
        </w:tc>
        <w:tc>
          <w:tcPr>
            <w:tcW w:w="840" w:type="dxa"/>
            <w:vMerge w:val="continue"/>
            <w:tcBorders>
              <w:top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31</w:t>
            </w:r>
          </w:p>
        </w:tc>
        <w:tc>
          <w:tcPr>
            <w:tcW w:w="663" w:type="dxa"/>
            <w:vMerge w:val="continue"/>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熟料外销散装机</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continue"/>
            <w:tcBorders>
              <w:top w:val="nil"/>
            </w:tcBorders>
          </w:tcPr>
          <w:p>
            <w:pPr>
              <w:rPr>
                <w:rFonts w:eastAsia="宋体" w:cs="Times New Roman"/>
                <w:kern w:val="0"/>
                <w:sz w:val="20"/>
                <w:szCs w:val="20"/>
                <w:lang w:val="zh-CN"/>
              </w:rPr>
            </w:pPr>
          </w:p>
        </w:tc>
        <w:tc>
          <w:tcPr>
            <w:tcW w:w="840" w:type="dxa"/>
            <w:vMerge w:val="continue"/>
            <w:tcBorders>
              <w:top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32</w:t>
            </w:r>
          </w:p>
        </w:tc>
        <w:tc>
          <w:tcPr>
            <w:tcW w:w="663" w:type="dxa"/>
            <w:vMerge w:val="continue"/>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原料配料站130.03/04皮带</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continue"/>
            <w:tcBorders>
              <w:top w:val="nil"/>
            </w:tcBorders>
          </w:tcPr>
          <w:p>
            <w:pPr>
              <w:rPr>
                <w:rFonts w:eastAsia="宋体" w:cs="Times New Roman"/>
                <w:kern w:val="0"/>
                <w:sz w:val="20"/>
                <w:szCs w:val="20"/>
                <w:lang w:val="zh-CN"/>
              </w:rPr>
            </w:pPr>
          </w:p>
        </w:tc>
        <w:tc>
          <w:tcPr>
            <w:tcW w:w="840" w:type="dxa"/>
            <w:vMerge w:val="continue"/>
            <w:tcBorders>
              <w:top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33</w:t>
            </w:r>
          </w:p>
        </w:tc>
        <w:tc>
          <w:tcPr>
            <w:tcW w:w="663" w:type="dxa"/>
            <w:vMerge w:val="continue"/>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1#袋装水泥装车机</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continue"/>
            <w:tcBorders>
              <w:top w:val="nil"/>
            </w:tcBorders>
          </w:tcPr>
          <w:p>
            <w:pPr>
              <w:rPr>
                <w:rFonts w:eastAsia="宋体" w:cs="Times New Roman"/>
                <w:kern w:val="0"/>
                <w:sz w:val="20"/>
                <w:szCs w:val="20"/>
                <w:lang w:val="zh-CN"/>
              </w:rPr>
            </w:pPr>
          </w:p>
        </w:tc>
        <w:tc>
          <w:tcPr>
            <w:tcW w:w="840" w:type="dxa"/>
            <w:vMerge w:val="continue"/>
            <w:tcBorders>
              <w:top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34</w:t>
            </w:r>
          </w:p>
        </w:tc>
        <w:tc>
          <w:tcPr>
            <w:tcW w:w="663" w:type="dxa"/>
            <w:vMerge w:val="continue"/>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2#袋装水泥装车机</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continue"/>
            <w:tcBorders>
              <w:top w:val="nil"/>
            </w:tcBorders>
          </w:tcPr>
          <w:p>
            <w:pPr>
              <w:rPr>
                <w:rFonts w:eastAsia="宋体" w:cs="Times New Roman"/>
                <w:kern w:val="0"/>
                <w:sz w:val="20"/>
                <w:szCs w:val="20"/>
                <w:lang w:val="zh-CN"/>
              </w:rPr>
            </w:pPr>
          </w:p>
        </w:tc>
        <w:tc>
          <w:tcPr>
            <w:tcW w:w="840" w:type="dxa"/>
            <w:vMerge w:val="continue"/>
            <w:tcBorders>
              <w:top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35</w:t>
            </w:r>
          </w:p>
        </w:tc>
        <w:tc>
          <w:tcPr>
            <w:tcW w:w="663" w:type="dxa"/>
            <w:vMerge w:val="continue"/>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3#袋装水泥装车机</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continue"/>
            <w:tcBorders>
              <w:top w:val="nil"/>
            </w:tcBorders>
          </w:tcPr>
          <w:p>
            <w:pPr>
              <w:rPr>
                <w:rFonts w:eastAsia="宋体" w:cs="Times New Roman"/>
                <w:kern w:val="0"/>
                <w:sz w:val="20"/>
                <w:szCs w:val="20"/>
                <w:lang w:val="zh-CN"/>
              </w:rPr>
            </w:pPr>
          </w:p>
        </w:tc>
        <w:tc>
          <w:tcPr>
            <w:tcW w:w="840" w:type="dxa"/>
            <w:vMerge w:val="continue"/>
            <w:tcBorders>
              <w:top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36</w:t>
            </w:r>
          </w:p>
        </w:tc>
        <w:tc>
          <w:tcPr>
            <w:tcW w:w="663" w:type="dxa"/>
            <w:vMerge w:val="continue"/>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4#袋装水泥装车机</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200" w:type="dxa"/>
            <w:vMerge w:val="continue"/>
            <w:tcBorders>
              <w:top w:val="nil"/>
              <w:bottom w:val="nil"/>
            </w:tcBorders>
          </w:tcPr>
          <w:p>
            <w:pPr>
              <w:rPr>
                <w:rFonts w:eastAsia="宋体" w:cs="Times New Roman"/>
                <w:kern w:val="0"/>
                <w:sz w:val="20"/>
                <w:szCs w:val="20"/>
                <w:lang w:val="zh-CN"/>
              </w:rPr>
            </w:pPr>
          </w:p>
        </w:tc>
        <w:tc>
          <w:tcPr>
            <w:tcW w:w="840" w:type="dxa"/>
            <w:vMerge w:val="continue"/>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37</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熟料堆棚新增</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restart"/>
            <w:tcBorders>
              <w:top w:val="nil"/>
            </w:tcBorders>
          </w:tcPr>
          <w:p>
            <w:pPr>
              <w:rPr>
                <w:rFonts w:eastAsia="宋体" w:cs="Times New Roman"/>
                <w:kern w:val="0"/>
                <w:sz w:val="20"/>
                <w:szCs w:val="20"/>
                <w:lang w:val="zh-CN"/>
              </w:rPr>
            </w:pPr>
            <w:r>
              <w:rPr>
                <w:rFonts w:hint="eastAsia" w:ascii="宋体" w:hAnsi="宋体" w:eastAsia="宋体" w:cs="宋体"/>
                <w:kern w:val="0"/>
                <w:sz w:val="24"/>
                <w:szCs w:val="24"/>
                <w:lang w:val="zh-CN" w:eastAsia="zh-CN" w:bidi="ar-SA"/>
              </w:rPr>
              <w:t>每两年一次</w:t>
            </w: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38</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外加熟料斗提</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39</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熟料外销 150b.02 皮带</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40</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石膏破碎 154.07 皮带</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41</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熟料库底 150b.01 皮带</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42</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熟料库底 150.30 皮带</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43</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石膏破碎 154.06 皮带</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44</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至 1#水泥磨 160.18 皮带</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45</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1#水泥磨出磨斜槽</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46</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2#水泥磨出磨斜槽</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47</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160.19 皮带</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48</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熟料帐篷库顶</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49</w:t>
            </w:r>
          </w:p>
        </w:tc>
        <w:tc>
          <w:tcPr>
            <w:tcW w:w="663" w:type="dxa"/>
            <w:tcBorders>
              <w:top w:val="nil"/>
              <w:bottom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熟料帐篷库底</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bottom w:val="nil"/>
            </w:tcBorders>
          </w:tcPr>
          <w:p>
            <w:pPr>
              <w:rPr>
                <w:rFonts w:eastAsia="宋体" w:cs="Times New Roman"/>
                <w:kern w:val="0"/>
                <w:sz w:val="20"/>
                <w:szCs w:val="2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75"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50</w:t>
            </w:r>
          </w:p>
        </w:tc>
        <w:tc>
          <w:tcPr>
            <w:tcW w:w="663" w:type="dxa"/>
            <w:tcBorders>
              <w:top w:val="nil"/>
            </w:tcBorders>
            <w:vAlign w:val="center"/>
          </w:tcPr>
          <w:p>
            <w:pPr>
              <w:jc w:val="center"/>
              <w:rPr>
                <w:rFonts w:hint="eastAsia" w:ascii="宋体" w:hAnsi="宋体" w:eastAsia="宋体" w:cs="宋体"/>
                <w:kern w:val="0"/>
                <w:sz w:val="24"/>
                <w:szCs w:val="24"/>
                <w:lang w:val="zh-CN"/>
              </w:rPr>
            </w:pPr>
          </w:p>
        </w:tc>
        <w:tc>
          <w:tcPr>
            <w:tcW w:w="3546"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1#熟料库顶新增</w:t>
            </w:r>
          </w:p>
        </w:tc>
        <w:tc>
          <w:tcPr>
            <w:tcW w:w="1785" w:type="dxa"/>
            <w:vMerge w:val="continue"/>
            <w:vAlign w:val="center"/>
          </w:tcPr>
          <w:p>
            <w:pPr>
              <w:jc w:val="center"/>
              <w:rPr>
                <w:rFonts w:hint="eastAsia" w:ascii="宋体" w:hAnsi="宋体" w:eastAsia="宋体" w:cs="宋体"/>
                <w:kern w:val="0"/>
                <w:sz w:val="24"/>
                <w:szCs w:val="24"/>
                <w:highlight w:val="none"/>
                <w:lang w:val="zh-CN"/>
              </w:rPr>
            </w:pPr>
          </w:p>
        </w:tc>
        <w:tc>
          <w:tcPr>
            <w:tcW w:w="1095" w:type="dxa"/>
            <w:vAlign w:val="center"/>
          </w:tcPr>
          <w:p>
            <w:pPr>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rPr>
              <w:t>颗粒物</w:t>
            </w:r>
          </w:p>
        </w:tc>
        <w:tc>
          <w:tcPr>
            <w:tcW w:w="1200" w:type="dxa"/>
            <w:vMerge w:val="continue"/>
          </w:tcPr>
          <w:p>
            <w:pPr>
              <w:rPr>
                <w:rFonts w:eastAsia="宋体" w:cs="Times New Roman"/>
                <w:kern w:val="0"/>
                <w:sz w:val="20"/>
                <w:szCs w:val="20"/>
                <w:lang w:val="zh-CN"/>
              </w:rPr>
            </w:pPr>
          </w:p>
        </w:tc>
        <w:tc>
          <w:tcPr>
            <w:tcW w:w="840" w:type="dxa"/>
            <w:tcBorders>
              <w:top w:val="nil"/>
            </w:tcBorders>
          </w:tcPr>
          <w:p>
            <w:pPr>
              <w:rPr>
                <w:rFonts w:eastAsia="宋体" w:cs="Times New Roman"/>
                <w:kern w:val="0"/>
                <w:sz w:val="20"/>
                <w:szCs w:val="20"/>
                <w:lang w:val="zh-CN"/>
              </w:rPr>
            </w:pPr>
          </w:p>
        </w:tc>
      </w:tr>
    </w:tbl>
    <w:p>
      <w:pPr>
        <w:tabs>
          <w:tab w:val="left" w:pos="378"/>
        </w:tabs>
        <w:bidi w:val="0"/>
        <w:jc w:val="left"/>
        <w:rPr>
          <w:rFonts w:ascii="Tms Rmn" w:hAnsi="Tms Rmn" w:eastAsia="宋体" w:cs="Times New Roman"/>
          <w:kern w:val="0"/>
          <w:sz w:val="20"/>
          <w:szCs w:val="20"/>
          <w:lang w:val="en-US" w:eastAsia="zh-CN" w:bidi="ar-SA"/>
        </w:rPr>
        <w:sectPr>
          <w:pgSz w:w="11910" w:h="16840"/>
          <w:pgMar w:top="1440" w:right="960" w:bottom="820" w:left="980" w:header="0" w:footer="640" w:gutter="0"/>
          <w:cols w:space="720" w:num="1"/>
        </w:sectPr>
      </w:pPr>
    </w:p>
    <w:p>
      <w:pPr>
        <w:spacing w:after="0"/>
        <w:rPr>
          <w:sz w:val="2"/>
          <w:szCs w:val="2"/>
        </w:rPr>
      </w:pPr>
    </w:p>
    <w:p>
      <w:pPr>
        <w:bidi w:val="0"/>
        <w:rPr>
          <w:rFonts w:ascii="Tms Rmn" w:hAnsi="Tms Rmn" w:eastAsia="宋体" w:cs="Times New Roman"/>
          <w:kern w:val="0"/>
          <w:sz w:val="20"/>
          <w:szCs w:val="20"/>
          <w:lang w:val="en-US" w:eastAsia="zh-CN" w:bidi="ar-SA"/>
        </w:rPr>
      </w:pPr>
    </w:p>
    <w:tbl>
      <w:tblPr>
        <w:tblStyle w:val="7"/>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825"/>
        <w:gridCol w:w="4050"/>
        <w:gridCol w:w="1335"/>
        <w:gridCol w:w="1065"/>
        <w:gridCol w:w="1425"/>
        <w:gridCol w:w="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630"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序号</w:t>
            </w:r>
          </w:p>
        </w:tc>
        <w:tc>
          <w:tcPr>
            <w:tcW w:w="825"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污染源类型</w:t>
            </w:r>
          </w:p>
        </w:tc>
        <w:tc>
          <w:tcPr>
            <w:tcW w:w="4050"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污染源名称</w:t>
            </w:r>
          </w:p>
        </w:tc>
        <w:tc>
          <w:tcPr>
            <w:tcW w:w="1335"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监测点位</w:t>
            </w:r>
          </w:p>
        </w:tc>
        <w:tc>
          <w:tcPr>
            <w:tcW w:w="1065"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监测项目</w:t>
            </w:r>
          </w:p>
        </w:tc>
        <w:tc>
          <w:tcPr>
            <w:tcW w:w="1425"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监测频次</w:t>
            </w:r>
          </w:p>
        </w:tc>
        <w:tc>
          <w:tcPr>
            <w:tcW w:w="600" w:type="dxa"/>
            <w:vAlign w:val="center"/>
          </w:tcPr>
          <w:p>
            <w:pPr>
              <w:jc w:val="center"/>
              <w:rPr>
                <w:rFonts w:eastAsia="宋体" w:cs="Times New Roman"/>
                <w:b/>
                <w:bCs/>
                <w:kern w:val="0"/>
                <w:sz w:val="24"/>
                <w:szCs w:val="24"/>
                <w:lang w:val="zh-CN" w:eastAsia="zh-CN"/>
              </w:rPr>
            </w:pPr>
            <w:r>
              <w:rPr>
                <w:rFonts w:eastAsia="宋体" w:cs="Times New Roman"/>
                <w:b/>
                <w:bCs/>
                <w:kern w:val="0"/>
                <w:sz w:val="24"/>
                <w:szCs w:val="24"/>
                <w:lang w:val="zh-CN" w:eastAsia="zh-CN"/>
              </w:rPr>
              <w:t>样品个数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51</w:t>
            </w:r>
          </w:p>
        </w:tc>
        <w:tc>
          <w:tcPr>
            <w:tcW w:w="825" w:type="dxa"/>
            <w:vMerge w:val="restart"/>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外销熟料150b.07仓</w:t>
            </w:r>
          </w:p>
        </w:tc>
        <w:tc>
          <w:tcPr>
            <w:tcW w:w="1335" w:type="dxa"/>
            <w:vMerge w:val="restart"/>
            <w:tcBorders>
              <w:top w:val="nil"/>
            </w:tcBorders>
            <w:vAlign w:val="center"/>
          </w:tcPr>
          <w:p>
            <w:pPr>
              <w:jc w:val="center"/>
              <w:rPr>
                <w:rFonts w:hint="eastAsia" w:ascii="宋体" w:hAnsi="宋体" w:eastAsia="宋体" w:cs="宋体"/>
                <w:kern w:val="0"/>
                <w:sz w:val="24"/>
                <w:szCs w:val="24"/>
                <w:highlight w:val="red"/>
                <w:lang w:val="zh-CN"/>
              </w:rPr>
            </w:pPr>
            <w:r>
              <w:rPr>
                <w:rFonts w:hint="eastAsia" w:ascii="宋体" w:hAnsi="宋体" w:eastAsia="宋体" w:cs="宋体"/>
                <w:kern w:val="0"/>
                <w:sz w:val="24"/>
                <w:szCs w:val="24"/>
                <w:lang w:val="zh-CN" w:eastAsia="zh-CN"/>
              </w:rPr>
              <w:t>排气筒出口</w:t>
            </w:r>
          </w:p>
        </w:tc>
        <w:tc>
          <w:tcPr>
            <w:tcW w:w="1065" w:type="dxa"/>
            <w:vAlign w:val="center"/>
          </w:tcPr>
          <w:p>
            <w:pPr>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颗粒物</w:t>
            </w:r>
          </w:p>
        </w:tc>
        <w:tc>
          <w:tcPr>
            <w:tcW w:w="1425"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每两年1次</w:t>
            </w:r>
          </w:p>
        </w:tc>
        <w:tc>
          <w:tcPr>
            <w:tcW w:w="600" w:type="dxa"/>
            <w:vMerge w:val="restart"/>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52</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至水泥散装162.80斜槽</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both"/>
              <w:rPr>
                <w:rFonts w:hint="eastAsia" w:ascii="宋体" w:hAnsi="宋体" w:eastAsia="宋体" w:cs="宋体"/>
                <w:kern w:val="0"/>
                <w:sz w:val="24"/>
                <w:szCs w:val="24"/>
                <w:lang w:val="zh-CN" w:eastAsia="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53</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至水泥散装162.80斜槽</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center"/>
              <w:rPr>
                <w:rFonts w:hint="eastAsia" w:ascii="宋体" w:hAnsi="宋体" w:eastAsia="宋体" w:cs="宋体"/>
                <w:kern w:val="0"/>
                <w:sz w:val="24"/>
                <w:szCs w:val="24"/>
                <w:lang w:val="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54</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至水泥散装162.80斜槽</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center"/>
              <w:rPr>
                <w:rFonts w:hint="eastAsia" w:ascii="宋体" w:hAnsi="宋体" w:eastAsia="宋体" w:cs="宋体"/>
                <w:kern w:val="0"/>
                <w:sz w:val="24"/>
                <w:szCs w:val="24"/>
                <w:lang w:val="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55</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1#熟料粉库</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center"/>
              <w:rPr>
                <w:rFonts w:hint="eastAsia" w:ascii="宋体" w:hAnsi="宋体" w:eastAsia="宋体" w:cs="宋体"/>
                <w:kern w:val="0"/>
                <w:sz w:val="24"/>
                <w:szCs w:val="24"/>
                <w:lang w:val="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56</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2#熟料粉库</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center"/>
              <w:rPr>
                <w:rFonts w:hint="eastAsia" w:ascii="宋体" w:hAnsi="宋体" w:eastAsia="宋体" w:cs="宋体"/>
                <w:kern w:val="0"/>
                <w:sz w:val="24"/>
                <w:szCs w:val="24"/>
                <w:lang w:val="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57</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原料配料站至入生料立磨</w:t>
            </w:r>
          </w:p>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130.20/21 皮带</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center"/>
              <w:rPr>
                <w:rFonts w:hint="eastAsia" w:ascii="宋体" w:hAnsi="宋体" w:eastAsia="宋体" w:cs="宋体"/>
                <w:kern w:val="0"/>
                <w:sz w:val="24"/>
                <w:szCs w:val="24"/>
                <w:lang w:val="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58</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至水泥散装 162.81 斜槽</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center"/>
              <w:rPr>
                <w:rFonts w:hint="eastAsia" w:ascii="宋体" w:hAnsi="宋体" w:eastAsia="宋体" w:cs="宋体"/>
                <w:kern w:val="0"/>
                <w:sz w:val="24"/>
                <w:szCs w:val="24"/>
                <w:lang w:val="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59</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至水泥散装 162.81 斜槽</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center"/>
              <w:rPr>
                <w:rFonts w:hint="eastAsia" w:ascii="宋体" w:hAnsi="宋体" w:eastAsia="宋体" w:cs="宋体"/>
                <w:kern w:val="0"/>
                <w:sz w:val="24"/>
                <w:szCs w:val="24"/>
                <w:lang w:val="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60</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至水泥散装 162.81 斜槽</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center"/>
              <w:rPr>
                <w:rFonts w:hint="eastAsia" w:ascii="宋体" w:hAnsi="宋体" w:eastAsia="宋体" w:cs="宋体"/>
                <w:kern w:val="0"/>
                <w:sz w:val="24"/>
                <w:szCs w:val="24"/>
                <w:lang w:val="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61</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至水泥散装 162.82 斜槽</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both"/>
              <w:rPr>
                <w:rFonts w:hint="eastAsia" w:ascii="宋体" w:hAnsi="宋体" w:eastAsia="宋体" w:cs="宋体"/>
                <w:kern w:val="0"/>
                <w:sz w:val="24"/>
                <w:szCs w:val="24"/>
                <w:lang w:val="zh-CN" w:eastAsia="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62</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至水泥散装 162.82 斜槽</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center"/>
              <w:rPr>
                <w:rFonts w:hint="eastAsia" w:ascii="宋体" w:hAnsi="宋体" w:eastAsia="宋体" w:cs="宋体"/>
                <w:kern w:val="0"/>
                <w:sz w:val="24"/>
                <w:szCs w:val="24"/>
                <w:lang w:val="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30" w:type="dxa"/>
            <w:vAlign w:val="center"/>
          </w:tcPr>
          <w:p>
            <w:pPr>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rPr>
              <w:t>63</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至水泥散装 162.82 斜槽</w:t>
            </w:r>
          </w:p>
        </w:tc>
        <w:tc>
          <w:tcPr>
            <w:tcW w:w="1335" w:type="dxa"/>
            <w:vMerge w:val="continue"/>
            <w:tcBorders>
              <w:top w:val="nil"/>
            </w:tcBorders>
            <w:vAlign w:val="center"/>
          </w:tcPr>
          <w:p>
            <w:pPr>
              <w:jc w:val="center"/>
              <w:rPr>
                <w:rFonts w:hint="eastAsia" w:ascii="宋体" w:hAnsi="宋体" w:eastAsia="宋体" w:cs="宋体"/>
                <w:color w:val="auto"/>
                <w:kern w:val="0"/>
                <w:sz w:val="24"/>
                <w:szCs w:val="24"/>
                <w:highlight w:val="red"/>
                <w:shd w:val="clear" w:color="auto" w:fill="auto"/>
                <w:lang w:val="zh-CN"/>
              </w:rPr>
            </w:pPr>
          </w:p>
        </w:tc>
        <w:tc>
          <w:tcPr>
            <w:tcW w:w="1065" w:type="dxa"/>
            <w:vAlign w:val="center"/>
          </w:tcPr>
          <w:p>
            <w:pPr>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颗粒物</w:t>
            </w:r>
          </w:p>
        </w:tc>
        <w:tc>
          <w:tcPr>
            <w:tcW w:w="1425" w:type="dxa"/>
            <w:vMerge w:val="continue"/>
            <w:vAlign w:val="center"/>
          </w:tcPr>
          <w:p>
            <w:pPr>
              <w:jc w:val="center"/>
              <w:rPr>
                <w:rFonts w:hint="eastAsia" w:ascii="宋体" w:hAnsi="宋体" w:eastAsia="宋体" w:cs="宋体"/>
                <w:kern w:val="0"/>
                <w:sz w:val="24"/>
                <w:szCs w:val="24"/>
                <w:lang w:val="zh-CN"/>
              </w:rPr>
            </w:pPr>
          </w:p>
        </w:tc>
        <w:tc>
          <w:tcPr>
            <w:tcW w:w="600" w:type="dxa"/>
            <w:vMerge w:val="continue"/>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30" w:type="dxa"/>
            <w:vMerge w:val="restart"/>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eastAsia="zh-CN"/>
              </w:rPr>
              <w:t>64</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窑头</w:t>
            </w:r>
          </w:p>
        </w:tc>
        <w:tc>
          <w:tcPr>
            <w:tcW w:w="1335" w:type="dxa"/>
            <w:vMerge w:val="continue"/>
            <w:tcBorders>
              <w:top w:val="nil"/>
            </w:tcBorders>
            <w:vAlign w:val="center"/>
          </w:tcPr>
          <w:p>
            <w:pPr>
              <w:jc w:val="center"/>
              <w:rPr>
                <w:rFonts w:hint="eastAsia" w:ascii="宋体" w:hAnsi="宋体" w:eastAsia="宋体" w:cs="宋体"/>
                <w:kern w:val="0"/>
                <w:sz w:val="24"/>
                <w:szCs w:val="24"/>
                <w:lang w:val="zh-CN"/>
              </w:rPr>
            </w:pPr>
          </w:p>
        </w:tc>
        <w:tc>
          <w:tcPr>
            <w:tcW w:w="1065"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425" w:type="dxa"/>
            <w:tcBorders>
              <w:top w:val="nil"/>
            </w:tcBorders>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w:t>
            </w:r>
          </w:p>
        </w:tc>
        <w:tc>
          <w:tcPr>
            <w:tcW w:w="600" w:type="dxa"/>
            <w:tcBorders>
              <w:top w:val="nil"/>
            </w:tcBorders>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自动监测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30" w:type="dxa"/>
            <w:vMerge w:val="continue"/>
            <w:vAlign w:val="center"/>
          </w:tcPr>
          <w:p>
            <w:pPr>
              <w:jc w:val="center"/>
              <w:rPr>
                <w:rFonts w:hint="eastAsia" w:ascii="宋体" w:hAnsi="宋体" w:eastAsia="宋体" w:cs="宋体"/>
                <w:kern w:val="0"/>
                <w:sz w:val="24"/>
                <w:szCs w:val="24"/>
                <w:lang w:val="en-US" w:eastAsia="zh-CN" w:bidi="ar-SA"/>
              </w:rPr>
            </w:pP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Merge w:val="continue"/>
            <w:vAlign w:val="center"/>
          </w:tcPr>
          <w:p>
            <w:pPr>
              <w:jc w:val="center"/>
              <w:rPr>
                <w:rFonts w:hint="eastAsia" w:ascii="宋体" w:hAnsi="宋体" w:eastAsia="宋体" w:cs="宋体"/>
                <w:kern w:val="0"/>
                <w:sz w:val="24"/>
                <w:szCs w:val="24"/>
                <w:lang w:val="zh-CN" w:eastAsia="zh-CN"/>
              </w:rPr>
            </w:pPr>
          </w:p>
        </w:tc>
        <w:tc>
          <w:tcPr>
            <w:tcW w:w="1335" w:type="dxa"/>
            <w:vMerge w:val="continue"/>
            <w:tcBorders>
              <w:top w:val="nil"/>
            </w:tcBorders>
            <w:vAlign w:val="center"/>
          </w:tcPr>
          <w:p>
            <w:pPr>
              <w:jc w:val="center"/>
              <w:rPr>
                <w:rFonts w:hint="eastAsia" w:ascii="宋体" w:hAnsi="宋体" w:eastAsia="宋体" w:cs="宋体"/>
                <w:kern w:val="0"/>
                <w:sz w:val="24"/>
                <w:szCs w:val="24"/>
                <w:lang w:val="zh-CN"/>
              </w:rPr>
            </w:pPr>
          </w:p>
        </w:tc>
        <w:tc>
          <w:tcPr>
            <w:tcW w:w="1065" w:type="dxa"/>
            <w:vMerge w:val="continue"/>
            <w:vAlign w:val="center"/>
          </w:tcPr>
          <w:p>
            <w:pPr>
              <w:jc w:val="center"/>
              <w:rPr>
                <w:rFonts w:hint="eastAsia" w:ascii="宋体" w:hAnsi="宋体" w:eastAsia="宋体" w:cs="宋体"/>
                <w:kern w:val="0"/>
                <w:sz w:val="24"/>
                <w:szCs w:val="24"/>
                <w:lang w:val="zh-CN" w:eastAsia="zh-CN"/>
              </w:rPr>
            </w:pPr>
          </w:p>
        </w:tc>
        <w:tc>
          <w:tcPr>
            <w:tcW w:w="1425" w:type="dxa"/>
            <w:tcBorders>
              <w:top w:val="nil"/>
            </w:tcBorders>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非连续采样至少4个/天</w:t>
            </w:r>
          </w:p>
        </w:tc>
        <w:tc>
          <w:tcPr>
            <w:tcW w:w="60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在线仪器故障时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0" w:type="dxa"/>
            <w:vMerge w:val="restart"/>
            <w:vAlign w:val="center"/>
          </w:tcPr>
          <w:p>
            <w:pPr>
              <w:jc w:val="center"/>
              <w:rPr>
                <w:rFonts w:hint="eastAsia" w:ascii="宋体" w:hAnsi="宋体" w:eastAsia="宋体" w:cs="宋体"/>
                <w:kern w:val="0"/>
                <w:sz w:val="24"/>
                <w:szCs w:val="24"/>
                <w:lang w:val="zh-CN" w:eastAsia="zh-CN"/>
              </w:rPr>
            </w:pPr>
          </w:p>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65</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回转窑窑尾</w:t>
            </w:r>
          </w:p>
        </w:tc>
        <w:tc>
          <w:tcPr>
            <w:tcW w:w="1335" w:type="dxa"/>
            <w:vMerge w:val="continue"/>
            <w:tcBorders>
              <w:top w:val="nil"/>
            </w:tcBorders>
            <w:vAlign w:val="center"/>
          </w:tcPr>
          <w:p>
            <w:pPr>
              <w:jc w:val="center"/>
              <w:rPr>
                <w:rFonts w:hint="eastAsia" w:ascii="宋体" w:hAnsi="宋体" w:eastAsia="宋体" w:cs="宋体"/>
                <w:kern w:val="0"/>
                <w:sz w:val="24"/>
                <w:szCs w:val="24"/>
                <w:lang w:val="zh-CN"/>
              </w:rPr>
            </w:pPr>
          </w:p>
        </w:tc>
        <w:tc>
          <w:tcPr>
            <w:tcW w:w="1065"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tc>
        <w:tc>
          <w:tcPr>
            <w:tcW w:w="1425"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
            </w:r>
          </w:p>
        </w:tc>
        <w:tc>
          <w:tcPr>
            <w:tcW w:w="60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自动监测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0" w:type="dxa"/>
            <w:vMerge w:val="continue"/>
            <w:vAlign w:val="center"/>
          </w:tcPr>
          <w:p>
            <w:pPr>
              <w:jc w:val="center"/>
              <w:rPr>
                <w:rFonts w:hint="eastAsia" w:ascii="宋体" w:hAnsi="宋体" w:eastAsia="宋体" w:cs="宋体"/>
                <w:kern w:val="0"/>
                <w:sz w:val="24"/>
                <w:szCs w:val="24"/>
                <w:lang w:val="zh-CN" w:eastAsia="zh-CN"/>
              </w:rPr>
            </w:pP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Merge w:val="continue"/>
            <w:vAlign w:val="center"/>
          </w:tcPr>
          <w:p>
            <w:pPr>
              <w:jc w:val="center"/>
              <w:rPr>
                <w:rFonts w:hint="eastAsia" w:ascii="宋体" w:hAnsi="宋体" w:eastAsia="宋体" w:cs="宋体"/>
                <w:kern w:val="0"/>
                <w:sz w:val="24"/>
                <w:szCs w:val="24"/>
                <w:lang w:val="zh-CN" w:eastAsia="zh-CN"/>
              </w:rPr>
            </w:pPr>
          </w:p>
        </w:tc>
        <w:tc>
          <w:tcPr>
            <w:tcW w:w="1335" w:type="dxa"/>
            <w:vMerge w:val="continue"/>
            <w:tcBorders>
              <w:top w:val="nil"/>
            </w:tcBorders>
            <w:vAlign w:val="center"/>
          </w:tcPr>
          <w:p>
            <w:pPr>
              <w:jc w:val="center"/>
              <w:rPr>
                <w:rFonts w:hint="eastAsia" w:ascii="宋体" w:hAnsi="宋体" w:eastAsia="宋体" w:cs="宋体"/>
                <w:kern w:val="0"/>
                <w:sz w:val="24"/>
                <w:szCs w:val="24"/>
                <w:lang w:val="zh-CN"/>
              </w:rPr>
            </w:pPr>
          </w:p>
        </w:tc>
        <w:tc>
          <w:tcPr>
            <w:tcW w:w="1065" w:type="dxa"/>
            <w:vMerge w:val="continue"/>
            <w:vAlign w:val="center"/>
          </w:tcPr>
          <w:p>
            <w:pPr>
              <w:jc w:val="center"/>
              <w:rPr>
                <w:rFonts w:hint="eastAsia" w:ascii="宋体" w:hAnsi="宋体" w:eastAsia="宋体" w:cs="宋体"/>
                <w:kern w:val="0"/>
                <w:sz w:val="24"/>
                <w:szCs w:val="24"/>
                <w:lang w:val="zh-CN" w:eastAsia="zh-CN"/>
              </w:rPr>
            </w:pPr>
          </w:p>
        </w:tc>
        <w:tc>
          <w:tcPr>
            <w:tcW w:w="142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非连续采样至少4个/天</w:t>
            </w:r>
          </w:p>
        </w:tc>
        <w:tc>
          <w:tcPr>
            <w:tcW w:w="60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在线仪器故障时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0" w:type="dxa"/>
            <w:vMerge w:val="continue"/>
            <w:vAlign w:val="center"/>
          </w:tcPr>
          <w:p>
            <w:pPr>
              <w:jc w:val="center"/>
              <w:rPr>
                <w:rFonts w:hint="eastAsia" w:ascii="宋体" w:hAnsi="宋体" w:eastAsia="宋体" w:cs="宋体"/>
                <w:kern w:val="0"/>
                <w:sz w:val="24"/>
                <w:szCs w:val="24"/>
                <w:lang w:val="zh-CN" w:eastAsia="zh-CN"/>
              </w:rPr>
            </w:pP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Merge w:val="continue"/>
            <w:vAlign w:val="center"/>
          </w:tcPr>
          <w:p>
            <w:pPr>
              <w:jc w:val="center"/>
              <w:rPr>
                <w:rFonts w:hint="eastAsia" w:ascii="宋体" w:hAnsi="宋体" w:eastAsia="宋体" w:cs="宋体"/>
                <w:kern w:val="0"/>
                <w:sz w:val="24"/>
                <w:szCs w:val="24"/>
                <w:lang w:val="zh-CN" w:eastAsia="zh-CN"/>
              </w:rPr>
            </w:pPr>
          </w:p>
        </w:tc>
        <w:tc>
          <w:tcPr>
            <w:tcW w:w="1335" w:type="dxa"/>
            <w:vMerge w:val="continue"/>
            <w:tcBorders>
              <w:top w:val="nil"/>
            </w:tcBorders>
            <w:vAlign w:val="center"/>
          </w:tcPr>
          <w:p>
            <w:pPr>
              <w:jc w:val="center"/>
              <w:rPr>
                <w:rFonts w:hint="eastAsia" w:ascii="宋体" w:hAnsi="宋体" w:eastAsia="宋体" w:cs="宋体"/>
                <w:kern w:val="0"/>
                <w:sz w:val="24"/>
                <w:szCs w:val="24"/>
                <w:lang w:val="zh-CN"/>
              </w:rPr>
            </w:pPr>
          </w:p>
        </w:tc>
        <w:tc>
          <w:tcPr>
            <w:tcW w:w="1065"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二氧化硫</w:t>
            </w:r>
          </w:p>
        </w:tc>
        <w:tc>
          <w:tcPr>
            <w:tcW w:w="1425"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
            </w:r>
          </w:p>
        </w:tc>
        <w:tc>
          <w:tcPr>
            <w:tcW w:w="60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自动监测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0" w:type="dxa"/>
            <w:vMerge w:val="continue"/>
            <w:vAlign w:val="center"/>
          </w:tcPr>
          <w:p>
            <w:pPr>
              <w:jc w:val="center"/>
              <w:rPr>
                <w:rFonts w:hint="eastAsia" w:ascii="宋体" w:hAnsi="宋体" w:eastAsia="宋体" w:cs="宋体"/>
                <w:kern w:val="0"/>
                <w:sz w:val="24"/>
                <w:szCs w:val="24"/>
                <w:lang w:val="zh-CN" w:eastAsia="zh-CN"/>
              </w:rPr>
            </w:pP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Merge w:val="continue"/>
            <w:vAlign w:val="center"/>
          </w:tcPr>
          <w:p>
            <w:pPr>
              <w:jc w:val="center"/>
              <w:rPr>
                <w:rFonts w:hint="eastAsia" w:ascii="宋体" w:hAnsi="宋体" w:eastAsia="宋体" w:cs="宋体"/>
                <w:kern w:val="0"/>
                <w:sz w:val="24"/>
                <w:szCs w:val="24"/>
                <w:lang w:val="zh-CN" w:eastAsia="zh-CN"/>
              </w:rPr>
            </w:pPr>
          </w:p>
        </w:tc>
        <w:tc>
          <w:tcPr>
            <w:tcW w:w="1335" w:type="dxa"/>
            <w:vMerge w:val="continue"/>
            <w:tcBorders>
              <w:top w:val="nil"/>
            </w:tcBorders>
            <w:vAlign w:val="center"/>
          </w:tcPr>
          <w:p>
            <w:pPr>
              <w:jc w:val="center"/>
              <w:rPr>
                <w:rFonts w:hint="eastAsia" w:ascii="宋体" w:hAnsi="宋体" w:eastAsia="宋体" w:cs="宋体"/>
                <w:kern w:val="0"/>
                <w:sz w:val="24"/>
                <w:szCs w:val="24"/>
                <w:lang w:val="zh-CN"/>
              </w:rPr>
            </w:pPr>
          </w:p>
        </w:tc>
        <w:tc>
          <w:tcPr>
            <w:tcW w:w="1065" w:type="dxa"/>
            <w:vMerge w:val="continue"/>
            <w:vAlign w:val="center"/>
          </w:tcPr>
          <w:p>
            <w:pPr>
              <w:jc w:val="center"/>
              <w:rPr>
                <w:rFonts w:hint="eastAsia" w:ascii="宋体" w:hAnsi="宋体" w:eastAsia="宋体" w:cs="宋体"/>
                <w:kern w:val="0"/>
                <w:sz w:val="24"/>
                <w:szCs w:val="24"/>
                <w:lang w:val="zh-CN" w:eastAsia="zh-CN"/>
              </w:rPr>
            </w:pPr>
          </w:p>
        </w:tc>
        <w:tc>
          <w:tcPr>
            <w:tcW w:w="142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非连续采样至少4个/天</w:t>
            </w:r>
          </w:p>
        </w:tc>
        <w:tc>
          <w:tcPr>
            <w:tcW w:w="60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在线仪器故障时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0" w:type="dxa"/>
            <w:vMerge w:val="continue"/>
            <w:vAlign w:val="center"/>
          </w:tcPr>
          <w:p>
            <w:pPr>
              <w:jc w:val="center"/>
              <w:rPr>
                <w:rFonts w:hint="eastAsia" w:ascii="宋体" w:hAnsi="宋体" w:eastAsia="宋体" w:cs="宋体"/>
                <w:kern w:val="0"/>
                <w:sz w:val="24"/>
                <w:szCs w:val="24"/>
                <w:lang w:val="zh-CN" w:eastAsia="zh-CN"/>
              </w:rPr>
            </w:pP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4050" w:type="dxa"/>
            <w:vMerge w:val="continue"/>
            <w:vAlign w:val="center"/>
          </w:tcPr>
          <w:p>
            <w:pPr>
              <w:jc w:val="center"/>
              <w:rPr>
                <w:rFonts w:hint="eastAsia" w:ascii="宋体" w:hAnsi="宋体" w:eastAsia="宋体" w:cs="宋体"/>
                <w:kern w:val="0"/>
                <w:sz w:val="24"/>
                <w:szCs w:val="24"/>
                <w:lang w:val="zh-CN" w:eastAsia="zh-CN"/>
              </w:rPr>
            </w:pPr>
          </w:p>
        </w:tc>
        <w:tc>
          <w:tcPr>
            <w:tcW w:w="1335" w:type="dxa"/>
            <w:vMerge w:val="continue"/>
            <w:tcBorders>
              <w:top w:val="nil"/>
            </w:tcBorders>
            <w:vAlign w:val="center"/>
          </w:tcPr>
          <w:p>
            <w:pPr>
              <w:jc w:val="center"/>
              <w:rPr>
                <w:rFonts w:hint="eastAsia" w:ascii="宋体" w:hAnsi="宋体" w:eastAsia="宋体" w:cs="宋体"/>
                <w:kern w:val="0"/>
                <w:sz w:val="24"/>
                <w:szCs w:val="24"/>
                <w:lang w:val="zh-CN"/>
              </w:rPr>
            </w:pPr>
          </w:p>
        </w:tc>
        <w:tc>
          <w:tcPr>
            <w:tcW w:w="1065"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氮氧化物</w:t>
            </w:r>
          </w:p>
        </w:tc>
        <w:tc>
          <w:tcPr>
            <w:tcW w:w="1425"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
            </w:r>
          </w:p>
        </w:tc>
        <w:tc>
          <w:tcPr>
            <w:tcW w:w="60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自动监测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0" w:type="dxa"/>
            <w:vMerge w:val="continue"/>
          </w:tcPr>
          <w:p>
            <w:pPr>
              <w:rPr>
                <w:rFonts w:eastAsia="宋体" w:cs="Times New Roman"/>
                <w:kern w:val="0"/>
                <w:sz w:val="20"/>
                <w:szCs w:val="20"/>
                <w:lang w:val="zh-CN" w:eastAsia="zh-CN"/>
              </w:rPr>
            </w:pPr>
          </w:p>
        </w:tc>
        <w:tc>
          <w:tcPr>
            <w:tcW w:w="825" w:type="dxa"/>
            <w:vMerge w:val="continue"/>
            <w:tcBorders>
              <w:top w:val="nil"/>
            </w:tcBorders>
          </w:tcPr>
          <w:p>
            <w:pPr>
              <w:rPr>
                <w:rFonts w:eastAsia="宋体" w:cs="Times New Roman"/>
                <w:kern w:val="0"/>
                <w:sz w:val="20"/>
                <w:szCs w:val="20"/>
                <w:lang w:val="zh-CN"/>
              </w:rPr>
            </w:pPr>
          </w:p>
        </w:tc>
        <w:tc>
          <w:tcPr>
            <w:tcW w:w="4050" w:type="dxa"/>
            <w:vMerge w:val="continue"/>
          </w:tcPr>
          <w:p>
            <w:pPr>
              <w:rPr>
                <w:rFonts w:eastAsia="宋体" w:cs="Times New Roman"/>
                <w:kern w:val="0"/>
                <w:sz w:val="20"/>
                <w:szCs w:val="20"/>
                <w:lang w:val="zh-CN" w:eastAsia="zh-CN"/>
              </w:rPr>
            </w:pPr>
          </w:p>
        </w:tc>
        <w:tc>
          <w:tcPr>
            <w:tcW w:w="1335" w:type="dxa"/>
            <w:vMerge w:val="continue"/>
            <w:tcBorders>
              <w:top w:val="nil"/>
            </w:tcBorders>
          </w:tcPr>
          <w:p>
            <w:pPr>
              <w:rPr>
                <w:rFonts w:eastAsia="宋体" w:cs="Times New Roman"/>
                <w:kern w:val="0"/>
                <w:sz w:val="20"/>
                <w:szCs w:val="20"/>
                <w:lang w:val="zh-CN"/>
              </w:rPr>
            </w:pPr>
          </w:p>
        </w:tc>
        <w:tc>
          <w:tcPr>
            <w:tcW w:w="1065" w:type="dxa"/>
            <w:vMerge w:val="continue"/>
            <w:vAlign w:val="center"/>
          </w:tcPr>
          <w:p>
            <w:pPr>
              <w:rPr>
                <w:rFonts w:eastAsia="宋体" w:cs="Times New Roman"/>
                <w:kern w:val="0"/>
                <w:sz w:val="20"/>
                <w:szCs w:val="20"/>
                <w:lang w:val="zh-CN" w:eastAsia="zh-CN"/>
              </w:rPr>
            </w:pPr>
          </w:p>
        </w:tc>
        <w:tc>
          <w:tcPr>
            <w:tcW w:w="142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非连续采样至少4个/天</w:t>
            </w:r>
          </w:p>
        </w:tc>
        <w:tc>
          <w:tcPr>
            <w:tcW w:w="600"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在线仪器故障时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9" w:hRule="atLeast"/>
        </w:trPr>
        <w:tc>
          <w:tcPr>
            <w:tcW w:w="630" w:type="dxa"/>
            <w:vMerge w:val="continue"/>
          </w:tcPr>
          <w:p>
            <w:pPr>
              <w:rPr>
                <w:rFonts w:eastAsia="宋体" w:cs="Times New Roman"/>
                <w:kern w:val="0"/>
                <w:sz w:val="20"/>
                <w:szCs w:val="20"/>
                <w:lang w:val="zh-CN" w:eastAsia="zh-CN"/>
              </w:rPr>
            </w:pPr>
          </w:p>
        </w:tc>
        <w:tc>
          <w:tcPr>
            <w:tcW w:w="825" w:type="dxa"/>
            <w:vMerge w:val="continue"/>
            <w:tcBorders>
              <w:top w:val="nil"/>
            </w:tcBorders>
          </w:tcPr>
          <w:p>
            <w:pPr>
              <w:rPr>
                <w:rFonts w:eastAsia="宋体" w:cs="Times New Roman"/>
                <w:kern w:val="0"/>
                <w:sz w:val="20"/>
                <w:szCs w:val="20"/>
                <w:lang w:val="zh-CN"/>
              </w:rPr>
            </w:pPr>
          </w:p>
        </w:tc>
        <w:tc>
          <w:tcPr>
            <w:tcW w:w="4050" w:type="dxa"/>
            <w:vMerge w:val="continue"/>
          </w:tcPr>
          <w:p>
            <w:pPr>
              <w:rPr>
                <w:rFonts w:eastAsia="宋体" w:cs="Times New Roman"/>
                <w:kern w:val="0"/>
                <w:sz w:val="20"/>
                <w:szCs w:val="20"/>
                <w:lang w:val="zh-CN" w:eastAsia="zh-CN"/>
              </w:rPr>
            </w:pPr>
          </w:p>
        </w:tc>
        <w:tc>
          <w:tcPr>
            <w:tcW w:w="1335" w:type="dxa"/>
            <w:vMerge w:val="continue"/>
            <w:tcBorders>
              <w:top w:val="nil"/>
            </w:tcBorders>
          </w:tcPr>
          <w:p>
            <w:pPr>
              <w:rPr>
                <w:rFonts w:eastAsia="宋体" w:cs="Times New Roman"/>
                <w:kern w:val="0"/>
                <w:sz w:val="20"/>
                <w:szCs w:val="20"/>
                <w:lang w:val="zh-CN"/>
              </w:rPr>
            </w:pPr>
          </w:p>
        </w:tc>
        <w:tc>
          <w:tcPr>
            <w:tcW w:w="106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汞及其化合物、</w:t>
            </w:r>
          </w:p>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氨（氨气）、氟化物、氯化氢、氟化氢、 铊、镉、铅、砷及其化 合物、</w:t>
            </w:r>
          </w:p>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铍、铬、锡、锑、铜、钴、锰、镍、钒及其化合 物、总有机</w:t>
            </w:r>
          </w:p>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碳（TOC）</w:t>
            </w:r>
          </w:p>
        </w:tc>
        <w:tc>
          <w:tcPr>
            <w:tcW w:w="142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每季度 1 次</w:t>
            </w:r>
          </w:p>
        </w:tc>
        <w:tc>
          <w:tcPr>
            <w:tcW w:w="600" w:type="dxa"/>
            <w:vAlign w:val="center"/>
          </w:tcPr>
          <w:p>
            <w:pPr>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eastAsia="zh-CN"/>
              </w:rPr>
              <w:t>非连续采样至少3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30" w:type="dxa"/>
            <w:vMerge w:val="continue"/>
          </w:tcPr>
          <w:p>
            <w:pPr>
              <w:rPr>
                <w:rFonts w:eastAsia="宋体" w:cs="Times New Roman"/>
                <w:kern w:val="0"/>
                <w:sz w:val="20"/>
                <w:szCs w:val="20"/>
                <w:lang w:val="zh-CN"/>
              </w:rPr>
            </w:pPr>
          </w:p>
        </w:tc>
        <w:tc>
          <w:tcPr>
            <w:tcW w:w="825" w:type="dxa"/>
            <w:vMerge w:val="continue"/>
            <w:tcBorders>
              <w:top w:val="nil"/>
            </w:tcBorders>
          </w:tcPr>
          <w:p>
            <w:pPr>
              <w:rPr>
                <w:rFonts w:eastAsia="宋体" w:cs="Times New Roman"/>
                <w:kern w:val="0"/>
                <w:sz w:val="20"/>
                <w:szCs w:val="20"/>
                <w:lang w:val="zh-CN"/>
              </w:rPr>
            </w:pPr>
          </w:p>
        </w:tc>
        <w:tc>
          <w:tcPr>
            <w:tcW w:w="4050" w:type="dxa"/>
            <w:vMerge w:val="continue"/>
          </w:tcPr>
          <w:p>
            <w:pPr>
              <w:rPr>
                <w:rFonts w:eastAsia="宋体" w:cs="Times New Roman"/>
                <w:kern w:val="0"/>
                <w:sz w:val="20"/>
                <w:szCs w:val="20"/>
                <w:lang w:val="zh-CN"/>
              </w:rPr>
            </w:pPr>
          </w:p>
        </w:tc>
        <w:tc>
          <w:tcPr>
            <w:tcW w:w="1335" w:type="dxa"/>
            <w:vMerge w:val="continue"/>
            <w:tcBorders>
              <w:top w:val="nil"/>
            </w:tcBorders>
          </w:tcPr>
          <w:p>
            <w:pPr>
              <w:rPr>
                <w:rFonts w:eastAsia="宋体" w:cs="Times New Roman"/>
                <w:kern w:val="0"/>
                <w:sz w:val="20"/>
                <w:szCs w:val="20"/>
                <w:lang w:val="zh-CN"/>
              </w:rPr>
            </w:pPr>
          </w:p>
        </w:tc>
        <w:tc>
          <w:tcPr>
            <w:tcW w:w="106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二噁英类</w:t>
            </w:r>
          </w:p>
        </w:tc>
        <w:tc>
          <w:tcPr>
            <w:tcW w:w="142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每年 1 次</w:t>
            </w:r>
          </w:p>
        </w:tc>
        <w:tc>
          <w:tcPr>
            <w:tcW w:w="600" w:type="dxa"/>
            <w:vAlign w:val="center"/>
          </w:tcPr>
          <w:p>
            <w:pPr>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eastAsia="zh-CN"/>
              </w:rPr>
              <w:t>非连续采样至少3 个</w:t>
            </w:r>
          </w:p>
        </w:tc>
      </w:tr>
    </w:tbl>
    <w:p>
      <w:pPr>
        <w:tabs>
          <w:tab w:val="left" w:pos="288"/>
        </w:tabs>
        <w:bidi w:val="0"/>
        <w:jc w:val="left"/>
        <w:rPr>
          <w:lang w:val="en-US" w:eastAsia="zh-CN"/>
        </w:rPr>
        <w:sectPr>
          <w:pgSz w:w="11910" w:h="16840"/>
          <w:pgMar w:top="1440" w:right="960" w:bottom="820" w:left="980" w:header="0" w:footer="640" w:gutter="0"/>
          <w:cols w:space="720" w:num="1"/>
        </w:sectPr>
      </w:pPr>
    </w:p>
    <w:p>
      <w:pPr>
        <w:spacing w:after="0"/>
        <w:rPr>
          <w:sz w:val="2"/>
          <w:szCs w:val="2"/>
        </w:rPr>
      </w:pPr>
    </w:p>
    <w:p>
      <w:pPr>
        <w:bidi w:val="0"/>
        <w:rPr>
          <w:rFonts w:ascii="Tms Rmn" w:hAnsi="Tms Rmn" w:eastAsia="宋体" w:cs="Times New Roman"/>
          <w:kern w:val="0"/>
          <w:sz w:val="20"/>
          <w:szCs w:val="20"/>
          <w:lang w:val="en-US" w:eastAsia="zh-CN" w:bidi="ar-SA"/>
        </w:rPr>
      </w:pPr>
    </w:p>
    <w:tbl>
      <w:tblPr>
        <w:tblStyle w:val="7"/>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825"/>
        <w:gridCol w:w="3247"/>
        <w:gridCol w:w="2123"/>
        <w:gridCol w:w="1065"/>
        <w:gridCol w:w="1425"/>
        <w:gridCol w:w="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645" w:type="dxa"/>
            <w:vAlign w:val="center"/>
          </w:tcPr>
          <w:p>
            <w:pPr>
              <w:jc w:val="center"/>
              <w:rPr>
                <w:rFonts w:hint="eastAsia" w:ascii="宋体" w:hAnsi="宋体" w:eastAsia="宋体" w:cs="宋体"/>
                <w:b/>
                <w:bCs/>
                <w:kern w:val="0"/>
                <w:sz w:val="24"/>
                <w:szCs w:val="24"/>
                <w:lang w:val="zh-CN" w:eastAsia="zh-CN"/>
              </w:rPr>
            </w:pPr>
            <w:r>
              <w:rPr>
                <w:rFonts w:hint="eastAsia" w:ascii="宋体" w:hAnsi="宋体" w:eastAsia="宋体" w:cs="宋体"/>
                <w:b/>
                <w:bCs/>
                <w:kern w:val="0"/>
                <w:sz w:val="24"/>
                <w:szCs w:val="24"/>
                <w:lang w:val="zh-CN" w:eastAsia="zh-CN"/>
              </w:rPr>
              <w:t>序号</w:t>
            </w:r>
          </w:p>
        </w:tc>
        <w:tc>
          <w:tcPr>
            <w:tcW w:w="825" w:type="dxa"/>
            <w:vAlign w:val="center"/>
          </w:tcPr>
          <w:p>
            <w:pPr>
              <w:jc w:val="center"/>
              <w:rPr>
                <w:rFonts w:hint="eastAsia" w:ascii="宋体" w:hAnsi="宋体" w:eastAsia="宋体" w:cs="宋体"/>
                <w:b/>
                <w:bCs/>
                <w:kern w:val="0"/>
                <w:sz w:val="24"/>
                <w:szCs w:val="24"/>
                <w:lang w:val="zh-CN" w:eastAsia="zh-CN"/>
              </w:rPr>
            </w:pPr>
            <w:r>
              <w:rPr>
                <w:rFonts w:hint="eastAsia" w:ascii="宋体" w:hAnsi="宋体" w:eastAsia="宋体" w:cs="宋体"/>
                <w:b/>
                <w:bCs/>
                <w:kern w:val="0"/>
                <w:sz w:val="24"/>
                <w:szCs w:val="24"/>
                <w:lang w:val="zh-CN" w:eastAsia="zh-CN"/>
              </w:rPr>
              <w:t>污染源类型</w:t>
            </w:r>
          </w:p>
        </w:tc>
        <w:tc>
          <w:tcPr>
            <w:tcW w:w="3247" w:type="dxa"/>
            <w:vAlign w:val="center"/>
          </w:tcPr>
          <w:p>
            <w:pPr>
              <w:jc w:val="center"/>
              <w:rPr>
                <w:rFonts w:hint="eastAsia" w:ascii="宋体" w:hAnsi="宋体" w:eastAsia="宋体" w:cs="宋体"/>
                <w:b/>
                <w:bCs/>
                <w:kern w:val="0"/>
                <w:sz w:val="24"/>
                <w:szCs w:val="24"/>
                <w:lang w:val="zh-CN" w:eastAsia="zh-CN"/>
              </w:rPr>
            </w:pPr>
            <w:r>
              <w:rPr>
                <w:rFonts w:hint="eastAsia" w:ascii="宋体" w:hAnsi="宋体" w:eastAsia="宋体" w:cs="宋体"/>
                <w:b/>
                <w:bCs/>
                <w:kern w:val="0"/>
                <w:sz w:val="24"/>
                <w:szCs w:val="24"/>
                <w:lang w:val="zh-CN" w:eastAsia="zh-CN"/>
              </w:rPr>
              <w:t>污染源名称</w:t>
            </w:r>
          </w:p>
        </w:tc>
        <w:tc>
          <w:tcPr>
            <w:tcW w:w="2123" w:type="dxa"/>
            <w:vAlign w:val="center"/>
          </w:tcPr>
          <w:p>
            <w:pPr>
              <w:jc w:val="center"/>
              <w:rPr>
                <w:rFonts w:hint="eastAsia" w:ascii="宋体" w:hAnsi="宋体" w:eastAsia="宋体" w:cs="宋体"/>
                <w:b/>
                <w:bCs/>
                <w:kern w:val="0"/>
                <w:sz w:val="24"/>
                <w:szCs w:val="24"/>
                <w:lang w:val="zh-CN" w:eastAsia="zh-CN"/>
              </w:rPr>
            </w:pPr>
            <w:r>
              <w:rPr>
                <w:rFonts w:hint="eastAsia" w:ascii="宋体" w:hAnsi="宋体" w:eastAsia="宋体" w:cs="宋体"/>
                <w:b/>
                <w:bCs/>
                <w:kern w:val="0"/>
                <w:sz w:val="24"/>
                <w:szCs w:val="24"/>
                <w:lang w:val="zh-CN" w:eastAsia="zh-CN"/>
              </w:rPr>
              <w:t>监测点位</w:t>
            </w:r>
          </w:p>
        </w:tc>
        <w:tc>
          <w:tcPr>
            <w:tcW w:w="1065" w:type="dxa"/>
            <w:vAlign w:val="center"/>
          </w:tcPr>
          <w:p>
            <w:pPr>
              <w:jc w:val="center"/>
              <w:rPr>
                <w:rFonts w:hint="eastAsia" w:ascii="宋体" w:hAnsi="宋体" w:eastAsia="宋体" w:cs="宋体"/>
                <w:b/>
                <w:bCs/>
                <w:kern w:val="0"/>
                <w:sz w:val="24"/>
                <w:szCs w:val="24"/>
                <w:lang w:val="zh-CN" w:eastAsia="zh-CN"/>
              </w:rPr>
            </w:pPr>
            <w:r>
              <w:rPr>
                <w:rFonts w:hint="eastAsia" w:ascii="宋体" w:hAnsi="宋体" w:eastAsia="宋体" w:cs="宋体"/>
                <w:b/>
                <w:bCs/>
                <w:kern w:val="0"/>
                <w:sz w:val="24"/>
                <w:szCs w:val="24"/>
                <w:lang w:val="zh-CN" w:eastAsia="zh-CN"/>
              </w:rPr>
              <w:t>监测项目</w:t>
            </w:r>
          </w:p>
        </w:tc>
        <w:tc>
          <w:tcPr>
            <w:tcW w:w="1425" w:type="dxa"/>
            <w:vAlign w:val="center"/>
          </w:tcPr>
          <w:p>
            <w:pPr>
              <w:jc w:val="center"/>
              <w:rPr>
                <w:rFonts w:hint="eastAsia" w:ascii="宋体" w:hAnsi="宋体" w:eastAsia="宋体" w:cs="宋体"/>
                <w:b/>
                <w:bCs/>
                <w:kern w:val="0"/>
                <w:sz w:val="24"/>
                <w:szCs w:val="24"/>
                <w:lang w:val="zh-CN" w:eastAsia="zh-CN"/>
              </w:rPr>
            </w:pPr>
            <w:r>
              <w:rPr>
                <w:rFonts w:hint="eastAsia" w:ascii="宋体" w:hAnsi="宋体" w:eastAsia="宋体" w:cs="宋体"/>
                <w:b/>
                <w:bCs/>
                <w:kern w:val="0"/>
                <w:sz w:val="24"/>
                <w:szCs w:val="24"/>
                <w:lang w:val="zh-CN" w:eastAsia="zh-CN"/>
              </w:rPr>
              <w:t>监测频次</w:t>
            </w:r>
          </w:p>
        </w:tc>
        <w:tc>
          <w:tcPr>
            <w:tcW w:w="600" w:type="dxa"/>
            <w:vAlign w:val="center"/>
          </w:tcPr>
          <w:p>
            <w:pPr>
              <w:jc w:val="center"/>
              <w:rPr>
                <w:rFonts w:hint="eastAsia" w:ascii="宋体" w:hAnsi="宋体" w:eastAsia="宋体" w:cs="宋体"/>
                <w:b/>
                <w:bCs/>
                <w:kern w:val="0"/>
                <w:sz w:val="24"/>
                <w:szCs w:val="24"/>
                <w:lang w:val="zh-CN" w:eastAsia="zh-CN"/>
              </w:rPr>
            </w:pPr>
            <w:r>
              <w:rPr>
                <w:rFonts w:hint="eastAsia" w:ascii="宋体" w:hAnsi="宋体" w:eastAsia="宋体" w:cs="宋体"/>
                <w:b/>
                <w:bCs/>
                <w:kern w:val="0"/>
                <w:sz w:val="24"/>
                <w:szCs w:val="24"/>
                <w:lang w:val="zh-CN" w:eastAsia="zh-CN"/>
              </w:rPr>
              <w:t>样品个数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jc w:val="center"/>
        </w:trPr>
        <w:tc>
          <w:tcPr>
            <w:tcW w:w="645" w:type="dxa"/>
            <w:vAlign w:val="center"/>
          </w:tcPr>
          <w:p>
            <w:pPr>
              <w:jc w:val="center"/>
              <w:rPr>
                <w:rFonts w:hint="eastAsia" w:ascii="宋体" w:hAnsi="宋体" w:eastAsia="宋体" w:cs="宋体"/>
                <w:kern w:val="0"/>
                <w:sz w:val="24"/>
                <w:szCs w:val="24"/>
                <w:lang w:val="zh-CN" w:eastAsia="zh-CN"/>
              </w:rPr>
            </w:pPr>
          </w:p>
          <w:p>
            <w:pPr>
              <w:jc w:val="center"/>
              <w:rPr>
                <w:rFonts w:hint="eastAsia" w:ascii="宋体" w:hAnsi="宋体" w:eastAsia="宋体" w:cs="宋体"/>
                <w:kern w:val="0"/>
                <w:sz w:val="24"/>
                <w:szCs w:val="24"/>
                <w:lang w:val="zh-CN" w:eastAsia="zh-CN"/>
              </w:rPr>
            </w:pPr>
          </w:p>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66</w:t>
            </w:r>
          </w:p>
        </w:tc>
        <w:tc>
          <w:tcPr>
            <w:tcW w:w="825"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固定源废气</w:t>
            </w:r>
          </w:p>
        </w:tc>
        <w:tc>
          <w:tcPr>
            <w:tcW w:w="3247"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危废储存库</w:t>
            </w:r>
          </w:p>
        </w:tc>
        <w:tc>
          <w:tcPr>
            <w:tcW w:w="2123"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排气筒出口</w:t>
            </w:r>
          </w:p>
        </w:tc>
        <w:tc>
          <w:tcPr>
            <w:tcW w:w="106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颗粒物、NH3、H2S、</w:t>
            </w:r>
          </w:p>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非甲烷总烃、臭气浓度</w:t>
            </w:r>
          </w:p>
        </w:tc>
        <w:tc>
          <w:tcPr>
            <w:tcW w:w="1425" w:type="dxa"/>
            <w:vAlign w:val="center"/>
          </w:tcPr>
          <w:p>
            <w:pPr>
              <w:jc w:val="center"/>
              <w:rPr>
                <w:rFonts w:hint="eastAsia" w:ascii="宋体" w:hAnsi="宋体" w:eastAsia="宋体" w:cs="宋体"/>
                <w:kern w:val="0"/>
                <w:sz w:val="24"/>
                <w:szCs w:val="24"/>
                <w:lang w:val="zh-CN" w:eastAsia="zh-CN"/>
              </w:rPr>
            </w:pPr>
          </w:p>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每季度 1 次</w:t>
            </w:r>
          </w:p>
        </w:tc>
        <w:tc>
          <w:tcPr>
            <w:tcW w:w="600"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非连续采样至少3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jc w:val="center"/>
        </w:trPr>
        <w:tc>
          <w:tcPr>
            <w:tcW w:w="645" w:type="dxa"/>
            <w:vAlign w:val="center"/>
          </w:tcPr>
          <w:p>
            <w:pPr>
              <w:jc w:val="center"/>
              <w:rPr>
                <w:rFonts w:hint="eastAsia" w:ascii="宋体" w:hAnsi="宋体" w:eastAsia="宋体" w:cs="宋体"/>
                <w:kern w:val="0"/>
                <w:sz w:val="24"/>
                <w:szCs w:val="24"/>
                <w:lang w:val="zh-CN" w:eastAsia="zh-CN"/>
              </w:rPr>
            </w:pPr>
          </w:p>
          <w:p>
            <w:pPr>
              <w:jc w:val="center"/>
              <w:rPr>
                <w:rFonts w:hint="eastAsia" w:ascii="宋体" w:hAnsi="宋体" w:eastAsia="宋体" w:cs="宋体"/>
                <w:kern w:val="0"/>
                <w:sz w:val="24"/>
                <w:szCs w:val="24"/>
                <w:lang w:val="zh-CN" w:eastAsia="zh-CN"/>
              </w:rPr>
            </w:pPr>
          </w:p>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67</w:t>
            </w:r>
          </w:p>
        </w:tc>
        <w:tc>
          <w:tcPr>
            <w:tcW w:w="825" w:type="dxa"/>
            <w:vMerge w:val="continue"/>
            <w:tcBorders>
              <w:top w:val="nil"/>
            </w:tcBorders>
            <w:vAlign w:val="center"/>
          </w:tcPr>
          <w:p>
            <w:pPr>
              <w:jc w:val="center"/>
              <w:rPr>
                <w:rFonts w:hint="eastAsia" w:ascii="宋体" w:hAnsi="宋体" w:eastAsia="宋体" w:cs="宋体"/>
                <w:kern w:val="0"/>
                <w:sz w:val="24"/>
                <w:szCs w:val="24"/>
                <w:lang w:val="zh-CN"/>
              </w:rPr>
            </w:pPr>
          </w:p>
        </w:tc>
        <w:tc>
          <w:tcPr>
            <w:tcW w:w="3247"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危废预处置楼</w:t>
            </w:r>
          </w:p>
        </w:tc>
        <w:tc>
          <w:tcPr>
            <w:tcW w:w="2123" w:type="dxa"/>
            <w:vMerge w:val="continue"/>
            <w:tcBorders>
              <w:top w:val="nil"/>
            </w:tcBorders>
            <w:vAlign w:val="center"/>
          </w:tcPr>
          <w:p>
            <w:pPr>
              <w:jc w:val="center"/>
              <w:rPr>
                <w:rFonts w:hint="eastAsia" w:ascii="宋体" w:hAnsi="宋体" w:eastAsia="宋体" w:cs="宋体"/>
                <w:kern w:val="0"/>
                <w:sz w:val="24"/>
                <w:szCs w:val="24"/>
                <w:lang w:val="zh-CN"/>
              </w:rPr>
            </w:pPr>
          </w:p>
        </w:tc>
        <w:tc>
          <w:tcPr>
            <w:tcW w:w="106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颗粒物、NH3、H2S、非甲烷总烃、臭气浓度</w:t>
            </w:r>
          </w:p>
        </w:tc>
        <w:tc>
          <w:tcPr>
            <w:tcW w:w="1425" w:type="dxa"/>
            <w:vAlign w:val="center"/>
          </w:tcPr>
          <w:p>
            <w:pPr>
              <w:jc w:val="center"/>
              <w:rPr>
                <w:rFonts w:hint="eastAsia" w:ascii="宋体" w:hAnsi="宋体" w:eastAsia="宋体" w:cs="宋体"/>
                <w:kern w:val="0"/>
                <w:sz w:val="24"/>
                <w:szCs w:val="24"/>
                <w:lang w:val="zh-CN" w:eastAsia="zh-CN"/>
              </w:rPr>
            </w:pPr>
          </w:p>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每季度 1 次</w:t>
            </w:r>
          </w:p>
        </w:tc>
        <w:tc>
          <w:tcPr>
            <w:tcW w:w="600" w:type="dxa"/>
            <w:vMerge w:val="continue"/>
            <w:tcBorders>
              <w:top w:val="nil"/>
            </w:tcBorders>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7" w:hRule="atLeast"/>
          <w:jc w:val="center"/>
        </w:trPr>
        <w:tc>
          <w:tcPr>
            <w:tcW w:w="645" w:type="dxa"/>
            <w:vAlign w:val="center"/>
          </w:tcPr>
          <w:p>
            <w:pPr>
              <w:jc w:val="center"/>
              <w:rPr>
                <w:rFonts w:hint="eastAsia" w:ascii="宋体" w:hAnsi="宋体" w:eastAsia="宋体" w:cs="宋体"/>
                <w:kern w:val="0"/>
                <w:sz w:val="24"/>
                <w:szCs w:val="24"/>
                <w:lang w:val="zh-CN" w:eastAsia="zh-CN"/>
              </w:rPr>
            </w:pPr>
          </w:p>
          <w:p>
            <w:pPr>
              <w:jc w:val="center"/>
              <w:rPr>
                <w:rFonts w:hint="eastAsia" w:ascii="宋体" w:hAnsi="宋体" w:eastAsia="宋体" w:cs="宋体"/>
                <w:kern w:val="0"/>
                <w:sz w:val="24"/>
                <w:szCs w:val="24"/>
                <w:lang w:val="zh-CN" w:eastAsia="zh-CN"/>
              </w:rPr>
            </w:pPr>
          </w:p>
          <w:p>
            <w:pPr>
              <w:jc w:val="center"/>
              <w:rPr>
                <w:rFonts w:hint="eastAsia" w:ascii="宋体" w:hAnsi="宋体" w:eastAsia="宋体" w:cs="宋体"/>
                <w:kern w:val="0"/>
                <w:sz w:val="24"/>
                <w:szCs w:val="24"/>
                <w:lang w:val="zh-CN" w:eastAsia="zh-CN"/>
              </w:rPr>
            </w:pPr>
          </w:p>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68</w:t>
            </w:r>
          </w:p>
        </w:tc>
        <w:tc>
          <w:tcPr>
            <w:tcW w:w="825"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无组织废气</w:t>
            </w:r>
          </w:p>
        </w:tc>
        <w:tc>
          <w:tcPr>
            <w:tcW w:w="3247"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厂界</w:t>
            </w:r>
          </w:p>
        </w:tc>
        <w:tc>
          <w:tcPr>
            <w:tcW w:w="2123"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厂界外 20 米处上风向设 1 个参照点，下风向设 4 监控点（监控点设在下风向厂界外 10m 范围内浓度最高点）</w:t>
            </w:r>
          </w:p>
        </w:tc>
        <w:tc>
          <w:tcPr>
            <w:tcW w:w="106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颗粒物、</w:t>
            </w:r>
          </w:p>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NH3、H2S、</w:t>
            </w:r>
          </w:p>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非甲烷总烃、VOCs、臭气浓度</w:t>
            </w:r>
          </w:p>
        </w:tc>
        <w:tc>
          <w:tcPr>
            <w:tcW w:w="142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每季度 1 次</w:t>
            </w:r>
          </w:p>
        </w:tc>
        <w:tc>
          <w:tcPr>
            <w:tcW w:w="600" w:type="dxa"/>
            <w:vMerge w:val="restart"/>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非连续采样至少</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val="zh-CN" w:eastAsia="zh-CN"/>
              </w:rPr>
              <w:t xml:space="preserve">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9" w:hRule="atLeast"/>
          <w:jc w:val="center"/>
        </w:trPr>
        <w:tc>
          <w:tcPr>
            <w:tcW w:w="645" w:type="dxa"/>
            <w:vAlign w:val="center"/>
          </w:tcPr>
          <w:p>
            <w:pPr>
              <w:jc w:val="center"/>
              <w:rPr>
                <w:rFonts w:hint="eastAsia" w:ascii="宋体" w:hAnsi="宋体" w:eastAsia="宋体" w:cs="宋体"/>
                <w:kern w:val="0"/>
                <w:sz w:val="24"/>
                <w:szCs w:val="24"/>
                <w:lang w:val="zh-CN" w:eastAsia="zh-CN"/>
              </w:rPr>
            </w:pPr>
          </w:p>
          <w:p>
            <w:pPr>
              <w:jc w:val="center"/>
              <w:rPr>
                <w:rFonts w:hint="eastAsia" w:ascii="宋体" w:hAnsi="宋体" w:eastAsia="宋体" w:cs="宋体"/>
                <w:kern w:val="0"/>
                <w:sz w:val="24"/>
                <w:szCs w:val="24"/>
                <w:lang w:val="zh-CN" w:eastAsia="zh-CN"/>
              </w:rPr>
            </w:pPr>
          </w:p>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69</w:t>
            </w:r>
          </w:p>
        </w:tc>
        <w:tc>
          <w:tcPr>
            <w:tcW w:w="825" w:type="dxa"/>
            <w:vMerge w:val="continue"/>
            <w:tcBorders>
              <w:top w:val="nil"/>
              <w:bottom w:val="nil"/>
            </w:tcBorders>
            <w:vAlign w:val="center"/>
          </w:tcPr>
          <w:p>
            <w:pPr>
              <w:jc w:val="center"/>
              <w:rPr>
                <w:rFonts w:hint="eastAsia" w:ascii="宋体" w:hAnsi="宋体" w:eastAsia="宋体" w:cs="宋体"/>
                <w:kern w:val="0"/>
                <w:sz w:val="24"/>
                <w:szCs w:val="24"/>
                <w:lang w:val="zh-CN"/>
              </w:rPr>
            </w:pPr>
          </w:p>
        </w:tc>
        <w:tc>
          <w:tcPr>
            <w:tcW w:w="3247"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厂区内</w:t>
            </w:r>
          </w:p>
        </w:tc>
        <w:tc>
          <w:tcPr>
            <w:tcW w:w="2123"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储库或车间的门窗或通风口、其他开口等排放口外 1m、距地面1.5m 以上位置</w:t>
            </w:r>
          </w:p>
        </w:tc>
        <w:tc>
          <w:tcPr>
            <w:tcW w:w="1065" w:type="dxa"/>
            <w:vAlign w:val="center"/>
          </w:tcPr>
          <w:p>
            <w:pPr>
              <w:jc w:val="center"/>
              <w:rPr>
                <w:rFonts w:hint="eastAsia" w:ascii="宋体" w:hAnsi="宋体" w:eastAsia="宋体" w:cs="宋体"/>
                <w:kern w:val="0"/>
                <w:sz w:val="24"/>
                <w:szCs w:val="24"/>
                <w:lang w:val="zh-CN" w:eastAsia="zh-CN"/>
              </w:rPr>
            </w:pPr>
          </w:p>
          <w:p>
            <w:pPr>
              <w:jc w:val="center"/>
              <w:rPr>
                <w:rFonts w:hint="eastAsia" w:ascii="宋体" w:hAnsi="宋体" w:eastAsia="宋体" w:cs="宋体"/>
                <w:kern w:val="0"/>
                <w:sz w:val="24"/>
                <w:szCs w:val="24"/>
                <w:lang w:val="zh-CN" w:eastAsia="zh-CN"/>
              </w:rPr>
            </w:pPr>
          </w:p>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VOCs</w:t>
            </w:r>
          </w:p>
        </w:tc>
        <w:tc>
          <w:tcPr>
            <w:tcW w:w="1425" w:type="dxa"/>
            <w:vAlign w:val="center"/>
          </w:tcPr>
          <w:p>
            <w:pPr>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每年 1 次</w:t>
            </w:r>
          </w:p>
        </w:tc>
        <w:tc>
          <w:tcPr>
            <w:tcW w:w="600" w:type="dxa"/>
            <w:vMerge w:val="continue"/>
            <w:tcBorders>
              <w:top w:val="nil"/>
              <w:bottom w:val="nil"/>
            </w:tcBorders>
            <w:vAlign w:val="center"/>
          </w:tcPr>
          <w:p>
            <w:pPr>
              <w:jc w:val="center"/>
              <w:rPr>
                <w:rFonts w:hint="eastAsia" w:ascii="宋体" w:hAnsi="宋体" w:eastAsia="宋体" w:cs="宋体"/>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2" w:hRule="atLeast"/>
          <w:jc w:val="center"/>
        </w:trPr>
        <w:tc>
          <w:tcPr>
            <w:tcW w:w="9930" w:type="dxa"/>
            <w:gridSpan w:val="7"/>
            <w:vAlign w:val="center"/>
          </w:tcPr>
          <w:p>
            <w:pPr>
              <w:jc w:val="left"/>
              <w:rPr>
                <w:rFonts w:hint="eastAsia" w:ascii="宋体" w:hAnsi="宋体" w:eastAsia="宋体" w:cs="宋体"/>
                <w:kern w:val="0"/>
                <w:sz w:val="24"/>
                <w:szCs w:val="24"/>
              </w:rPr>
            </w:pPr>
            <w:r>
              <w:rPr>
                <w:rFonts w:hint="eastAsia" w:ascii="宋体" w:hAnsi="宋体" w:eastAsia="宋体" w:cs="宋体"/>
                <w:b/>
                <w:bCs/>
                <w:kern w:val="0"/>
                <w:sz w:val="24"/>
                <w:szCs w:val="24"/>
              </w:rPr>
              <w:t>备注：</w:t>
            </w:r>
            <w:r>
              <w:rPr>
                <w:rFonts w:hint="eastAsia" w:ascii="宋体" w:hAnsi="宋体" w:eastAsia="宋体" w:cs="宋体"/>
                <w:kern w:val="0"/>
                <w:sz w:val="24"/>
                <w:szCs w:val="24"/>
              </w:rPr>
              <w:t>1、表中所列污染源的监测点位均位于治理设施后的烟道上或排气筒上；</w:t>
            </w:r>
          </w:p>
          <w:p>
            <w:pPr>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2、污染物排放方式为集中排放，排放去向为环境空气；</w:t>
            </w:r>
          </w:p>
          <w:p>
            <w:pPr>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职工食堂油烟监测安排在每年第</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或</w:t>
            </w:r>
            <w:r>
              <w:rPr>
                <w:rFonts w:hint="eastAsia" w:ascii="宋体" w:hAnsi="宋体" w:eastAsia="宋体" w:cs="宋体"/>
                <w:kern w:val="0"/>
                <w:sz w:val="24"/>
                <w:szCs w:val="24"/>
                <w:lang w:eastAsia="zh-CN"/>
              </w:rPr>
              <w:t>三</w:t>
            </w:r>
            <w:r>
              <w:rPr>
                <w:rFonts w:hint="eastAsia" w:ascii="宋体" w:hAnsi="宋体" w:eastAsia="宋体" w:cs="宋体"/>
                <w:kern w:val="0"/>
                <w:sz w:val="24"/>
                <w:szCs w:val="24"/>
              </w:rPr>
              <w:t>季度；</w:t>
            </w:r>
          </w:p>
          <w:p>
            <w:pPr>
              <w:ind w:firstLine="720" w:firstLineChars="3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、测试和记录要求：各</w:t>
            </w:r>
            <w:r>
              <w:rPr>
                <w:rFonts w:hint="eastAsia" w:ascii="宋体" w:hAnsi="宋体" w:eastAsia="宋体" w:cs="宋体"/>
                <w:kern w:val="0"/>
                <w:sz w:val="24"/>
                <w:szCs w:val="24"/>
                <w:lang w:eastAsia="zh-CN"/>
              </w:rPr>
              <w:t>污染</w:t>
            </w:r>
            <w:r>
              <w:rPr>
                <w:rFonts w:hint="eastAsia" w:ascii="宋体" w:hAnsi="宋体" w:eastAsia="宋体" w:cs="宋体"/>
                <w:kern w:val="0"/>
                <w:sz w:val="24"/>
                <w:szCs w:val="24"/>
              </w:rPr>
              <w:t>源均在对应生产设施正常运行工况下进行测试；在进行有组织废气监测时须按照相应排放标准选择监测分析方法，同步记录工况、生产负荷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烟气参数(包括：含氧量、烟气流速、烟气温度、烟气含湿量、烟道截面积等)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并在监测报告中给出。</w:t>
            </w:r>
          </w:p>
        </w:tc>
      </w:tr>
    </w:tbl>
    <w:p>
      <w:pPr>
        <w:tabs>
          <w:tab w:val="left" w:pos="438"/>
        </w:tabs>
        <w:bidi w:val="0"/>
        <w:jc w:val="left"/>
        <w:rPr>
          <w:lang w:val="en-US" w:eastAsia="zh-CN"/>
        </w:rPr>
        <w:sectPr>
          <w:pgSz w:w="11910" w:h="16840"/>
          <w:pgMar w:top="1440" w:right="960" w:bottom="820" w:left="980" w:header="0" w:footer="640" w:gutter="0"/>
          <w:cols w:space="720" w:num="1"/>
        </w:sectPr>
      </w:pPr>
    </w:p>
    <w:p>
      <w:pPr>
        <w:keepNext w:val="0"/>
        <w:keepLines w:val="0"/>
        <w:pageBreakBefore w:val="0"/>
        <w:widowControl w:val="0"/>
        <w:tabs>
          <w:tab w:val="left" w:pos="3508"/>
        </w:tabs>
        <w:kinsoku/>
        <w:wordWrap/>
        <w:overflowPunct/>
        <w:topLinePunct w:val="0"/>
        <w:autoSpaceDE/>
        <w:autoSpaceDN/>
        <w:bidi w:val="0"/>
        <w:adjustRightInd/>
        <w:snapToGrid/>
        <w:spacing w:before="313" w:beforeLines="100" w:after="313" w:afterLines="100" w:line="480" w:lineRule="exact"/>
        <w:jc w:val="center"/>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表2 废水污染源手工监测内容一览表</w:t>
      </w:r>
    </w:p>
    <w:tbl>
      <w:tblPr>
        <w:tblStyle w:val="7"/>
        <w:tblW w:w="9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1133"/>
        <w:gridCol w:w="3589"/>
        <w:gridCol w:w="1770"/>
        <w:gridCol w:w="2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722"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w:t>
            </w:r>
          </w:p>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号</w:t>
            </w:r>
          </w:p>
        </w:tc>
        <w:tc>
          <w:tcPr>
            <w:tcW w:w="1133"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w:t>
            </w:r>
          </w:p>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点位</w:t>
            </w:r>
          </w:p>
        </w:tc>
        <w:tc>
          <w:tcPr>
            <w:tcW w:w="3589"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监测项目</w:t>
            </w:r>
          </w:p>
        </w:tc>
        <w:tc>
          <w:tcPr>
            <w:tcW w:w="1770"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监测频次</w:t>
            </w:r>
          </w:p>
        </w:tc>
        <w:tc>
          <w:tcPr>
            <w:tcW w:w="2100"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样品个数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6" w:hRule="exact"/>
        </w:trPr>
        <w:tc>
          <w:tcPr>
            <w:tcW w:w="722"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33"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厂区雨水总排口</w:t>
            </w:r>
          </w:p>
        </w:tc>
        <w:tc>
          <w:tcPr>
            <w:tcW w:w="3589" w:type="dxa"/>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pH</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氨氮</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化学需氧量</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五日生化需氧量</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SS</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氟化物</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氰化物</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Cu</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Zn</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Pb</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Cd</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Cr6+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Ni</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As</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石油类</w:t>
            </w:r>
          </w:p>
        </w:tc>
        <w:tc>
          <w:tcPr>
            <w:tcW w:w="1770"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 次/半年</w:t>
            </w:r>
          </w:p>
        </w:tc>
        <w:tc>
          <w:tcPr>
            <w:tcW w:w="2100"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瞬时采样至少3 个瞬时样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7" w:hRule="exact"/>
        </w:trPr>
        <w:tc>
          <w:tcPr>
            <w:tcW w:w="722"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p>
        </w:tc>
        <w:tc>
          <w:tcPr>
            <w:tcW w:w="1133" w:type="dxa"/>
            <w:tcBorders>
              <w:top w:val="nil"/>
            </w:tcBorders>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污水处理设施出水口</w:t>
            </w:r>
          </w:p>
        </w:tc>
        <w:tc>
          <w:tcPr>
            <w:tcW w:w="3589"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废水量、</w:t>
            </w:r>
            <w:r>
              <w:rPr>
                <w:rFonts w:hint="eastAsia" w:ascii="宋体" w:hAnsi="宋体" w:eastAsia="宋体" w:cs="宋体"/>
                <w:kern w:val="0"/>
                <w:sz w:val="24"/>
                <w:szCs w:val="24"/>
                <w:lang w:val="en-US" w:eastAsia="zh-CN"/>
              </w:rPr>
              <w:t>PH、COD、BOD5、NH3-N、TP、SS</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石油类</w:t>
            </w:r>
          </w:p>
        </w:tc>
        <w:tc>
          <w:tcPr>
            <w:tcW w:w="1770" w:type="dxa"/>
            <w:vMerge w:val="continue"/>
            <w:tcBorders>
              <w:top w:val="nil"/>
            </w:tcBorders>
            <w:vAlign w:val="center"/>
          </w:tcPr>
          <w:p>
            <w:pPr>
              <w:jc w:val="center"/>
              <w:rPr>
                <w:rFonts w:hint="eastAsia" w:ascii="宋体" w:hAnsi="宋体" w:eastAsia="宋体" w:cs="宋体"/>
                <w:kern w:val="0"/>
                <w:sz w:val="24"/>
                <w:szCs w:val="24"/>
              </w:rPr>
            </w:pPr>
          </w:p>
        </w:tc>
        <w:tc>
          <w:tcPr>
            <w:tcW w:w="2100" w:type="dxa"/>
            <w:vMerge w:val="continue"/>
            <w:tcBorders>
              <w:top w:val="nil"/>
            </w:tcBorders>
            <w:vAlign w:val="center"/>
          </w:tcPr>
          <w:p>
            <w:pPr>
              <w:jc w:val="center"/>
              <w:rPr>
                <w:rFonts w:hint="eastAsia" w:ascii="宋体" w:hAnsi="宋体" w:eastAsia="宋体" w:cs="宋体"/>
                <w:kern w:val="0"/>
                <w:sz w:val="24"/>
                <w:szCs w:val="24"/>
              </w:rPr>
            </w:pPr>
          </w:p>
        </w:tc>
      </w:tr>
    </w:tbl>
    <w:p>
      <w:pPr>
        <w:keepNext w:val="0"/>
        <w:keepLines w:val="0"/>
        <w:pageBreakBefore w:val="0"/>
        <w:widowControl w:val="0"/>
        <w:tabs>
          <w:tab w:val="left" w:pos="3049"/>
        </w:tabs>
        <w:kinsoku/>
        <w:wordWrap/>
        <w:overflowPunct/>
        <w:topLinePunct w:val="0"/>
        <w:autoSpaceDE/>
        <w:autoSpaceDN/>
        <w:bidi w:val="0"/>
        <w:adjustRightInd/>
        <w:snapToGrid/>
        <w:spacing w:before="313" w:beforeLines="100" w:after="313" w:afterLines="100"/>
        <w:ind w:right="0"/>
        <w:jc w:val="center"/>
        <w:textAlignment w:val="auto"/>
        <w:rPr>
          <w:rFonts w:hint="eastAsia" w:ascii="宋体" w:hAnsi="宋体" w:eastAsia="宋体" w:cs="宋体"/>
          <w:b/>
          <w:kern w:val="0"/>
          <w:sz w:val="24"/>
          <w:szCs w:val="20"/>
          <w:lang w:eastAsia="zh-CN"/>
        </w:rPr>
      </w:pPr>
    </w:p>
    <w:p>
      <w:pPr>
        <w:keepNext w:val="0"/>
        <w:keepLines w:val="0"/>
        <w:pageBreakBefore w:val="0"/>
        <w:widowControl w:val="0"/>
        <w:tabs>
          <w:tab w:val="left" w:pos="3049"/>
        </w:tabs>
        <w:kinsoku/>
        <w:wordWrap/>
        <w:overflowPunct/>
        <w:topLinePunct w:val="0"/>
        <w:autoSpaceDE/>
        <w:autoSpaceDN/>
        <w:bidi w:val="0"/>
        <w:adjustRightInd/>
        <w:snapToGrid/>
        <w:spacing w:before="313" w:beforeLines="100" w:after="313" w:afterLines="100"/>
        <w:ind w:right="0"/>
        <w:jc w:val="center"/>
        <w:textAlignment w:val="auto"/>
        <w:rPr>
          <w:rFonts w:hint="eastAsia" w:ascii="宋体" w:hAnsi="宋体" w:eastAsia="宋体" w:cs="宋体"/>
          <w:b/>
          <w:kern w:val="0"/>
          <w:sz w:val="24"/>
          <w:szCs w:val="20"/>
          <w:lang w:eastAsia="zh-CN"/>
        </w:rPr>
      </w:pPr>
    </w:p>
    <w:p>
      <w:pPr>
        <w:keepNext w:val="0"/>
        <w:keepLines w:val="0"/>
        <w:pageBreakBefore w:val="0"/>
        <w:widowControl w:val="0"/>
        <w:tabs>
          <w:tab w:val="left" w:pos="3049"/>
        </w:tabs>
        <w:kinsoku/>
        <w:wordWrap/>
        <w:overflowPunct/>
        <w:topLinePunct w:val="0"/>
        <w:autoSpaceDE/>
        <w:autoSpaceDN/>
        <w:bidi w:val="0"/>
        <w:adjustRightInd/>
        <w:snapToGrid/>
        <w:spacing w:before="313" w:beforeLines="100" w:after="313" w:afterLines="100"/>
        <w:ind w:right="0"/>
        <w:jc w:val="center"/>
        <w:textAlignment w:val="auto"/>
        <w:rPr>
          <w:rFonts w:hint="eastAsia" w:ascii="宋体" w:hAnsi="宋体" w:eastAsia="宋体" w:cs="宋体"/>
          <w:b/>
          <w:kern w:val="0"/>
          <w:sz w:val="24"/>
          <w:szCs w:val="20"/>
          <w:lang w:eastAsia="zh-CN"/>
        </w:rPr>
      </w:pPr>
    </w:p>
    <w:p>
      <w:pPr>
        <w:keepNext w:val="0"/>
        <w:keepLines w:val="0"/>
        <w:pageBreakBefore w:val="0"/>
        <w:widowControl w:val="0"/>
        <w:tabs>
          <w:tab w:val="left" w:pos="3049"/>
        </w:tabs>
        <w:kinsoku/>
        <w:wordWrap/>
        <w:overflowPunct/>
        <w:topLinePunct w:val="0"/>
        <w:autoSpaceDE/>
        <w:autoSpaceDN/>
        <w:bidi w:val="0"/>
        <w:adjustRightInd/>
        <w:snapToGrid/>
        <w:spacing w:before="313" w:beforeLines="100" w:after="313" w:afterLines="100"/>
        <w:ind w:right="0"/>
        <w:jc w:val="center"/>
        <w:textAlignment w:val="auto"/>
        <w:rPr>
          <w:rFonts w:hint="eastAsia" w:ascii="宋体" w:hAnsi="宋体" w:eastAsia="宋体" w:cs="宋体"/>
          <w:b/>
          <w:kern w:val="0"/>
          <w:sz w:val="24"/>
          <w:szCs w:val="20"/>
          <w:lang w:eastAsia="zh-CN"/>
        </w:rPr>
      </w:pPr>
    </w:p>
    <w:p>
      <w:pPr>
        <w:keepNext w:val="0"/>
        <w:keepLines w:val="0"/>
        <w:pageBreakBefore w:val="0"/>
        <w:widowControl w:val="0"/>
        <w:tabs>
          <w:tab w:val="left" w:pos="3049"/>
        </w:tabs>
        <w:kinsoku/>
        <w:wordWrap/>
        <w:overflowPunct/>
        <w:topLinePunct w:val="0"/>
        <w:autoSpaceDE/>
        <w:autoSpaceDN/>
        <w:bidi w:val="0"/>
        <w:adjustRightInd/>
        <w:snapToGrid/>
        <w:spacing w:before="313" w:beforeLines="100" w:after="313" w:afterLines="100"/>
        <w:ind w:right="0"/>
        <w:jc w:val="center"/>
        <w:textAlignment w:val="auto"/>
        <w:rPr>
          <w:rFonts w:hint="eastAsia" w:ascii="宋体" w:hAnsi="宋体" w:eastAsia="宋体" w:cs="宋体"/>
          <w:b/>
          <w:kern w:val="0"/>
          <w:sz w:val="24"/>
          <w:szCs w:val="20"/>
          <w:lang w:eastAsia="zh-CN"/>
        </w:rPr>
      </w:pPr>
    </w:p>
    <w:p>
      <w:pPr>
        <w:keepNext w:val="0"/>
        <w:keepLines w:val="0"/>
        <w:pageBreakBefore w:val="0"/>
        <w:widowControl w:val="0"/>
        <w:tabs>
          <w:tab w:val="left" w:pos="3049"/>
        </w:tabs>
        <w:kinsoku/>
        <w:wordWrap/>
        <w:overflowPunct/>
        <w:topLinePunct w:val="0"/>
        <w:autoSpaceDE/>
        <w:autoSpaceDN/>
        <w:bidi w:val="0"/>
        <w:adjustRightInd/>
        <w:snapToGrid/>
        <w:spacing w:before="313" w:beforeLines="100" w:after="313" w:afterLines="100"/>
        <w:ind w:right="0"/>
        <w:jc w:val="center"/>
        <w:textAlignment w:val="auto"/>
        <w:rPr>
          <w:rFonts w:hint="eastAsia" w:ascii="宋体" w:hAnsi="宋体" w:eastAsia="宋体" w:cs="宋体"/>
          <w:b/>
          <w:kern w:val="0"/>
          <w:sz w:val="24"/>
          <w:szCs w:val="20"/>
        </w:rPr>
      </w:pPr>
      <w:r>
        <w:rPr>
          <w:rFonts w:hint="eastAsia" w:ascii="宋体" w:hAnsi="宋体" w:eastAsia="宋体" w:cs="宋体"/>
          <w:b/>
          <w:kern w:val="0"/>
          <w:sz w:val="24"/>
          <w:szCs w:val="20"/>
          <w:lang w:eastAsia="zh-CN"/>
        </w:rPr>
        <w:t>表</w:t>
      </w:r>
      <w:r>
        <w:rPr>
          <w:rFonts w:hint="eastAsia" w:ascii="宋体" w:hAnsi="宋体" w:eastAsia="宋体" w:cs="宋体"/>
          <w:b/>
          <w:kern w:val="0"/>
          <w:sz w:val="24"/>
          <w:szCs w:val="20"/>
          <w:lang w:val="en-US" w:eastAsia="zh-CN"/>
        </w:rPr>
        <w:t xml:space="preserve">3 </w:t>
      </w:r>
      <w:r>
        <w:rPr>
          <w:rFonts w:hint="eastAsia" w:ascii="宋体" w:hAnsi="宋体" w:eastAsia="宋体" w:cs="宋体"/>
          <w:b/>
          <w:kern w:val="0"/>
          <w:sz w:val="24"/>
          <w:szCs w:val="20"/>
        </w:rPr>
        <w:t>厂界噪声监测内容、方法及使用仪器一览表</w:t>
      </w:r>
    </w:p>
    <w:tbl>
      <w:tblPr>
        <w:tblStyle w:val="7"/>
        <w:tblW w:w="9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938"/>
        <w:gridCol w:w="1562"/>
        <w:gridCol w:w="2014"/>
        <w:gridCol w:w="1106"/>
        <w:gridCol w:w="1477"/>
        <w:gridCol w:w="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24"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点位布设</w:t>
            </w:r>
          </w:p>
        </w:tc>
        <w:tc>
          <w:tcPr>
            <w:tcW w:w="938"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w:t>
            </w:r>
          </w:p>
          <w:p>
            <w:pPr>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项</w:t>
            </w:r>
            <w:r>
              <w:rPr>
                <w:rFonts w:hint="eastAsia" w:ascii="宋体" w:hAnsi="宋体" w:eastAsia="宋体" w:cs="宋体"/>
                <w:b/>
                <w:bCs/>
                <w:kern w:val="0"/>
                <w:sz w:val="24"/>
                <w:szCs w:val="24"/>
                <w:lang w:eastAsia="zh-CN"/>
              </w:rPr>
              <w:t>目</w:t>
            </w:r>
          </w:p>
        </w:tc>
        <w:tc>
          <w:tcPr>
            <w:tcW w:w="1562"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监测频次</w:t>
            </w:r>
          </w:p>
        </w:tc>
        <w:tc>
          <w:tcPr>
            <w:tcW w:w="2014"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监测方法及依据</w:t>
            </w:r>
          </w:p>
        </w:tc>
        <w:tc>
          <w:tcPr>
            <w:tcW w:w="1106"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检出限</w:t>
            </w:r>
          </w:p>
        </w:tc>
        <w:tc>
          <w:tcPr>
            <w:tcW w:w="1477"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仪器设备名称和型号</w:t>
            </w:r>
          </w:p>
        </w:tc>
        <w:tc>
          <w:tcPr>
            <w:tcW w:w="854"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trPr>
        <w:tc>
          <w:tcPr>
            <w:tcW w:w="1124"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厂界四周共设 8 个监测点</w:t>
            </w:r>
          </w:p>
        </w:tc>
        <w:tc>
          <w:tcPr>
            <w:tcW w:w="938"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Leq</w:t>
            </w:r>
          </w:p>
        </w:tc>
        <w:tc>
          <w:tcPr>
            <w:tcW w:w="1562"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 次/季度</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(昼、夜各一次)</w:t>
            </w:r>
          </w:p>
        </w:tc>
        <w:tc>
          <w:tcPr>
            <w:tcW w:w="2014"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《工业企业厂界环境噪声排放标准》GB12348-2008</w:t>
            </w:r>
          </w:p>
        </w:tc>
        <w:tc>
          <w:tcPr>
            <w:tcW w:w="1106"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35dB(A)</w:t>
            </w:r>
          </w:p>
        </w:tc>
        <w:tc>
          <w:tcPr>
            <w:tcW w:w="147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AWA6288+噪声</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多功能声级计</w:t>
            </w:r>
          </w:p>
        </w:tc>
        <w:tc>
          <w:tcPr>
            <w:tcW w:w="854"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r>
    </w:tbl>
    <w:p>
      <w:pPr>
        <w:keepNext w:val="0"/>
        <w:keepLines w:val="0"/>
        <w:pageBreakBefore w:val="0"/>
        <w:widowControl w:val="0"/>
        <w:tabs>
          <w:tab w:val="left" w:pos="3049"/>
        </w:tabs>
        <w:kinsoku/>
        <w:wordWrap/>
        <w:overflowPunct/>
        <w:topLinePunct w:val="0"/>
        <w:autoSpaceDE/>
        <w:autoSpaceDN/>
        <w:bidi w:val="0"/>
        <w:adjustRightInd/>
        <w:snapToGrid/>
        <w:spacing w:before="157" w:beforeLines="50" w:after="157" w:afterLines="50"/>
        <w:ind w:right="0"/>
        <w:jc w:val="center"/>
        <w:textAlignment w:val="auto"/>
        <w:rPr>
          <w:rFonts w:hint="eastAsia" w:ascii="宋体" w:hAnsi="宋体" w:eastAsia="宋体" w:cs="宋体"/>
          <w:b/>
          <w:kern w:val="0"/>
          <w:sz w:val="24"/>
          <w:szCs w:val="20"/>
          <w:lang w:eastAsia="zh-CN"/>
        </w:rPr>
      </w:pPr>
      <w:r>
        <w:rPr>
          <w:rFonts w:hint="eastAsia" w:ascii="宋体" w:hAnsi="宋体" w:eastAsia="宋体" w:cs="宋体"/>
          <w:b/>
          <w:kern w:val="0"/>
          <w:sz w:val="24"/>
          <w:szCs w:val="20"/>
          <w:lang w:eastAsia="zh-CN"/>
        </w:rPr>
        <w:t>表</w:t>
      </w:r>
      <w:r>
        <w:rPr>
          <w:rFonts w:hint="eastAsia" w:ascii="宋体" w:hAnsi="宋体" w:eastAsia="宋体" w:cs="宋体"/>
          <w:b/>
          <w:kern w:val="0"/>
          <w:sz w:val="24"/>
          <w:szCs w:val="20"/>
          <w:lang w:val="en-US" w:eastAsia="zh-CN"/>
        </w:rPr>
        <w:t xml:space="preserve">4 </w:t>
      </w:r>
      <w:r>
        <w:rPr>
          <w:rFonts w:hint="eastAsia" w:ascii="宋体" w:hAnsi="宋体" w:eastAsia="宋体" w:cs="宋体"/>
          <w:b/>
          <w:kern w:val="0"/>
          <w:sz w:val="24"/>
          <w:szCs w:val="20"/>
          <w:lang w:eastAsia="zh-CN"/>
        </w:rPr>
        <w:t>土壤环境质量监测内容一览表</w:t>
      </w:r>
    </w:p>
    <w:tbl>
      <w:tblPr>
        <w:tblStyle w:val="7"/>
        <w:tblW w:w="90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788"/>
        <w:gridCol w:w="570"/>
        <w:gridCol w:w="1875"/>
        <w:gridCol w:w="732"/>
        <w:gridCol w:w="33"/>
        <w:gridCol w:w="4088"/>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793" w:type="dxa"/>
            <w:gridSpan w:val="2"/>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w:t>
            </w:r>
          </w:p>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点位</w:t>
            </w:r>
          </w:p>
        </w:tc>
        <w:tc>
          <w:tcPr>
            <w:tcW w:w="570"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875"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监测项目</w:t>
            </w:r>
          </w:p>
        </w:tc>
        <w:tc>
          <w:tcPr>
            <w:tcW w:w="765" w:type="dxa"/>
            <w:gridSpan w:val="2"/>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监测频次</w:t>
            </w:r>
          </w:p>
        </w:tc>
        <w:tc>
          <w:tcPr>
            <w:tcW w:w="4088"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监测分析方法及依据</w:t>
            </w:r>
          </w:p>
        </w:tc>
        <w:tc>
          <w:tcPr>
            <w:tcW w:w="975"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方法检出</w:t>
            </w:r>
          </w:p>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限(mg/kg)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93" w:type="dxa"/>
            <w:gridSpan w:val="2"/>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危废储存库附 近（柱状</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样）、水泥厂办公区附近</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（表层样） 各设</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1 个点</w:t>
            </w: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75"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砷</w:t>
            </w:r>
          </w:p>
        </w:tc>
        <w:tc>
          <w:tcPr>
            <w:tcW w:w="765" w:type="dxa"/>
            <w:gridSpan w:val="2"/>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每年一次， 每次监测 一天</w:t>
            </w:r>
          </w:p>
        </w:tc>
        <w:tc>
          <w:tcPr>
            <w:tcW w:w="4088"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汞、砷、硒、铋、锑的测定微波消解/原子荧光法HJ 680-2013</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tcBorders>
              <w:bottom w:val="nil"/>
            </w:tcBorders>
            <w:vAlign w:val="center"/>
          </w:tcPr>
          <w:p>
            <w:pPr>
              <w:jc w:val="center"/>
              <w:rPr>
                <w:rFonts w:hint="eastAsia" w:ascii="宋体" w:hAnsi="宋体" w:eastAsia="宋体" w:cs="宋体"/>
                <w:kern w:val="0"/>
                <w:sz w:val="24"/>
                <w:szCs w:val="24"/>
              </w:rPr>
            </w:pPr>
          </w:p>
        </w:tc>
        <w:tc>
          <w:tcPr>
            <w:tcW w:w="1875" w:type="dxa"/>
            <w:tcBorders>
              <w:bottom w:val="nil"/>
            </w:tcBorders>
            <w:vAlign w:val="center"/>
          </w:tcPr>
          <w:p>
            <w:pPr>
              <w:jc w:val="center"/>
              <w:rPr>
                <w:rFonts w:hint="eastAsia" w:ascii="宋体" w:hAnsi="宋体" w:eastAsia="宋体" w:cs="宋体"/>
                <w:kern w:val="0"/>
                <w:sz w:val="24"/>
                <w:szCs w:val="24"/>
              </w:rPr>
            </w:pP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bottom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土壤质量 铅、镉的测定</w:t>
            </w:r>
          </w:p>
        </w:tc>
        <w:tc>
          <w:tcPr>
            <w:tcW w:w="975" w:type="dxa"/>
            <w:tcBorders>
              <w:bottom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7"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tcBorders>
              <w:top w:val="nil"/>
              <w:bottom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75" w:type="dxa"/>
            <w:tcBorders>
              <w:top w:val="nil"/>
              <w:bottom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镉</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top w:val="nil"/>
              <w:bottom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石墨炉原子吸收分光光度法 GB/T</w:t>
            </w:r>
          </w:p>
        </w:tc>
        <w:tc>
          <w:tcPr>
            <w:tcW w:w="975" w:type="dxa"/>
            <w:tcBorders>
              <w:top w:val="nil"/>
              <w:bottom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2"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tcBorders>
              <w:top w:val="nil"/>
            </w:tcBorders>
            <w:vAlign w:val="center"/>
          </w:tcPr>
          <w:p>
            <w:pPr>
              <w:jc w:val="center"/>
              <w:rPr>
                <w:rFonts w:hint="eastAsia" w:ascii="宋体" w:hAnsi="宋体" w:eastAsia="宋体" w:cs="宋体"/>
                <w:kern w:val="0"/>
                <w:sz w:val="24"/>
                <w:szCs w:val="24"/>
              </w:rPr>
            </w:pPr>
          </w:p>
        </w:tc>
        <w:tc>
          <w:tcPr>
            <w:tcW w:w="1875" w:type="dxa"/>
            <w:tcBorders>
              <w:top w:val="nil"/>
            </w:tcBorders>
            <w:vAlign w:val="center"/>
          </w:tcPr>
          <w:p>
            <w:pPr>
              <w:jc w:val="center"/>
              <w:rPr>
                <w:rFonts w:hint="eastAsia" w:ascii="宋体" w:hAnsi="宋体" w:eastAsia="宋体" w:cs="宋体"/>
                <w:kern w:val="0"/>
                <w:sz w:val="24"/>
                <w:szCs w:val="24"/>
              </w:rPr>
            </w:pP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top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17141-1997</w:t>
            </w:r>
          </w:p>
        </w:tc>
        <w:tc>
          <w:tcPr>
            <w:tcW w:w="975" w:type="dxa"/>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9"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铬（六价）</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六价铬的测定 碱溶液提取-</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火焰原子吸收分光光度法</w:t>
            </w:r>
            <w:r>
              <w:rPr>
                <w:rFonts w:hint="eastAsia" w:ascii="宋体" w:hAnsi="宋体" w:eastAsia="宋体" w:cs="宋体"/>
                <w:kern w:val="0"/>
                <w:sz w:val="21"/>
                <w:szCs w:val="21"/>
              </w:rPr>
              <w:tab/>
            </w:r>
            <w:r>
              <w:rPr>
                <w:rFonts w:hint="eastAsia" w:ascii="宋体" w:hAnsi="宋体" w:eastAsia="宋体" w:cs="宋体"/>
                <w:kern w:val="0"/>
                <w:sz w:val="21"/>
                <w:szCs w:val="21"/>
              </w:rPr>
              <w:t>HJ 1082-2019</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铜</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铜、锌、铅、镍、铬的测定 火焰原子吸收分光光度法</w:t>
            </w:r>
            <w:r>
              <w:rPr>
                <w:rFonts w:hint="eastAsia" w:ascii="宋体" w:hAnsi="宋体" w:eastAsia="宋体" w:cs="宋体"/>
                <w:kern w:val="0"/>
                <w:sz w:val="21"/>
                <w:szCs w:val="21"/>
              </w:rPr>
              <w:tab/>
            </w:r>
            <w:r>
              <w:rPr>
                <w:rFonts w:hint="eastAsia" w:ascii="宋体" w:hAnsi="宋体" w:eastAsia="宋体" w:cs="宋体"/>
                <w:kern w:val="0"/>
                <w:sz w:val="21"/>
                <w:szCs w:val="21"/>
              </w:rPr>
              <w:t>HJ 491-2019</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铅</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铜、锌、铅、镍、铬的测定 火</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焰原子吸收分光光度法</w:t>
            </w:r>
            <w:r>
              <w:rPr>
                <w:rFonts w:hint="eastAsia" w:ascii="宋体" w:hAnsi="宋体" w:eastAsia="宋体" w:cs="宋体"/>
                <w:kern w:val="0"/>
                <w:sz w:val="21"/>
                <w:szCs w:val="21"/>
              </w:rPr>
              <w:tab/>
            </w:r>
            <w:r>
              <w:rPr>
                <w:rFonts w:hint="eastAsia" w:ascii="宋体" w:hAnsi="宋体" w:eastAsia="宋体" w:cs="宋体"/>
                <w:kern w:val="0"/>
                <w:sz w:val="21"/>
                <w:szCs w:val="21"/>
              </w:rPr>
              <w:t>HJ 491-2019</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汞</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汞、砷、硒、铋、锑的测定</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微波消解/原子荧光法</w:t>
            </w:r>
            <w:r>
              <w:rPr>
                <w:rFonts w:hint="eastAsia" w:ascii="宋体" w:hAnsi="宋体" w:eastAsia="宋体" w:cs="宋体"/>
                <w:kern w:val="0"/>
                <w:sz w:val="21"/>
                <w:szCs w:val="21"/>
              </w:rPr>
              <w:tab/>
            </w:r>
            <w:r>
              <w:rPr>
                <w:rFonts w:hint="eastAsia" w:ascii="宋体" w:hAnsi="宋体" w:eastAsia="宋体" w:cs="宋体"/>
                <w:kern w:val="0"/>
                <w:sz w:val="21"/>
                <w:szCs w:val="21"/>
              </w:rPr>
              <w:t>HJ 680-2013</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875"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镍</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铜、锌、铅、镍、铬的测定 火焰原子吸收分光光度法</w:t>
            </w:r>
            <w:r>
              <w:rPr>
                <w:rFonts w:hint="eastAsia" w:ascii="宋体" w:hAnsi="宋体" w:eastAsia="宋体" w:cs="宋体"/>
                <w:kern w:val="0"/>
                <w:sz w:val="21"/>
                <w:szCs w:val="21"/>
              </w:rPr>
              <w:tab/>
            </w:r>
            <w:r>
              <w:rPr>
                <w:rFonts w:hint="eastAsia" w:ascii="宋体" w:hAnsi="宋体" w:eastAsia="宋体" w:cs="宋体"/>
                <w:kern w:val="0"/>
                <w:sz w:val="21"/>
                <w:szCs w:val="21"/>
              </w:rPr>
              <w:t>HJ 491-2019</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四氯化碳</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挥发性有机物的测定</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氯仿</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挥发性有机物的测定</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氯甲烷</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875" w:type="dxa"/>
            <w:vMerge w:val="restart"/>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1,1-二氯</w:t>
            </w:r>
            <w:r>
              <w:rPr>
                <w:rFonts w:hint="eastAsia" w:ascii="宋体" w:hAnsi="宋体" w:eastAsia="宋体" w:cs="宋体"/>
                <w:kern w:val="0"/>
                <w:sz w:val="24"/>
                <w:szCs w:val="24"/>
                <w:lang w:eastAsia="zh-CN"/>
              </w:rPr>
              <w:t>乙烷</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bottom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挥发性有机物的测定</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continue"/>
            <w:tcBorders>
              <w:top w:val="nil"/>
            </w:tcBorders>
            <w:vAlign w:val="center"/>
          </w:tcPr>
          <w:p>
            <w:pPr>
              <w:jc w:val="center"/>
              <w:rPr>
                <w:rFonts w:hint="eastAsia" w:ascii="宋体" w:hAnsi="宋体" w:eastAsia="宋体" w:cs="宋体"/>
                <w:kern w:val="0"/>
                <w:sz w:val="24"/>
                <w:szCs w:val="24"/>
              </w:rPr>
            </w:pPr>
          </w:p>
        </w:tc>
        <w:tc>
          <w:tcPr>
            <w:tcW w:w="1875" w:type="dxa"/>
            <w:vMerge w:val="continue"/>
            <w:vAlign w:val="center"/>
          </w:tcPr>
          <w:p>
            <w:pPr>
              <w:jc w:val="both"/>
              <w:rPr>
                <w:rFonts w:hint="eastAsia" w:ascii="宋体" w:hAnsi="宋体" w:eastAsia="宋体" w:cs="宋体"/>
                <w:kern w:val="0"/>
                <w:sz w:val="24"/>
                <w:szCs w:val="24"/>
              </w:rPr>
            </w:pP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top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吹扫捕集/气相色谱-质谱法 HJ 605-2011</w:t>
            </w:r>
          </w:p>
        </w:tc>
        <w:tc>
          <w:tcPr>
            <w:tcW w:w="97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8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1,2-二氯乙烷</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bottom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挥发性有机物的测定</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continue"/>
            <w:tcBorders>
              <w:top w:val="nil"/>
            </w:tcBorders>
            <w:vAlign w:val="center"/>
          </w:tcPr>
          <w:p>
            <w:pPr>
              <w:jc w:val="center"/>
              <w:rPr>
                <w:rFonts w:hint="eastAsia" w:ascii="宋体" w:hAnsi="宋体" w:eastAsia="宋体" w:cs="宋体"/>
                <w:kern w:val="0"/>
                <w:sz w:val="24"/>
                <w:szCs w:val="24"/>
              </w:rPr>
            </w:pPr>
          </w:p>
        </w:tc>
        <w:tc>
          <w:tcPr>
            <w:tcW w:w="1875" w:type="dxa"/>
            <w:vMerge w:val="continue"/>
            <w:vAlign w:val="center"/>
          </w:tcPr>
          <w:p>
            <w:pPr>
              <w:jc w:val="center"/>
              <w:rPr>
                <w:rFonts w:hint="eastAsia" w:ascii="宋体" w:hAnsi="宋体" w:eastAsia="宋体" w:cs="宋体"/>
                <w:kern w:val="0"/>
                <w:sz w:val="24"/>
                <w:szCs w:val="24"/>
              </w:rPr>
            </w:pP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top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吹扫捕集/气相色谱-质谱法 HJ 605-2011</w:t>
            </w:r>
          </w:p>
        </w:tc>
        <w:tc>
          <w:tcPr>
            <w:tcW w:w="97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8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1,1-二氯乙烯</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bottom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挥发性有机物的测定</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7"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continue"/>
            <w:tcBorders>
              <w:top w:val="nil"/>
            </w:tcBorders>
            <w:vAlign w:val="center"/>
          </w:tcPr>
          <w:p>
            <w:pPr>
              <w:jc w:val="center"/>
              <w:rPr>
                <w:rFonts w:hint="eastAsia" w:ascii="宋体" w:hAnsi="宋体" w:eastAsia="宋体" w:cs="宋体"/>
                <w:kern w:val="0"/>
                <w:sz w:val="24"/>
                <w:szCs w:val="24"/>
              </w:rPr>
            </w:pPr>
          </w:p>
        </w:tc>
        <w:tc>
          <w:tcPr>
            <w:tcW w:w="1875" w:type="dxa"/>
            <w:vMerge w:val="continue"/>
            <w:vAlign w:val="center"/>
          </w:tcPr>
          <w:p>
            <w:pPr>
              <w:jc w:val="center"/>
              <w:rPr>
                <w:rFonts w:hint="eastAsia" w:ascii="宋体" w:hAnsi="宋体" w:eastAsia="宋体" w:cs="宋体"/>
                <w:kern w:val="0"/>
                <w:sz w:val="24"/>
                <w:szCs w:val="24"/>
              </w:rPr>
            </w:pP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top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吹扫捕集/气相色谱-质谱法 HJ 605-2011</w:t>
            </w:r>
          </w:p>
        </w:tc>
        <w:tc>
          <w:tcPr>
            <w:tcW w:w="97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8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顺-1,2-二氯</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乙烯</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bottom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挥发性有机物的测定</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continue"/>
            <w:tcBorders>
              <w:top w:val="nil"/>
            </w:tcBorders>
            <w:vAlign w:val="center"/>
          </w:tcPr>
          <w:p>
            <w:pPr>
              <w:jc w:val="center"/>
              <w:rPr>
                <w:rFonts w:hint="eastAsia" w:ascii="宋体" w:hAnsi="宋体" w:eastAsia="宋体" w:cs="宋体"/>
                <w:kern w:val="0"/>
                <w:sz w:val="24"/>
                <w:szCs w:val="24"/>
              </w:rPr>
            </w:pPr>
          </w:p>
        </w:tc>
        <w:tc>
          <w:tcPr>
            <w:tcW w:w="1875" w:type="dxa"/>
            <w:vMerge w:val="continue"/>
            <w:vAlign w:val="center"/>
          </w:tcPr>
          <w:p>
            <w:pPr>
              <w:jc w:val="center"/>
              <w:rPr>
                <w:rFonts w:hint="eastAsia" w:ascii="宋体" w:hAnsi="宋体" w:eastAsia="宋体" w:cs="宋体"/>
                <w:kern w:val="0"/>
                <w:sz w:val="24"/>
                <w:szCs w:val="24"/>
              </w:rPr>
            </w:pP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top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吹扫捕集/气相色谱-质谱法 HJ 605-2011</w:t>
            </w:r>
          </w:p>
        </w:tc>
        <w:tc>
          <w:tcPr>
            <w:tcW w:w="97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8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反-1,2-二氯</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乙烯</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bottom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挥发性有机物的测定</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continue"/>
            <w:tcBorders>
              <w:top w:val="nil"/>
            </w:tcBorders>
            <w:vAlign w:val="center"/>
          </w:tcPr>
          <w:p>
            <w:pPr>
              <w:jc w:val="center"/>
              <w:rPr>
                <w:rFonts w:hint="eastAsia" w:ascii="宋体" w:hAnsi="宋体" w:eastAsia="宋体" w:cs="宋体"/>
                <w:kern w:val="0"/>
                <w:sz w:val="24"/>
                <w:szCs w:val="24"/>
              </w:rPr>
            </w:pPr>
          </w:p>
        </w:tc>
        <w:tc>
          <w:tcPr>
            <w:tcW w:w="1875" w:type="dxa"/>
            <w:vMerge w:val="continue"/>
            <w:vAlign w:val="center"/>
          </w:tcPr>
          <w:p>
            <w:pPr>
              <w:jc w:val="center"/>
              <w:rPr>
                <w:rFonts w:hint="eastAsia" w:ascii="宋体" w:hAnsi="宋体" w:eastAsia="宋体" w:cs="宋体"/>
                <w:kern w:val="0"/>
                <w:sz w:val="24"/>
                <w:szCs w:val="24"/>
              </w:rPr>
            </w:pP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top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吹扫捕集/气相色谱-质谱法 HJ 605-2011</w:t>
            </w:r>
          </w:p>
        </w:tc>
        <w:tc>
          <w:tcPr>
            <w:tcW w:w="97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二氯甲烷</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875" w:type="dxa"/>
            <w:tcBorders>
              <w:bottom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1,2-二氯丙</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bottom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土壤和沉积物 挥发性有机物的测定</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3" w:type="dxa"/>
            <w:gridSpan w:val="2"/>
            <w:vMerge w:val="continue"/>
            <w:tcBorders>
              <w:top w:val="nil"/>
            </w:tcBorders>
            <w:vAlign w:val="center"/>
          </w:tcPr>
          <w:p>
            <w:pPr>
              <w:jc w:val="center"/>
              <w:rPr>
                <w:rFonts w:hint="eastAsia" w:ascii="宋体" w:hAnsi="宋体" w:eastAsia="宋体" w:cs="宋体"/>
                <w:kern w:val="0"/>
                <w:sz w:val="24"/>
                <w:szCs w:val="24"/>
              </w:rPr>
            </w:pPr>
          </w:p>
        </w:tc>
        <w:tc>
          <w:tcPr>
            <w:tcW w:w="570" w:type="dxa"/>
            <w:vMerge w:val="continue"/>
            <w:tcBorders>
              <w:top w:val="nil"/>
            </w:tcBorders>
            <w:vAlign w:val="center"/>
          </w:tcPr>
          <w:p>
            <w:pPr>
              <w:jc w:val="center"/>
              <w:rPr>
                <w:rFonts w:hint="eastAsia" w:ascii="宋体" w:hAnsi="宋体" w:eastAsia="宋体" w:cs="宋体"/>
                <w:kern w:val="0"/>
                <w:sz w:val="24"/>
                <w:szCs w:val="24"/>
              </w:rPr>
            </w:pPr>
          </w:p>
        </w:tc>
        <w:tc>
          <w:tcPr>
            <w:tcW w:w="1875" w:type="dxa"/>
            <w:tcBorders>
              <w:top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烷</w:t>
            </w:r>
          </w:p>
        </w:tc>
        <w:tc>
          <w:tcPr>
            <w:tcW w:w="765" w:type="dxa"/>
            <w:gridSpan w:val="2"/>
            <w:vMerge w:val="continue"/>
            <w:tcBorders>
              <w:top w:val="nil"/>
            </w:tcBorders>
            <w:vAlign w:val="center"/>
          </w:tcPr>
          <w:p>
            <w:pPr>
              <w:jc w:val="center"/>
              <w:rPr>
                <w:rFonts w:hint="eastAsia" w:ascii="宋体" w:hAnsi="宋体" w:eastAsia="宋体" w:cs="宋体"/>
                <w:kern w:val="0"/>
                <w:sz w:val="24"/>
                <w:szCs w:val="24"/>
              </w:rPr>
            </w:pPr>
          </w:p>
        </w:tc>
        <w:tc>
          <w:tcPr>
            <w:tcW w:w="4088" w:type="dxa"/>
            <w:tcBorders>
              <w:top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吹扫捕集/气相色谱-质谱法 HJ 605-2011</w:t>
            </w:r>
          </w:p>
        </w:tc>
        <w:tc>
          <w:tcPr>
            <w:tcW w:w="97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03" w:hRule="atLeast"/>
        </w:trPr>
        <w:tc>
          <w:tcPr>
            <w:tcW w:w="788"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监测点位</w:t>
            </w:r>
          </w:p>
        </w:tc>
        <w:tc>
          <w:tcPr>
            <w:tcW w:w="570"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875"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监测项目</w:t>
            </w:r>
          </w:p>
        </w:tc>
        <w:tc>
          <w:tcPr>
            <w:tcW w:w="732"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监测频次</w:t>
            </w:r>
          </w:p>
        </w:tc>
        <w:tc>
          <w:tcPr>
            <w:tcW w:w="4121" w:type="dxa"/>
            <w:gridSpan w:val="2"/>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监测分析方法及依据</w:t>
            </w:r>
          </w:p>
        </w:tc>
        <w:tc>
          <w:tcPr>
            <w:tcW w:w="975"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方法检出限(mg/kg)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627" w:hRule="atLeast"/>
        </w:trPr>
        <w:tc>
          <w:tcPr>
            <w:tcW w:w="788"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危废储存库附 近（柱状</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样）、水泥厂办公区附近</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（表层样） 各设</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1 个点</w:t>
            </w: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1,1,1,2-四</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氯乙烷</w:t>
            </w:r>
          </w:p>
        </w:tc>
        <w:tc>
          <w:tcPr>
            <w:tcW w:w="732"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每年一次，</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每次监测一天</w:t>
            </w: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0.0012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1,1,2,2-四</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氯乙烷</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0.0012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四氯乙烯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0.0014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5"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1,1,1-三氯</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乙烷</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0.0013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1,1,2-三氯</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乙烷</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0.0012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三氯乙烯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1,2,3-三氯</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丙烷</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氯乙烯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6"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氯苯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1,2-二氯苯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1，4-二氯苯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乙苯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31</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苯乙烯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7"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甲苯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挥发性有机物的测定吹扫捕集/气相色谱-质谱法 HJ 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741"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33</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间二甲苯＋ 对二甲苯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left"/>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w:t>
            </w:r>
          </w:p>
          <w:p>
            <w:pPr>
              <w:jc w:val="left"/>
              <w:rPr>
                <w:rFonts w:hint="eastAsia" w:ascii="宋体" w:hAnsi="宋体" w:eastAsia="宋体" w:cs="宋体"/>
                <w:kern w:val="0"/>
                <w:sz w:val="24"/>
                <w:szCs w:val="24"/>
              </w:rPr>
            </w:pPr>
            <w:r>
              <w:rPr>
                <w:rFonts w:hint="eastAsia" w:ascii="宋体" w:hAnsi="宋体" w:eastAsia="宋体" w:cs="宋体"/>
                <w:kern w:val="0"/>
                <w:sz w:val="24"/>
                <w:szCs w:val="24"/>
              </w:rPr>
              <w:t>吹扫捕集/气相色谱-质谱法HJ605-2011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99"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34</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邻二甲苯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left"/>
              <w:rPr>
                <w:rFonts w:hint="eastAsia" w:ascii="宋体" w:hAnsi="宋体" w:eastAsia="宋体" w:cs="宋体"/>
                <w:kern w:val="0"/>
                <w:sz w:val="24"/>
                <w:szCs w:val="24"/>
              </w:rPr>
            </w:pPr>
            <w:r>
              <w:rPr>
                <w:rFonts w:hint="eastAsia" w:ascii="宋体" w:hAnsi="宋体" w:eastAsia="宋体" w:cs="宋体"/>
                <w:kern w:val="0"/>
                <w:sz w:val="24"/>
                <w:szCs w:val="24"/>
              </w:rPr>
              <w:t>土壤和沉积物 挥发性有机物的测定</w:t>
            </w:r>
          </w:p>
          <w:p>
            <w:pPr>
              <w:jc w:val="left"/>
              <w:rPr>
                <w:rFonts w:hint="eastAsia" w:ascii="宋体" w:hAnsi="宋体" w:eastAsia="宋体" w:cs="宋体"/>
                <w:kern w:val="0"/>
                <w:sz w:val="24"/>
                <w:szCs w:val="24"/>
              </w:rPr>
            </w:pPr>
            <w:r>
              <w:rPr>
                <w:rFonts w:hint="eastAsia" w:ascii="宋体" w:hAnsi="宋体" w:eastAsia="宋体" w:cs="宋体"/>
                <w:kern w:val="0"/>
                <w:sz w:val="24"/>
                <w:szCs w:val="24"/>
              </w:rPr>
              <w:t>吹扫捕集/气相色谱-质谱法HJ605-2011</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00"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35</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硝基苯</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半挥发性有机物的测定气相色谱-质谱法 HJ 834-2017</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99"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36</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苯胺</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半挥发性有机物的测定</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气相色谱-质谱法 HJ 834-2017</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600" w:hRule="atLeast"/>
        </w:trPr>
        <w:tc>
          <w:tcPr>
            <w:tcW w:w="788" w:type="dxa"/>
            <w:vMerge w:val="continue"/>
            <w:tcBorders>
              <w:top w:val="nil"/>
            </w:tcBorders>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37</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2-氯酚</w:t>
            </w:r>
          </w:p>
        </w:tc>
        <w:tc>
          <w:tcPr>
            <w:tcW w:w="732" w:type="dxa"/>
            <w:vMerge w:val="continue"/>
            <w:tcBorders>
              <w:top w:val="nil"/>
            </w:tcBorders>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酚类化合物的测定</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气相色谱法 HJ 703-2014</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341" w:hRule="atLeast"/>
        </w:trPr>
        <w:tc>
          <w:tcPr>
            <w:tcW w:w="788" w:type="dxa"/>
            <w:tcBorders>
              <w:bottom w:val="nil"/>
            </w:tcBorders>
            <w:vAlign w:val="center"/>
          </w:tcPr>
          <w:p>
            <w:pPr>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监测点位</w:t>
            </w:r>
          </w:p>
        </w:tc>
        <w:tc>
          <w:tcPr>
            <w:tcW w:w="570" w:type="dxa"/>
            <w:vAlign w:val="center"/>
          </w:tcPr>
          <w:p>
            <w:pPr>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序号</w:t>
            </w:r>
          </w:p>
        </w:tc>
        <w:tc>
          <w:tcPr>
            <w:tcW w:w="1875" w:type="dxa"/>
            <w:tcBorders>
              <w:bottom w:val="nil"/>
            </w:tcBorders>
            <w:vAlign w:val="center"/>
          </w:tcPr>
          <w:p>
            <w:pPr>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监测项目</w:t>
            </w:r>
          </w:p>
        </w:tc>
        <w:tc>
          <w:tcPr>
            <w:tcW w:w="732" w:type="dxa"/>
            <w:tcBorders>
              <w:bottom w:val="nil"/>
            </w:tcBorders>
            <w:vAlign w:val="center"/>
          </w:tcPr>
          <w:p>
            <w:pPr>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监测频次</w:t>
            </w:r>
          </w:p>
        </w:tc>
        <w:tc>
          <w:tcPr>
            <w:tcW w:w="4121" w:type="dxa"/>
            <w:gridSpan w:val="2"/>
            <w:tcBorders>
              <w:bottom w:val="nil"/>
            </w:tcBorders>
            <w:vAlign w:val="center"/>
          </w:tcPr>
          <w:p>
            <w:pPr>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监测分析方法及依据</w:t>
            </w:r>
          </w:p>
        </w:tc>
        <w:tc>
          <w:tcPr>
            <w:tcW w:w="975" w:type="dxa"/>
            <w:vAlign w:val="center"/>
          </w:tcPr>
          <w:p>
            <w:pPr>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方法检出限(mg/kg)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416" w:hRule="atLeast"/>
        </w:trPr>
        <w:tc>
          <w:tcPr>
            <w:tcW w:w="788" w:type="dxa"/>
            <w:vMerge w:val="restart"/>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危废储存库附近（柱状</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样）、水泥厂办公区附近（表</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层样）各设1个点</w:t>
            </w:r>
          </w:p>
        </w:tc>
        <w:tc>
          <w:tcPr>
            <w:tcW w:w="570"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38</w:t>
            </w:r>
          </w:p>
        </w:tc>
        <w:tc>
          <w:tcPr>
            <w:tcW w:w="18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苯并［a］蒽</w:t>
            </w:r>
          </w:p>
        </w:tc>
        <w:tc>
          <w:tcPr>
            <w:tcW w:w="732"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每年一次， 每次监测 一天</w:t>
            </w:r>
          </w:p>
        </w:tc>
        <w:tc>
          <w:tcPr>
            <w:tcW w:w="4121" w:type="dxa"/>
            <w:gridSpan w:val="2"/>
            <w:tcBorders>
              <w:bottom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多环芳烃的测定</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322"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Merge w:val="continue"/>
            <w:tcBorders>
              <w:top w:val="nil"/>
            </w:tcBorders>
            <w:vAlign w:val="center"/>
          </w:tcPr>
          <w:p>
            <w:pPr>
              <w:jc w:val="center"/>
              <w:rPr>
                <w:rFonts w:hint="eastAsia" w:ascii="宋体" w:hAnsi="宋体" w:eastAsia="宋体" w:cs="宋体"/>
                <w:kern w:val="0"/>
                <w:sz w:val="24"/>
                <w:szCs w:val="24"/>
              </w:rPr>
            </w:pPr>
          </w:p>
        </w:tc>
        <w:tc>
          <w:tcPr>
            <w:tcW w:w="1875" w:type="dxa"/>
            <w:vMerge w:val="continue"/>
            <w:vAlign w:val="center"/>
          </w:tcPr>
          <w:p>
            <w:pPr>
              <w:jc w:val="center"/>
              <w:rPr>
                <w:rFonts w:hint="eastAsia" w:ascii="宋体" w:hAnsi="宋体" w:eastAsia="宋体" w:cs="宋体"/>
                <w:kern w:val="0"/>
                <w:sz w:val="24"/>
                <w:szCs w:val="24"/>
              </w:rPr>
            </w:pP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tcBorders>
              <w:top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高效液相色谱法 HJ 784-2016</w:t>
            </w:r>
          </w:p>
        </w:tc>
        <w:tc>
          <w:tcPr>
            <w:tcW w:w="97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341"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Merge w:val="restart"/>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39</w:t>
            </w:r>
          </w:p>
        </w:tc>
        <w:tc>
          <w:tcPr>
            <w:tcW w:w="18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苯并［a］芘</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tcBorders>
              <w:bottom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多环芳烃的测定</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322"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Merge w:val="continue"/>
            <w:tcBorders>
              <w:top w:val="nil"/>
            </w:tcBorders>
            <w:vAlign w:val="center"/>
          </w:tcPr>
          <w:p>
            <w:pPr>
              <w:jc w:val="center"/>
              <w:rPr>
                <w:rFonts w:hint="eastAsia" w:ascii="宋体" w:hAnsi="宋体" w:eastAsia="宋体" w:cs="宋体"/>
                <w:kern w:val="0"/>
                <w:sz w:val="24"/>
                <w:szCs w:val="24"/>
              </w:rPr>
            </w:pPr>
          </w:p>
        </w:tc>
        <w:tc>
          <w:tcPr>
            <w:tcW w:w="1875" w:type="dxa"/>
            <w:vMerge w:val="continue"/>
            <w:vAlign w:val="center"/>
          </w:tcPr>
          <w:p>
            <w:pPr>
              <w:jc w:val="center"/>
              <w:rPr>
                <w:rFonts w:hint="eastAsia" w:ascii="宋体" w:hAnsi="宋体" w:eastAsia="宋体" w:cs="宋体"/>
                <w:kern w:val="0"/>
                <w:sz w:val="24"/>
                <w:szCs w:val="24"/>
              </w:rPr>
            </w:pP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tcBorders>
              <w:top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高效液相色谱法 HJ 784-2016</w:t>
            </w:r>
          </w:p>
        </w:tc>
        <w:tc>
          <w:tcPr>
            <w:tcW w:w="97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341"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Merge w:val="restart"/>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18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苯并［b］荧蒽</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tcBorders>
              <w:bottom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多环芳烃的测定</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322"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Merge w:val="continue"/>
            <w:tcBorders>
              <w:top w:val="nil"/>
            </w:tcBorders>
            <w:vAlign w:val="center"/>
          </w:tcPr>
          <w:p>
            <w:pPr>
              <w:jc w:val="center"/>
              <w:rPr>
                <w:rFonts w:hint="eastAsia" w:ascii="宋体" w:hAnsi="宋体" w:eastAsia="宋体" w:cs="宋体"/>
                <w:kern w:val="0"/>
                <w:sz w:val="24"/>
                <w:szCs w:val="24"/>
              </w:rPr>
            </w:pPr>
          </w:p>
        </w:tc>
        <w:tc>
          <w:tcPr>
            <w:tcW w:w="1875" w:type="dxa"/>
            <w:vMerge w:val="continue"/>
            <w:vAlign w:val="center"/>
          </w:tcPr>
          <w:p>
            <w:pPr>
              <w:jc w:val="center"/>
              <w:rPr>
                <w:rFonts w:hint="eastAsia" w:ascii="宋体" w:hAnsi="宋体" w:eastAsia="宋体" w:cs="宋体"/>
                <w:kern w:val="0"/>
                <w:sz w:val="24"/>
                <w:szCs w:val="24"/>
              </w:rPr>
            </w:pP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tcBorders>
              <w:top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高效液相色谱法 HJ 784-2016</w:t>
            </w:r>
          </w:p>
        </w:tc>
        <w:tc>
          <w:tcPr>
            <w:tcW w:w="97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341"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Merge w:val="restart"/>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41</w:t>
            </w:r>
          </w:p>
        </w:tc>
        <w:tc>
          <w:tcPr>
            <w:tcW w:w="18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苯并［k］荧蒽</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tcBorders>
              <w:bottom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多环芳烃的测定</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322"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Merge w:val="continue"/>
            <w:tcBorders>
              <w:top w:val="nil"/>
            </w:tcBorders>
            <w:vAlign w:val="center"/>
          </w:tcPr>
          <w:p>
            <w:pPr>
              <w:jc w:val="center"/>
              <w:rPr>
                <w:rFonts w:hint="eastAsia" w:ascii="宋体" w:hAnsi="宋体" w:eastAsia="宋体" w:cs="宋体"/>
                <w:kern w:val="0"/>
                <w:sz w:val="24"/>
                <w:szCs w:val="24"/>
              </w:rPr>
            </w:pPr>
          </w:p>
        </w:tc>
        <w:tc>
          <w:tcPr>
            <w:tcW w:w="1875" w:type="dxa"/>
            <w:vMerge w:val="continue"/>
            <w:vAlign w:val="center"/>
          </w:tcPr>
          <w:p>
            <w:pPr>
              <w:jc w:val="center"/>
              <w:rPr>
                <w:rFonts w:hint="eastAsia" w:ascii="宋体" w:hAnsi="宋体" w:eastAsia="宋体" w:cs="宋体"/>
                <w:kern w:val="0"/>
                <w:sz w:val="24"/>
                <w:szCs w:val="24"/>
              </w:rPr>
            </w:pP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tcBorders>
              <w:top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高效液相色谱法 HJ 784-2016</w:t>
            </w:r>
          </w:p>
        </w:tc>
        <w:tc>
          <w:tcPr>
            <w:tcW w:w="97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73"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42</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䓛</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多环芳烃的测定高效液相色谱法 HJ 784-2016</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603"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43</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二苯并［a，h］ 蒽</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多环芳烃的测定高效液相色谱法 HJ 784-2016</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8"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tcBorders>
              <w:bottom w:val="nil"/>
            </w:tcBorders>
            <w:vAlign w:val="center"/>
          </w:tcPr>
          <w:p>
            <w:pPr>
              <w:jc w:val="center"/>
              <w:rPr>
                <w:rFonts w:hint="eastAsia" w:ascii="宋体" w:hAnsi="宋体" w:eastAsia="宋体" w:cs="宋体"/>
                <w:kern w:val="0"/>
                <w:sz w:val="24"/>
                <w:szCs w:val="24"/>
              </w:rPr>
            </w:pPr>
          </w:p>
        </w:tc>
        <w:tc>
          <w:tcPr>
            <w:tcW w:w="1875" w:type="dxa"/>
            <w:vMerge w:val="restart"/>
            <w:vAlign w:val="center"/>
          </w:tcPr>
          <w:p>
            <w:pPr>
              <w:jc w:val="both"/>
              <w:rPr>
                <w:rFonts w:hint="eastAsia" w:ascii="宋体" w:hAnsi="宋体" w:eastAsia="宋体" w:cs="宋体"/>
                <w:kern w:val="0"/>
                <w:sz w:val="24"/>
                <w:szCs w:val="24"/>
              </w:rPr>
            </w:pPr>
            <w:r>
              <w:rPr>
                <w:rFonts w:hint="eastAsia" w:ascii="宋体" w:hAnsi="宋体" w:eastAsia="宋体" w:cs="宋体"/>
                <w:kern w:val="0"/>
                <w:sz w:val="24"/>
                <w:szCs w:val="24"/>
              </w:rPr>
              <w:t>茚并［1,2,3-c</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d］芘</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多环芳烃的测定高效液相色谱法 HJ 784-2016</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1"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tcBorders>
              <w:top w:val="nil"/>
            </w:tcBorders>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44</w:t>
            </w:r>
          </w:p>
        </w:tc>
        <w:tc>
          <w:tcPr>
            <w:tcW w:w="1875" w:type="dxa"/>
            <w:vMerge w:val="continue"/>
            <w:vAlign w:val="center"/>
          </w:tcPr>
          <w:p>
            <w:pPr>
              <w:jc w:val="center"/>
              <w:rPr>
                <w:rFonts w:hint="eastAsia" w:ascii="宋体" w:hAnsi="宋体" w:eastAsia="宋体" w:cs="宋体"/>
                <w:kern w:val="0"/>
                <w:sz w:val="24"/>
                <w:szCs w:val="24"/>
              </w:rPr>
            </w:pP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Merge w:val="continue"/>
            <w:vAlign w:val="center"/>
          </w:tcPr>
          <w:p>
            <w:pPr>
              <w:jc w:val="center"/>
              <w:rPr>
                <w:rFonts w:hint="eastAsia" w:ascii="宋体" w:hAnsi="宋体" w:eastAsia="宋体" w:cs="宋体"/>
                <w:kern w:val="0"/>
                <w:sz w:val="24"/>
                <w:szCs w:val="24"/>
              </w:rPr>
            </w:pPr>
          </w:p>
        </w:tc>
        <w:tc>
          <w:tcPr>
            <w:tcW w:w="975" w:type="dxa"/>
            <w:vMerge w:val="continue"/>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864"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45</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萘</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多环芳烃的测定高效液相色谱法 HJ 784-2016</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1180"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46</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锑</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汞、砷、硒、铋、锑的测定微波消解/原子荧光法</w:t>
            </w:r>
            <w:r>
              <w:rPr>
                <w:rFonts w:hint="eastAsia" w:ascii="宋体" w:hAnsi="宋体" w:eastAsia="宋体" w:cs="宋体"/>
                <w:kern w:val="0"/>
                <w:sz w:val="24"/>
                <w:szCs w:val="24"/>
              </w:rPr>
              <w:tab/>
            </w:r>
            <w:r>
              <w:rPr>
                <w:rFonts w:hint="eastAsia" w:ascii="宋体" w:hAnsi="宋体" w:eastAsia="宋体" w:cs="宋体"/>
                <w:kern w:val="0"/>
                <w:sz w:val="24"/>
                <w:szCs w:val="24"/>
              </w:rPr>
              <w:t>HJ 680-2013</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122"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tcBorders>
              <w:bottom w:val="nil"/>
            </w:tcBorders>
            <w:vAlign w:val="center"/>
          </w:tcPr>
          <w:p>
            <w:pPr>
              <w:jc w:val="center"/>
              <w:rPr>
                <w:rFonts w:hint="eastAsia" w:ascii="宋体" w:hAnsi="宋体" w:eastAsia="宋体" w:cs="宋体"/>
                <w:kern w:val="0"/>
                <w:sz w:val="24"/>
                <w:szCs w:val="24"/>
              </w:rPr>
            </w:pPr>
          </w:p>
        </w:tc>
        <w:tc>
          <w:tcPr>
            <w:tcW w:w="18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铍</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w:t>
            </w:r>
            <w:r>
              <w:rPr>
                <w:rFonts w:hint="eastAsia" w:ascii="宋体" w:hAnsi="宋体" w:eastAsia="宋体" w:cs="宋体"/>
                <w:kern w:val="0"/>
                <w:sz w:val="24"/>
                <w:szCs w:val="24"/>
              </w:rPr>
              <w:tab/>
            </w:r>
            <w:r>
              <w:rPr>
                <w:rFonts w:hint="eastAsia" w:ascii="宋体" w:hAnsi="宋体" w:eastAsia="宋体" w:cs="宋体"/>
                <w:kern w:val="0"/>
                <w:sz w:val="24"/>
                <w:szCs w:val="24"/>
              </w:rPr>
              <w:t>铍的测定</w:t>
            </w:r>
            <w:r>
              <w:rPr>
                <w:rFonts w:hint="eastAsia" w:ascii="宋体" w:hAnsi="宋体" w:eastAsia="宋体" w:cs="宋体"/>
                <w:kern w:val="0"/>
                <w:sz w:val="24"/>
                <w:szCs w:val="24"/>
              </w:rPr>
              <w:tab/>
            </w:r>
            <w:r>
              <w:rPr>
                <w:rFonts w:hint="eastAsia" w:ascii="宋体" w:hAnsi="宋体" w:eastAsia="宋体" w:cs="宋体"/>
                <w:kern w:val="0"/>
                <w:sz w:val="24"/>
                <w:szCs w:val="24"/>
              </w:rPr>
              <w:t>石墨炉原子吸收分光光度法</w:t>
            </w:r>
            <w:r>
              <w:rPr>
                <w:rFonts w:hint="eastAsia" w:ascii="宋体" w:hAnsi="宋体" w:eastAsia="宋体" w:cs="宋体"/>
                <w:kern w:val="0"/>
                <w:sz w:val="24"/>
                <w:szCs w:val="24"/>
              </w:rPr>
              <w:tab/>
            </w:r>
            <w:r>
              <w:rPr>
                <w:rFonts w:hint="eastAsia" w:ascii="宋体" w:hAnsi="宋体" w:eastAsia="宋体" w:cs="宋体"/>
                <w:kern w:val="0"/>
                <w:sz w:val="24"/>
                <w:szCs w:val="24"/>
              </w:rPr>
              <w:t>HJ737-2015</w:t>
            </w:r>
          </w:p>
        </w:tc>
        <w:tc>
          <w:tcPr>
            <w:tcW w:w="97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732"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tcBorders>
              <w:top w:val="nil"/>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47</w:t>
            </w:r>
          </w:p>
        </w:tc>
        <w:tc>
          <w:tcPr>
            <w:tcW w:w="1875" w:type="dxa"/>
            <w:vMerge w:val="continue"/>
            <w:vAlign w:val="center"/>
          </w:tcPr>
          <w:p>
            <w:pPr>
              <w:jc w:val="center"/>
              <w:rPr>
                <w:rFonts w:hint="eastAsia" w:ascii="宋体" w:hAnsi="宋体" w:eastAsia="宋体" w:cs="宋体"/>
                <w:kern w:val="0"/>
                <w:sz w:val="24"/>
                <w:szCs w:val="24"/>
              </w:rPr>
            </w:pP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Merge w:val="continue"/>
            <w:vAlign w:val="center"/>
          </w:tcPr>
          <w:p>
            <w:pPr>
              <w:jc w:val="center"/>
              <w:rPr>
                <w:rFonts w:hint="eastAsia" w:ascii="宋体" w:hAnsi="宋体" w:eastAsia="宋体" w:cs="宋体"/>
                <w:kern w:val="0"/>
                <w:sz w:val="24"/>
                <w:szCs w:val="24"/>
              </w:rPr>
            </w:pPr>
          </w:p>
        </w:tc>
        <w:tc>
          <w:tcPr>
            <w:tcW w:w="975" w:type="dxa"/>
            <w:vMerge w:val="continue"/>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981"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48</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钴</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无机元素的测定 波长色散 X射线荧光光谱法</w:t>
            </w:r>
            <w:r>
              <w:rPr>
                <w:rFonts w:hint="eastAsia" w:ascii="宋体" w:hAnsi="宋体" w:eastAsia="宋体" w:cs="宋体"/>
                <w:kern w:val="0"/>
                <w:sz w:val="24"/>
                <w:szCs w:val="24"/>
              </w:rPr>
              <w:tab/>
            </w:r>
            <w:r>
              <w:rPr>
                <w:rFonts w:hint="eastAsia" w:ascii="宋体" w:hAnsi="宋体" w:eastAsia="宋体" w:cs="宋体"/>
                <w:kern w:val="0"/>
                <w:sz w:val="24"/>
                <w:szCs w:val="24"/>
              </w:rPr>
              <w:t>HJ780-2015</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873"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49</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钒</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无机元素的测定 波长色散 X射线荧光光谱法</w:t>
            </w:r>
            <w:r>
              <w:rPr>
                <w:rFonts w:hint="eastAsia" w:ascii="宋体" w:hAnsi="宋体" w:eastAsia="宋体" w:cs="宋体"/>
                <w:kern w:val="0"/>
                <w:sz w:val="24"/>
                <w:szCs w:val="24"/>
              </w:rPr>
              <w:tab/>
            </w:r>
            <w:r>
              <w:rPr>
                <w:rFonts w:hint="eastAsia" w:ascii="宋体" w:hAnsi="宋体" w:eastAsia="宋体" w:cs="宋体"/>
                <w:kern w:val="0"/>
                <w:sz w:val="24"/>
                <w:szCs w:val="24"/>
              </w:rPr>
              <w:t>HJ780-2015</w:t>
            </w:r>
          </w:p>
        </w:tc>
        <w:tc>
          <w:tcPr>
            <w:tcW w:w="975"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873"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氰化物</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 氰化物和总氰化物的测定分光光度法 HJ745-2015</w:t>
            </w:r>
          </w:p>
        </w:tc>
        <w:tc>
          <w:tcPr>
            <w:tcW w:w="975"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872"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51</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二噁英类</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 二噁英的测定 同位素稀释高分辨气相色谱—高分辨质谱法 HJ77.4-2008</w:t>
            </w:r>
          </w:p>
        </w:tc>
        <w:tc>
          <w:tcPr>
            <w:tcW w:w="975"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0.05ng/kg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5" w:type="dxa"/>
          <w:trHeight w:val="874" w:hRule="atLeast"/>
        </w:trPr>
        <w:tc>
          <w:tcPr>
            <w:tcW w:w="788" w:type="dxa"/>
            <w:vMerge w:val="continue"/>
            <w:vAlign w:val="center"/>
          </w:tcPr>
          <w:p>
            <w:pPr>
              <w:jc w:val="center"/>
              <w:rPr>
                <w:rFonts w:hint="eastAsia" w:ascii="宋体" w:hAnsi="宋体" w:eastAsia="宋体" w:cs="宋体"/>
                <w:kern w:val="0"/>
                <w:sz w:val="24"/>
                <w:szCs w:val="24"/>
              </w:rPr>
            </w:pPr>
          </w:p>
        </w:tc>
        <w:tc>
          <w:tcPr>
            <w:tcW w:w="570" w:type="dxa"/>
            <w:vAlign w:val="center"/>
          </w:tcPr>
          <w:p>
            <w:pPr>
              <w:jc w:val="center"/>
              <w:rPr>
                <w:rFonts w:hint="eastAsia" w:ascii="宋体" w:hAnsi="宋体" w:eastAsia="宋体" w:cs="宋体"/>
                <w:kern w:val="0"/>
                <w:sz w:val="24"/>
                <w:szCs w:val="24"/>
              </w:rPr>
            </w:pPr>
          </w:p>
          <w:p>
            <w:pPr>
              <w:jc w:val="center"/>
              <w:rPr>
                <w:rFonts w:hint="eastAsia" w:ascii="宋体" w:hAnsi="宋体" w:eastAsia="宋体" w:cs="宋体"/>
                <w:kern w:val="0"/>
                <w:sz w:val="24"/>
                <w:szCs w:val="24"/>
              </w:rPr>
            </w:pPr>
            <w:r>
              <w:rPr>
                <w:rFonts w:hint="eastAsia" w:ascii="宋体" w:hAnsi="宋体" w:eastAsia="宋体" w:cs="宋体"/>
                <w:kern w:val="0"/>
                <w:sz w:val="24"/>
                <w:szCs w:val="24"/>
              </w:rPr>
              <w:t>52</w:t>
            </w:r>
          </w:p>
        </w:tc>
        <w:tc>
          <w:tcPr>
            <w:tcW w:w="18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石油烃</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（C10-C40）</w:t>
            </w:r>
          </w:p>
        </w:tc>
        <w:tc>
          <w:tcPr>
            <w:tcW w:w="732" w:type="dxa"/>
            <w:vMerge w:val="continue"/>
            <w:vAlign w:val="center"/>
          </w:tcPr>
          <w:p>
            <w:pPr>
              <w:jc w:val="center"/>
              <w:rPr>
                <w:rFonts w:hint="eastAsia" w:ascii="宋体" w:hAnsi="宋体" w:eastAsia="宋体" w:cs="宋体"/>
                <w:kern w:val="0"/>
                <w:sz w:val="24"/>
                <w:szCs w:val="24"/>
              </w:rPr>
            </w:pPr>
          </w:p>
        </w:tc>
        <w:tc>
          <w:tcPr>
            <w:tcW w:w="4121"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土壤和沉积物</w:t>
            </w:r>
            <w:r>
              <w:rPr>
                <w:rFonts w:hint="eastAsia" w:ascii="宋体" w:hAnsi="宋体" w:eastAsia="宋体" w:cs="宋体"/>
                <w:kern w:val="0"/>
                <w:sz w:val="24"/>
                <w:szCs w:val="24"/>
              </w:rPr>
              <w:tab/>
            </w:r>
            <w:r>
              <w:rPr>
                <w:rFonts w:hint="eastAsia" w:ascii="宋体" w:hAnsi="宋体" w:eastAsia="宋体" w:cs="宋体"/>
                <w:kern w:val="0"/>
                <w:sz w:val="24"/>
                <w:szCs w:val="24"/>
              </w:rPr>
              <w:t>石油烃（C10-C40）的测定气相色谱法</w:t>
            </w:r>
            <w:r>
              <w:rPr>
                <w:rFonts w:hint="eastAsia" w:ascii="宋体" w:hAnsi="宋体" w:eastAsia="宋体" w:cs="宋体"/>
                <w:kern w:val="0"/>
                <w:sz w:val="24"/>
                <w:szCs w:val="24"/>
              </w:rPr>
              <w:tab/>
            </w:r>
            <w:r>
              <w:rPr>
                <w:rFonts w:hint="eastAsia" w:ascii="宋体" w:hAnsi="宋体" w:eastAsia="宋体" w:cs="宋体"/>
                <w:kern w:val="0"/>
                <w:sz w:val="24"/>
                <w:szCs w:val="24"/>
              </w:rPr>
              <w:t>HJ 1021-2019</w:t>
            </w:r>
          </w:p>
        </w:tc>
        <w:tc>
          <w:tcPr>
            <w:tcW w:w="97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480" w:lineRule="exact"/>
        <w:ind w:left="0" w:leftChars="0" w:firstLine="0" w:firstLineChars="0"/>
        <w:jc w:val="center"/>
        <w:textAlignment w:val="auto"/>
        <w:rPr>
          <w:rFonts w:hint="eastAsia" w:ascii="宋体" w:hAnsi="宋体" w:eastAsia="宋体" w:cs="宋体"/>
          <w:b/>
          <w:bCs/>
          <w:spacing w:val="-13"/>
          <w:sz w:val="24"/>
          <w:szCs w:val="24"/>
          <w:lang w:val="en-US" w:eastAsia="zh-CN" w:bidi="ar-SA"/>
        </w:rPr>
      </w:pPr>
      <w:r>
        <w:rPr>
          <w:rFonts w:hint="eastAsia" w:ascii="宋体" w:hAnsi="宋体" w:eastAsia="宋体" w:cs="宋体"/>
          <w:b/>
          <w:bCs/>
          <w:sz w:val="24"/>
          <w:szCs w:val="24"/>
          <w:lang w:val="en-US" w:eastAsia="zh-CN" w:bidi="ar-SA"/>
        </w:rPr>
        <w:t>表5 排污单位周边环境质量监测内容一览</w:t>
      </w:r>
      <w:r>
        <w:rPr>
          <w:rFonts w:hint="eastAsia" w:ascii="宋体" w:hAnsi="宋体" w:eastAsia="宋体" w:cs="宋体"/>
          <w:b/>
          <w:bCs/>
          <w:spacing w:val="-13"/>
          <w:sz w:val="24"/>
          <w:szCs w:val="24"/>
          <w:lang w:val="en-US" w:eastAsia="zh-CN" w:bidi="ar-SA"/>
        </w:rPr>
        <w:t>表</w:t>
      </w:r>
    </w:p>
    <w:tbl>
      <w:tblPr>
        <w:tblStyle w:val="7"/>
        <w:tblW w:w="90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5"/>
        <w:gridCol w:w="1603"/>
        <w:gridCol w:w="3923"/>
        <w:gridCol w:w="2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495"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监测类别</w:t>
            </w:r>
          </w:p>
        </w:tc>
        <w:tc>
          <w:tcPr>
            <w:tcW w:w="1603"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监测点位</w:t>
            </w:r>
          </w:p>
        </w:tc>
        <w:tc>
          <w:tcPr>
            <w:tcW w:w="3923"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监测项目</w:t>
            </w:r>
          </w:p>
        </w:tc>
        <w:tc>
          <w:tcPr>
            <w:tcW w:w="2055" w:type="dxa"/>
            <w:vAlign w:val="center"/>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监测频次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149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环境空气</w:t>
            </w:r>
          </w:p>
        </w:tc>
        <w:tc>
          <w:tcPr>
            <w:tcW w:w="1603"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 东王村</w:t>
            </w:r>
          </w:p>
        </w:tc>
        <w:tc>
          <w:tcPr>
            <w:tcW w:w="3923"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TSP、PM10、PM2.5、SO2、NO2、CO、</w:t>
            </w:r>
          </w:p>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O3、铅、镉、砷、汞、六价铬、氟化物、NH3、H2S、HCl、</w:t>
            </w:r>
            <w:r>
              <w:rPr>
                <w:rFonts w:hint="eastAsia" w:ascii="宋体" w:hAnsi="宋体" w:eastAsia="宋体" w:cs="宋体"/>
                <w:kern w:val="0"/>
                <w:sz w:val="24"/>
                <w:szCs w:val="24"/>
                <w:lang w:eastAsia="zh-CN"/>
              </w:rPr>
              <w:t>钒、铍、钴、铊、锑、</w:t>
            </w:r>
            <w:r>
              <w:rPr>
                <w:rFonts w:hint="eastAsia" w:ascii="宋体" w:hAnsi="宋体" w:eastAsia="宋体" w:cs="宋体"/>
                <w:kern w:val="0"/>
                <w:sz w:val="24"/>
                <w:szCs w:val="24"/>
              </w:rPr>
              <w:t>锰及其化合物、VOCs、镍、铜、非甲烷总烃、二噁英类共2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项</w:t>
            </w:r>
            <w:r>
              <w:rPr>
                <w:rFonts w:hint="eastAsia" w:ascii="宋体" w:hAnsi="宋体" w:eastAsia="宋体" w:cs="宋体"/>
                <w:kern w:val="0"/>
                <w:sz w:val="24"/>
                <w:szCs w:val="24"/>
                <w:lang w:eastAsia="zh-CN"/>
              </w:rPr>
              <w:t>。</w:t>
            </w:r>
          </w:p>
        </w:tc>
        <w:tc>
          <w:tcPr>
            <w:tcW w:w="205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每年一次， 每次一天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1495" w:type="dxa"/>
            <w:vMerge w:val="continue"/>
            <w:tcBorders>
              <w:top w:val="nil"/>
            </w:tcBorders>
            <w:vAlign w:val="center"/>
          </w:tcPr>
          <w:p>
            <w:pPr>
              <w:jc w:val="center"/>
              <w:rPr>
                <w:rFonts w:hint="eastAsia" w:ascii="宋体" w:hAnsi="宋体" w:eastAsia="宋体" w:cs="宋体"/>
                <w:kern w:val="0"/>
                <w:sz w:val="24"/>
                <w:szCs w:val="24"/>
              </w:rPr>
            </w:pPr>
          </w:p>
        </w:tc>
        <w:tc>
          <w:tcPr>
            <w:tcW w:w="1603"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 西阳泉头村</w:t>
            </w:r>
          </w:p>
        </w:tc>
        <w:tc>
          <w:tcPr>
            <w:tcW w:w="3923" w:type="dxa"/>
            <w:vMerge w:val="continue"/>
            <w:tcBorders>
              <w:top w:val="nil"/>
            </w:tcBorders>
            <w:vAlign w:val="center"/>
          </w:tcPr>
          <w:p>
            <w:pPr>
              <w:jc w:val="center"/>
              <w:rPr>
                <w:rFonts w:hint="eastAsia" w:ascii="宋体" w:hAnsi="宋体" w:eastAsia="宋体" w:cs="宋体"/>
                <w:kern w:val="0"/>
                <w:sz w:val="24"/>
                <w:szCs w:val="24"/>
              </w:rPr>
            </w:pPr>
          </w:p>
        </w:tc>
        <w:tc>
          <w:tcPr>
            <w:tcW w:w="205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trPr>
        <w:tc>
          <w:tcPr>
            <w:tcW w:w="149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地下水</w:t>
            </w:r>
          </w:p>
        </w:tc>
        <w:tc>
          <w:tcPr>
            <w:tcW w:w="1603"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1#寺底村距项目最近处水井</w:t>
            </w:r>
          </w:p>
        </w:tc>
        <w:tc>
          <w:tcPr>
            <w:tcW w:w="3923"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pH、溶解性总固体、总硬度、耗氧量、Fe、Mn、氨氮、NO3-N、NO2-N、氟化物、硫酸盐、氯化物、细菌总数、总大肠菌群、挥发酚、氰化物、Cr6+、As、Zn、Pb、Cd、Ni、Hg、Cu 共 24 项， 同时记录井深、水位埋深、水温</w:t>
            </w:r>
          </w:p>
        </w:tc>
        <w:tc>
          <w:tcPr>
            <w:tcW w:w="205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每年丰、枯水期各监测一次，即每年</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2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6" w:hRule="atLeast"/>
        </w:trPr>
        <w:tc>
          <w:tcPr>
            <w:tcW w:w="1495" w:type="dxa"/>
            <w:vMerge w:val="continue"/>
            <w:tcBorders>
              <w:top w:val="nil"/>
            </w:tcBorders>
            <w:vAlign w:val="center"/>
          </w:tcPr>
          <w:p>
            <w:pPr>
              <w:jc w:val="center"/>
              <w:rPr>
                <w:rFonts w:hint="eastAsia" w:ascii="宋体" w:hAnsi="宋体" w:eastAsia="宋体" w:cs="宋体"/>
                <w:kern w:val="0"/>
                <w:sz w:val="24"/>
                <w:szCs w:val="24"/>
              </w:rPr>
            </w:pPr>
          </w:p>
        </w:tc>
        <w:tc>
          <w:tcPr>
            <w:tcW w:w="1603"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2#东峪村水井</w:t>
            </w:r>
          </w:p>
        </w:tc>
        <w:tc>
          <w:tcPr>
            <w:tcW w:w="3923" w:type="dxa"/>
            <w:vMerge w:val="continue"/>
            <w:tcBorders>
              <w:top w:val="nil"/>
            </w:tcBorders>
            <w:vAlign w:val="center"/>
          </w:tcPr>
          <w:p>
            <w:pPr>
              <w:jc w:val="center"/>
              <w:rPr>
                <w:rFonts w:hint="eastAsia" w:ascii="宋体" w:hAnsi="宋体" w:eastAsia="宋体" w:cs="宋体"/>
                <w:kern w:val="0"/>
                <w:sz w:val="24"/>
                <w:szCs w:val="24"/>
              </w:rPr>
            </w:pPr>
          </w:p>
        </w:tc>
        <w:tc>
          <w:tcPr>
            <w:tcW w:w="2055"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每季度监测一次， 如发现监测值异 常（持续升高，或现状监测未检出 的因子检出），应加密监测频次，以确定是否发生污 染事故。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trPr>
        <w:tc>
          <w:tcPr>
            <w:tcW w:w="1495" w:type="dxa"/>
            <w:vMerge w:val="continue"/>
            <w:tcBorders>
              <w:top w:val="nil"/>
            </w:tcBorders>
            <w:vAlign w:val="center"/>
          </w:tcPr>
          <w:p>
            <w:pPr>
              <w:jc w:val="center"/>
              <w:rPr>
                <w:rFonts w:hint="eastAsia" w:ascii="宋体" w:hAnsi="宋体" w:eastAsia="宋体" w:cs="宋体"/>
                <w:kern w:val="0"/>
                <w:sz w:val="24"/>
                <w:szCs w:val="24"/>
              </w:rPr>
            </w:pPr>
          </w:p>
        </w:tc>
        <w:tc>
          <w:tcPr>
            <w:tcW w:w="1603"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3#危废储存库和危废预处置楼西侧</w:t>
            </w:r>
          </w:p>
        </w:tc>
        <w:tc>
          <w:tcPr>
            <w:tcW w:w="3923" w:type="dxa"/>
            <w:vMerge w:val="continue"/>
            <w:tcBorders>
              <w:top w:val="nil"/>
            </w:tcBorders>
            <w:vAlign w:val="center"/>
          </w:tcPr>
          <w:p>
            <w:pPr>
              <w:jc w:val="center"/>
              <w:rPr>
                <w:rFonts w:hint="eastAsia" w:ascii="宋体" w:hAnsi="宋体" w:eastAsia="宋体" w:cs="宋体"/>
                <w:kern w:val="0"/>
                <w:sz w:val="24"/>
                <w:szCs w:val="24"/>
              </w:rPr>
            </w:pPr>
          </w:p>
        </w:tc>
        <w:tc>
          <w:tcPr>
            <w:tcW w:w="205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495" w:type="dxa"/>
            <w:vMerge w:val="continue"/>
            <w:tcBorders>
              <w:top w:val="nil"/>
            </w:tcBorders>
            <w:vAlign w:val="center"/>
          </w:tcPr>
          <w:p>
            <w:pPr>
              <w:jc w:val="center"/>
              <w:rPr>
                <w:rFonts w:hint="eastAsia" w:ascii="宋体" w:hAnsi="宋体" w:eastAsia="宋体" w:cs="宋体"/>
                <w:kern w:val="0"/>
                <w:sz w:val="24"/>
                <w:szCs w:val="24"/>
              </w:rPr>
            </w:pPr>
          </w:p>
        </w:tc>
        <w:tc>
          <w:tcPr>
            <w:tcW w:w="1603"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4#厂区自备水井</w:t>
            </w:r>
          </w:p>
        </w:tc>
        <w:tc>
          <w:tcPr>
            <w:tcW w:w="3923" w:type="dxa"/>
            <w:vMerge w:val="continue"/>
            <w:tcBorders>
              <w:top w:val="nil"/>
            </w:tcBorders>
            <w:vAlign w:val="center"/>
          </w:tcPr>
          <w:p>
            <w:pPr>
              <w:jc w:val="center"/>
              <w:rPr>
                <w:rFonts w:hint="eastAsia" w:ascii="宋体" w:hAnsi="宋体" w:eastAsia="宋体" w:cs="宋体"/>
                <w:kern w:val="0"/>
                <w:sz w:val="24"/>
                <w:szCs w:val="24"/>
              </w:rPr>
            </w:pPr>
          </w:p>
        </w:tc>
        <w:tc>
          <w:tcPr>
            <w:tcW w:w="2055" w:type="dxa"/>
            <w:vMerge w:val="continue"/>
            <w:tcBorders>
              <w:top w:val="nil"/>
            </w:tcBorders>
            <w:vAlign w:val="center"/>
          </w:tcPr>
          <w:p>
            <w:pPr>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149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敏感点噪声</w:t>
            </w:r>
          </w:p>
        </w:tc>
        <w:tc>
          <w:tcPr>
            <w:tcW w:w="1603"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 西阳泉头村</w:t>
            </w:r>
          </w:p>
        </w:tc>
        <w:tc>
          <w:tcPr>
            <w:tcW w:w="3923"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Leq</w:t>
            </w:r>
          </w:p>
        </w:tc>
        <w:tc>
          <w:tcPr>
            <w:tcW w:w="205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每年一次，</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每次一天， 昼夜各一次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49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w:t>
            </w:r>
          </w:p>
        </w:tc>
        <w:tc>
          <w:tcPr>
            <w:tcW w:w="1603"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吉家峪村附近</w:t>
            </w:r>
          </w:p>
          <w:p>
            <w:pPr>
              <w:jc w:val="center"/>
              <w:rPr>
                <w:rFonts w:hint="eastAsia" w:ascii="宋体" w:hAnsi="宋体" w:eastAsia="宋体" w:cs="宋体"/>
                <w:kern w:val="0"/>
                <w:sz w:val="24"/>
                <w:szCs w:val="24"/>
              </w:rPr>
            </w:pPr>
            <w:r>
              <w:rPr>
                <w:rFonts w:hint="eastAsia" w:ascii="宋体" w:hAnsi="宋体" w:eastAsia="宋体" w:cs="宋体"/>
                <w:kern w:val="0"/>
                <w:sz w:val="24"/>
                <w:szCs w:val="24"/>
              </w:rPr>
              <w:t>（表层样）</w:t>
            </w:r>
          </w:p>
        </w:tc>
        <w:tc>
          <w:tcPr>
            <w:tcW w:w="3923"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汞、砷、铜、锌、铅、铬、镍、镉共 8 项</w:t>
            </w:r>
          </w:p>
        </w:tc>
        <w:tc>
          <w:tcPr>
            <w:tcW w:w="205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每年一次， 每次一天</w:t>
            </w:r>
          </w:p>
        </w:tc>
      </w:tr>
    </w:tbl>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附件三：</w:t>
      </w:r>
    </w:p>
    <w:p>
      <w:pPr>
        <w:spacing w:line="360" w:lineRule="auto"/>
        <w:jc w:val="center"/>
        <w:rPr>
          <w:rFonts w:ascii="宋体" w:hAnsi="宋体" w:cs="宋体"/>
          <w:sz w:val="28"/>
          <w:szCs w:val="28"/>
        </w:rPr>
      </w:pPr>
      <w:r>
        <w:rPr>
          <w:rFonts w:hint="eastAsia" w:ascii="宋体" w:hAnsi="宋体" w:cs="宋体"/>
          <w:sz w:val="28"/>
          <w:szCs w:val="28"/>
        </w:rPr>
        <w:t>法人代表授权书</w:t>
      </w:r>
    </w:p>
    <w:p>
      <w:pPr>
        <w:spacing w:line="360" w:lineRule="auto"/>
        <w:rPr>
          <w:rFonts w:ascii="宋体" w:hAnsi="宋体" w:cs="宋体"/>
          <w:color w:val="0070C0"/>
          <w:sz w:val="28"/>
          <w:szCs w:val="28"/>
        </w:rPr>
      </w:pPr>
      <w:r>
        <w:rPr>
          <w:rFonts w:hint="eastAsia" w:ascii="宋体" w:hAnsi="宋体" w:cs="宋体"/>
          <w:sz w:val="28"/>
          <w:szCs w:val="28"/>
          <w:u w:val="single"/>
        </w:rPr>
        <w:t xml:space="preserve">致： </w:t>
      </w:r>
      <w:r>
        <w:rPr>
          <w:rFonts w:ascii="宋体" w:hAnsi="宋体" w:cs="宋体"/>
          <w:sz w:val="28"/>
          <w:szCs w:val="28"/>
          <w:u w:val="single"/>
        </w:rPr>
        <w:t xml:space="preserve">                  </w:t>
      </w:r>
      <w:r>
        <w:rPr>
          <w:rFonts w:ascii="宋体" w:hAnsi="宋体" w:cs="宋体"/>
          <w:color w:val="0070C0"/>
          <w:sz w:val="28"/>
          <w:szCs w:val="28"/>
        </w:rPr>
        <w:t xml:space="preserve"> </w:t>
      </w:r>
    </w:p>
    <w:p>
      <w:pPr>
        <w:spacing w:line="360" w:lineRule="auto"/>
        <w:ind w:firstLine="1120" w:firstLineChars="400"/>
        <w:rPr>
          <w:rFonts w:ascii="宋体" w:hAnsi="宋体" w:cs="宋体"/>
          <w:sz w:val="28"/>
          <w:szCs w:val="28"/>
        </w:rPr>
      </w:pPr>
      <w:r>
        <w:rPr>
          <w:rFonts w:hint="eastAsia" w:ascii="宋体" w:hAnsi="宋体" w:cs="宋体"/>
          <w:sz w:val="28"/>
          <w:szCs w:val="28"/>
        </w:rPr>
        <w:t>本人作为</w:t>
      </w:r>
      <w:r>
        <w:rPr>
          <w:rFonts w:hint="eastAsia" w:ascii="宋体" w:hAnsi="宋体" w:cs="宋体"/>
          <w:sz w:val="28"/>
          <w:szCs w:val="28"/>
          <w:u w:val="single"/>
        </w:rPr>
        <w:t xml:space="preserve">                                 </w:t>
      </w:r>
      <w:r>
        <w:rPr>
          <w:rFonts w:hint="eastAsia" w:ascii="宋体" w:hAnsi="宋体" w:cs="宋体"/>
          <w:sz w:val="28"/>
          <w:szCs w:val="28"/>
        </w:rPr>
        <w:t>（投标单位全称）的法人代表，特授权</w:t>
      </w:r>
      <w:r>
        <w:rPr>
          <w:rFonts w:hint="eastAsia" w:ascii="宋体" w:hAnsi="宋体" w:cs="宋体"/>
          <w:sz w:val="28"/>
          <w:szCs w:val="28"/>
          <w:u w:val="single"/>
        </w:rPr>
        <w:t xml:space="preserve">            </w:t>
      </w:r>
      <w:r>
        <w:rPr>
          <w:rFonts w:hint="eastAsia" w:ascii="宋体" w:hAnsi="宋体" w:cs="宋体"/>
          <w:sz w:val="28"/>
          <w:szCs w:val="28"/>
        </w:rPr>
        <w:t>（授权代表名称）</w:t>
      </w:r>
      <w:r>
        <w:rPr>
          <w:rFonts w:hint="eastAsia" w:ascii="宋体" w:hAnsi="宋体" w:cs="宋体"/>
          <w:sz w:val="28"/>
          <w:szCs w:val="28"/>
          <w:u w:val="single"/>
        </w:rPr>
        <w:t xml:space="preserve">              </w:t>
      </w:r>
      <w:r>
        <w:rPr>
          <w:rFonts w:hint="eastAsia" w:ascii="宋体" w:hAnsi="宋体" w:cs="宋体"/>
          <w:sz w:val="28"/>
          <w:szCs w:val="28"/>
        </w:rPr>
        <w:t>（职务、职称）为全权代表，参加贵方组织的</w:t>
      </w:r>
      <w:r>
        <w:rPr>
          <w:rFonts w:ascii="宋体" w:hAnsi="宋体" w:cs="宋体"/>
          <w:sz w:val="28"/>
          <w:szCs w:val="28"/>
          <w:u w:val="single"/>
        </w:rPr>
        <w:t xml:space="preserve">               </w:t>
      </w:r>
      <w:r>
        <w:rPr>
          <w:rFonts w:hint="eastAsia" w:ascii="宋体" w:hAnsi="宋体" w:cs="宋体"/>
          <w:sz w:val="28"/>
          <w:szCs w:val="28"/>
          <w:u w:val="single"/>
        </w:rPr>
        <w:t>项目（招标编号：</w:t>
      </w:r>
      <w:r>
        <w:rPr>
          <w:rFonts w:ascii="宋体" w:hAnsi="宋体" w:cs="宋体"/>
          <w:color w:val="FF000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招标的有关活动，由其全权代理招标活动中的一切事宜。</w:t>
      </w:r>
    </w:p>
    <w:p>
      <w:pPr>
        <w:ind w:firstLine="562" w:firstLineChars="200"/>
        <w:rPr>
          <w:b/>
          <w:bCs/>
          <w:sz w:val="28"/>
          <w:szCs w:val="28"/>
        </w:rPr>
      </w:pPr>
      <w:r>
        <w:rPr>
          <w:rFonts w:hint="eastAsia"/>
          <w:b/>
          <w:bCs/>
          <w:sz w:val="28"/>
          <w:szCs w:val="28"/>
        </w:rPr>
        <w:t>本授权书经决定代表人签署并加盖本公司公章后生效，代理人转委托他人无效。</w:t>
      </w:r>
    </w:p>
    <w:p>
      <w:pPr>
        <w:ind w:firstLine="562" w:firstLineChars="200"/>
        <w:rPr>
          <w:b/>
          <w:bCs/>
          <w:sz w:val="28"/>
          <w:szCs w:val="28"/>
        </w:rPr>
      </w:pPr>
      <w:r>
        <w:rPr>
          <w:rFonts w:hint="eastAsia"/>
          <w:b/>
          <w:bCs/>
          <w:sz w:val="28"/>
          <w:szCs w:val="28"/>
        </w:rPr>
        <w:t>本授权书有效期限自    年    月   日至    年   月    日止。</w:t>
      </w:r>
    </w:p>
    <w:p>
      <w:pPr>
        <w:ind w:firstLine="562" w:firstLineChars="200"/>
        <w:rPr>
          <w:b/>
          <w:bCs/>
          <w:sz w:val="28"/>
          <w:szCs w:val="28"/>
        </w:rPr>
      </w:pPr>
    </w:p>
    <w:p>
      <w:pPr>
        <w:ind w:firstLine="562" w:firstLineChars="200"/>
        <w:rPr>
          <w:b/>
          <w:bCs/>
          <w:sz w:val="28"/>
          <w:szCs w:val="28"/>
        </w:rPr>
      </w:pPr>
      <w:r>
        <w:rPr>
          <w:rFonts w:hint="eastAsia"/>
          <w:b/>
          <w:bCs/>
          <w:sz w:val="28"/>
          <w:szCs w:val="28"/>
        </w:rPr>
        <w:t>公司（盖章）：</w:t>
      </w:r>
    </w:p>
    <w:p>
      <w:pPr>
        <w:ind w:firstLine="562" w:firstLineChars="200"/>
        <w:rPr>
          <w:b/>
          <w:bCs/>
          <w:sz w:val="28"/>
          <w:szCs w:val="28"/>
        </w:rPr>
      </w:pPr>
    </w:p>
    <w:p>
      <w:pPr>
        <w:ind w:firstLine="562" w:firstLineChars="200"/>
        <w:rPr>
          <w:b/>
          <w:bCs/>
          <w:sz w:val="28"/>
          <w:szCs w:val="28"/>
        </w:rPr>
      </w:pPr>
      <w:r>
        <w:rPr>
          <w:rFonts w:hint="eastAsia"/>
          <w:b/>
          <w:bCs/>
          <w:sz w:val="28"/>
          <w:szCs w:val="28"/>
        </w:rPr>
        <w:t>法人（签字）：                  授权代表人（签字）：</w:t>
      </w:r>
    </w:p>
    <w:p>
      <w:pPr>
        <w:ind w:firstLine="562" w:firstLineChars="200"/>
        <w:rPr>
          <w:b/>
          <w:bCs/>
          <w:sz w:val="28"/>
          <w:szCs w:val="28"/>
        </w:rPr>
      </w:pPr>
      <w:r>
        <w:rPr>
          <w:rFonts w:hint="eastAsia"/>
          <w:b/>
          <w:bCs/>
          <w:sz w:val="28"/>
          <w:szCs w:val="28"/>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4644" w:type="dxa"/>
          </w:tcPr>
          <w:p>
            <w:pPr>
              <w:rPr>
                <w:b/>
                <w:bCs/>
                <w:sz w:val="28"/>
                <w:szCs w:val="28"/>
              </w:rPr>
            </w:pPr>
            <w:r>
              <w:rPr>
                <w:rFonts w:hint="eastAsia"/>
                <w:b/>
                <w:bCs/>
                <w:sz w:val="28"/>
                <w:szCs w:val="28"/>
              </w:rPr>
              <w:t>法人身份证复印件（正面）</w:t>
            </w:r>
          </w:p>
        </w:tc>
        <w:tc>
          <w:tcPr>
            <w:tcW w:w="5245" w:type="dxa"/>
          </w:tcPr>
          <w:p>
            <w:pPr>
              <w:rPr>
                <w:b/>
                <w:bCs/>
                <w:sz w:val="28"/>
                <w:szCs w:val="28"/>
              </w:rPr>
            </w:pPr>
            <w:r>
              <w:rPr>
                <w:rFonts w:hint="eastAsia"/>
                <w:b/>
                <w:bCs/>
                <w:sz w:val="28"/>
                <w:szCs w:val="28"/>
              </w:rPr>
              <w:t>授权代表人身份证复印件（正面）</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附件四：评分标准</w:t>
      </w:r>
    </w:p>
    <w:tbl>
      <w:tblPr>
        <w:tblStyle w:val="7"/>
        <w:tblpPr w:leftFromText="180" w:rightFromText="180" w:vertAnchor="text" w:horzAnchor="margin" w:tblpXSpec="center" w:tblpY="173"/>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26"/>
        <w:gridCol w:w="414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93" w:type="dxa"/>
            <w:vAlign w:val="center"/>
          </w:tcPr>
          <w:p>
            <w:pPr>
              <w:spacing w:line="250" w:lineRule="exact"/>
              <w:jc w:val="center"/>
              <w:rPr>
                <w:rFonts w:ascii="宋体" w:hAnsi="宋体"/>
                <w:b/>
                <w:sz w:val="24"/>
                <w:szCs w:val="24"/>
              </w:rPr>
            </w:pPr>
            <w:bookmarkStart w:id="1" w:name="_Hlk87974065"/>
            <w:r>
              <w:rPr>
                <w:rFonts w:hint="eastAsia" w:ascii="宋体" w:hAnsi="宋体"/>
                <w:b/>
                <w:sz w:val="24"/>
                <w:szCs w:val="24"/>
              </w:rPr>
              <w:t>一级维度</w:t>
            </w:r>
          </w:p>
        </w:tc>
        <w:tc>
          <w:tcPr>
            <w:tcW w:w="2126" w:type="dxa"/>
            <w:vAlign w:val="center"/>
          </w:tcPr>
          <w:p>
            <w:pPr>
              <w:spacing w:line="250" w:lineRule="exact"/>
              <w:jc w:val="center"/>
              <w:rPr>
                <w:rFonts w:ascii="宋体" w:hAnsi="宋体"/>
                <w:b/>
                <w:sz w:val="24"/>
                <w:szCs w:val="24"/>
              </w:rPr>
            </w:pPr>
            <w:r>
              <w:rPr>
                <w:rFonts w:hint="eastAsia" w:ascii="宋体" w:hAnsi="宋体"/>
                <w:b/>
                <w:sz w:val="24"/>
                <w:szCs w:val="24"/>
              </w:rPr>
              <w:t>二级维度</w:t>
            </w:r>
          </w:p>
        </w:tc>
        <w:tc>
          <w:tcPr>
            <w:tcW w:w="4140" w:type="dxa"/>
            <w:vAlign w:val="center"/>
          </w:tcPr>
          <w:p>
            <w:pPr>
              <w:spacing w:line="250" w:lineRule="exact"/>
              <w:jc w:val="center"/>
              <w:rPr>
                <w:rFonts w:ascii="宋体" w:hAnsi="宋体"/>
                <w:b/>
                <w:sz w:val="24"/>
                <w:szCs w:val="24"/>
              </w:rPr>
            </w:pPr>
            <w:r>
              <w:rPr>
                <w:rFonts w:hint="eastAsia" w:ascii="宋体" w:hAnsi="宋体"/>
                <w:b/>
                <w:sz w:val="24"/>
                <w:szCs w:val="24"/>
              </w:rPr>
              <w:t>评分标准</w:t>
            </w:r>
          </w:p>
        </w:tc>
        <w:tc>
          <w:tcPr>
            <w:tcW w:w="1559" w:type="dxa"/>
            <w:vAlign w:val="center"/>
          </w:tcPr>
          <w:p>
            <w:pPr>
              <w:spacing w:line="250" w:lineRule="exact"/>
              <w:ind w:firstLine="241" w:firstLineChars="100"/>
              <w:jc w:val="center"/>
              <w:rPr>
                <w:rFonts w:ascii="宋体" w:hAnsi="宋体"/>
                <w:b/>
                <w:sz w:val="24"/>
                <w:szCs w:val="24"/>
              </w:rPr>
            </w:pPr>
            <w:r>
              <w:rPr>
                <w:rFonts w:hint="eastAsia" w:ascii="宋体" w:hAnsi="宋体"/>
                <w:b/>
                <w:sz w:val="24"/>
                <w:szCs w:val="24"/>
              </w:rPr>
              <w:t>最大分值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3" w:type="dxa"/>
            <w:vAlign w:val="center"/>
          </w:tcPr>
          <w:p>
            <w:pPr>
              <w:spacing w:line="0" w:lineRule="atLeast"/>
              <w:rPr>
                <w:rFonts w:ascii="宋体" w:hAnsi="宋体"/>
                <w:sz w:val="24"/>
                <w:szCs w:val="24"/>
              </w:rPr>
            </w:pPr>
            <w:r>
              <w:rPr>
                <w:rFonts w:hint="eastAsia" w:ascii="宋体" w:hAnsi="宋体"/>
                <w:sz w:val="24"/>
                <w:szCs w:val="24"/>
              </w:rPr>
              <w:t>投标报价（</w:t>
            </w:r>
            <w:r>
              <w:rPr>
                <w:rFonts w:ascii="宋体" w:hAnsi="宋体"/>
                <w:sz w:val="24"/>
                <w:szCs w:val="24"/>
              </w:rPr>
              <w:t>40</w:t>
            </w:r>
            <w:r>
              <w:rPr>
                <w:rFonts w:hint="eastAsia" w:ascii="宋体" w:hAnsi="宋体"/>
                <w:sz w:val="24"/>
                <w:szCs w:val="24"/>
              </w:rPr>
              <w:t>分）</w:t>
            </w:r>
          </w:p>
        </w:tc>
        <w:tc>
          <w:tcPr>
            <w:tcW w:w="2126" w:type="dxa"/>
            <w:vAlign w:val="center"/>
          </w:tcPr>
          <w:p>
            <w:pPr>
              <w:spacing w:line="0" w:lineRule="atLeast"/>
              <w:jc w:val="center"/>
              <w:rPr>
                <w:rFonts w:ascii="宋体" w:hAnsi="宋体"/>
                <w:sz w:val="24"/>
                <w:szCs w:val="24"/>
              </w:rPr>
            </w:pPr>
            <w:r>
              <w:rPr>
                <w:rFonts w:hint="eastAsia" w:ascii="宋体" w:hAnsi="宋体"/>
                <w:sz w:val="24"/>
                <w:szCs w:val="24"/>
              </w:rPr>
              <w:t>投标报价（</w:t>
            </w:r>
            <w:r>
              <w:rPr>
                <w:rFonts w:ascii="宋体" w:hAnsi="宋体"/>
                <w:sz w:val="24"/>
                <w:szCs w:val="24"/>
              </w:rPr>
              <w:t>40</w:t>
            </w:r>
            <w:r>
              <w:rPr>
                <w:rFonts w:hint="eastAsia" w:ascii="宋体" w:hAnsi="宋体"/>
                <w:sz w:val="24"/>
                <w:szCs w:val="24"/>
              </w:rPr>
              <w:t>分）</w:t>
            </w:r>
          </w:p>
        </w:tc>
        <w:tc>
          <w:tcPr>
            <w:tcW w:w="4140" w:type="dxa"/>
          </w:tcPr>
          <w:p>
            <w:pPr>
              <w:spacing w:line="0" w:lineRule="atLeast"/>
              <w:rPr>
                <w:rFonts w:ascii="宋体" w:hAnsi="宋体"/>
                <w:sz w:val="24"/>
                <w:szCs w:val="24"/>
              </w:rPr>
            </w:pPr>
            <w:r>
              <w:rPr>
                <w:rFonts w:hint="eastAsia" w:ascii="宋体" w:hAnsi="宋体"/>
                <w:sz w:val="24"/>
                <w:szCs w:val="24"/>
              </w:rPr>
              <w:t>投标报价以最低价格作为基准价，基准价为满分，价格评分=基准价/投标价*最高分</w:t>
            </w:r>
          </w:p>
        </w:tc>
        <w:tc>
          <w:tcPr>
            <w:tcW w:w="1559" w:type="dxa"/>
            <w:vAlign w:val="center"/>
          </w:tcPr>
          <w:p>
            <w:pPr>
              <w:spacing w:line="0" w:lineRule="atLeast"/>
              <w:jc w:val="center"/>
              <w:rPr>
                <w:rFonts w:ascii="宋体" w:hAnsi="宋体"/>
                <w:sz w:val="24"/>
                <w:szCs w:val="24"/>
              </w:rPr>
            </w:pPr>
            <w:r>
              <w:rPr>
                <w:rFonts w:ascii="宋体" w:hAnsi="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93" w:type="dxa"/>
            <w:vMerge w:val="restart"/>
            <w:vAlign w:val="center"/>
          </w:tcPr>
          <w:p>
            <w:pPr>
              <w:spacing w:line="0" w:lineRule="atLeast"/>
              <w:rPr>
                <w:rFonts w:ascii="宋体" w:hAnsi="宋体"/>
                <w:sz w:val="24"/>
                <w:szCs w:val="24"/>
              </w:rPr>
            </w:pPr>
            <w:r>
              <w:rPr>
                <w:rFonts w:hint="eastAsia" w:ascii="宋体" w:hAnsi="宋体"/>
                <w:sz w:val="24"/>
                <w:szCs w:val="24"/>
              </w:rPr>
              <w:t>综合评价 （</w:t>
            </w:r>
            <w:r>
              <w:rPr>
                <w:rFonts w:ascii="宋体" w:hAnsi="宋体"/>
                <w:sz w:val="24"/>
                <w:szCs w:val="24"/>
              </w:rPr>
              <w:t>60</w:t>
            </w:r>
            <w:r>
              <w:rPr>
                <w:rFonts w:hint="eastAsia" w:ascii="宋体" w:hAnsi="宋体"/>
                <w:sz w:val="24"/>
                <w:szCs w:val="24"/>
              </w:rPr>
              <w:t>分）</w:t>
            </w:r>
          </w:p>
        </w:tc>
        <w:tc>
          <w:tcPr>
            <w:tcW w:w="2126" w:type="dxa"/>
            <w:vAlign w:val="center"/>
          </w:tcPr>
          <w:p>
            <w:pPr>
              <w:spacing w:line="0" w:lineRule="atLeast"/>
              <w:jc w:val="center"/>
              <w:rPr>
                <w:rFonts w:ascii="宋体" w:hAnsi="宋体"/>
                <w:sz w:val="24"/>
                <w:szCs w:val="24"/>
              </w:rPr>
            </w:pPr>
            <w:r>
              <w:rPr>
                <w:rFonts w:hint="eastAsia" w:ascii="宋体" w:hAnsi="宋体"/>
                <w:sz w:val="24"/>
                <w:szCs w:val="24"/>
              </w:rPr>
              <w:t>技术质量（30分）</w:t>
            </w:r>
          </w:p>
        </w:tc>
        <w:tc>
          <w:tcPr>
            <w:tcW w:w="4140" w:type="dxa"/>
          </w:tcPr>
          <w:p>
            <w:pPr>
              <w:spacing w:line="0" w:lineRule="atLeast"/>
              <w:rPr>
                <w:rFonts w:ascii="宋体" w:hAnsi="宋体"/>
                <w:sz w:val="24"/>
                <w:szCs w:val="24"/>
              </w:rPr>
            </w:pPr>
            <w:r>
              <w:rPr>
                <w:rFonts w:hint="eastAsia" w:ascii="宋体" w:hAnsi="宋体"/>
                <w:sz w:val="24"/>
                <w:szCs w:val="24"/>
              </w:rPr>
              <w:t>在符合国家、行业标准的前提下，更能够满足需方企业质量、技术要求，打分范围25.1-30.0；</w:t>
            </w:r>
          </w:p>
          <w:p>
            <w:pPr>
              <w:spacing w:line="0" w:lineRule="atLeast"/>
              <w:rPr>
                <w:rFonts w:ascii="宋体" w:hAnsi="宋体"/>
                <w:sz w:val="24"/>
                <w:szCs w:val="24"/>
              </w:rPr>
            </w:pPr>
            <w:r>
              <w:rPr>
                <w:rFonts w:hint="eastAsia" w:ascii="宋体" w:hAnsi="宋体"/>
                <w:sz w:val="24"/>
                <w:szCs w:val="24"/>
              </w:rPr>
              <w:t>符合国家、行业相关质量标准，打分范围20.0-25.0</w:t>
            </w:r>
          </w:p>
        </w:tc>
        <w:tc>
          <w:tcPr>
            <w:tcW w:w="1559" w:type="dxa"/>
            <w:vAlign w:val="center"/>
          </w:tcPr>
          <w:p>
            <w:pPr>
              <w:spacing w:line="0" w:lineRule="atLeast"/>
              <w:jc w:val="center"/>
              <w:rPr>
                <w:rFonts w:ascii="宋体" w:hAnsi="宋体"/>
                <w:sz w:val="24"/>
                <w:szCs w:val="24"/>
              </w:rPr>
            </w:pPr>
            <w:r>
              <w:rPr>
                <w:rFonts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2093" w:type="dxa"/>
            <w:vMerge w:val="continue"/>
          </w:tcPr>
          <w:p>
            <w:pPr>
              <w:spacing w:line="0" w:lineRule="atLeast"/>
              <w:rPr>
                <w:sz w:val="24"/>
                <w:szCs w:val="24"/>
              </w:rPr>
            </w:pPr>
          </w:p>
        </w:tc>
        <w:tc>
          <w:tcPr>
            <w:tcW w:w="2126" w:type="dxa"/>
            <w:vAlign w:val="center"/>
          </w:tcPr>
          <w:p>
            <w:pPr>
              <w:spacing w:line="0" w:lineRule="atLeast"/>
              <w:jc w:val="center"/>
              <w:rPr>
                <w:color w:val="000000"/>
                <w:sz w:val="24"/>
                <w:szCs w:val="24"/>
              </w:rPr>
            </w:pPr>
            <w:r>
              <w:rPr>
                <w:rFonts w:hint="eastAsia"/>
                <w:color w:val="000000"/>
                <w:sz w:val="24"/>
                <w:szCs w:val="24"/>
              </w:rPr>
              <w:t>技术服务承诺及保障措施（20分）</w:t>
            </w:r>
          </w:p>
        </w:tc>
        <w:tc>
          <w:tcPr>
            <w:tcW w:w="4140" w:type="dxa"/>
          </w:tcPr>
          <w:p>
            <w:pPr>
              <w:spacing w:line="0" w:lineRule="atLeast"/>
              <w:rPr>
                <w:color w:val="000000"/>
                <w:sz w:val="24"/>
                <w:szCs w:val="24"/>
              </w:rPr>
            </w:pPr>
            <w:r>
              <w:rPr>
                <w:rFonts w:hint="eastAsia"/>
                <w:color w:val="000000"/>
                <w:sz w:val="24"/>
                <w:szCs w:val="24"/>
              </w:rPr>
              <w:t>技术服务承诺及保障措施完善，打分范围15.1-20.0；</w:t>
            </w:r>
          </w:p>
          <w:p>
            <w:pPr>
              <w:spacing w:line="0" w:lineRule="atLeast"/>
              <w:rPr>
                <w:color w:val="000000"/>
                <w:sz w:val="24"/>
                <w:szCs w:val="24"/>
              </w:rPr>
            </w:pPr>
            <w:r>
              <w:rPr>
                <w:rFonts w:hint="eastAsia"/>
                <w:color w:val="000000"/>
                <w:sz w:val="24"/>
                <w:szCs w:val="24"/>
              </w:rPr>
              <w:t>技术服务承诺不明确，或保障措施不尽完善，打分范围10.0-15.0</w:t>
            </w:r>
          </w:p>
        </w:tc>
        <w:tc>
          <w:tcPr>
            <w:tcW w:w="1559" w:type="dxa"/>
            <w:vAlign w:val="center"/>
          </w:tcPr>
          <w:p>
            <w:pPr>
              <w:spacing w:line="0" w:lineRule="atLeast"/>
              <w:jc w:val="center"/>
              <w:rPr>
                <w:rFonts w:ascii="宋体" w:hAnsi="宋体"/>
                <w:color w:val="000000"/>
                <w:sz w:val="24"/>
                <w:szCs w:val="24"/>
              </w:rPr>
            </w:pPr>
            <w:r>
              <w:rPr>
                <w:rFonts w:ascii="宋体" w:hAnsi="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093" w:type="dxa"/>
            <w:vMerge w:val="continue"/>
          </w:tcPr>
          <w:p>
            <w:pPr>
              <w:spacing w:line="0" w:lineRule="atLeast"/>
              <w:rPr>
                <w:sz w:val="24"/>
                <w:szCs w:val="24"/>
              </w:rPr>
            </w:pPr>
          </w:p>
        </w:tc>
        <w:tc>
          <w:tcPr>
            <w:tcW w:w="2126" w:type="dxa"/>
            <w:vAlign w:val="center"/>
          </w:tcPr>
          <w:p>
            <w:pPr>
              <w:spacing w:line="0" w:lineRule="atLeast"/>
              <w:jc w:val="center"/>
              <w:rPr>
                <w:sz w:val="24"/>
                <w:szCs w:val="24"/>
              </w:rPr>
            </w:pPr>
            <w:r>
              <w:rPr>
                <w:rFonts w:hint="eastAsia"/>
                <w:sz w:val="24"/>
                <w:szCs w:val="24"/>
              </w:rPr>
              <w:t>业绩（10分）</w:t>
            </w:r>
          </w:p>
        </w:tc>
        <w:tc>
          <w:tcPr>
            <w:tcW w:w="4140" w:type="dxa"/>
            <w:vAlign w:val="center"/>
          </w:tcPr>
          <w:p>
            <w:pPr>
              <w:spacing w:line="0" w:lineRule="atLeast"/>
              <w:jc w:val="left"/>
              <w:rPr>
                <w:rFonts w:ascii="宋体" w:hAnsi="宋体"/>
                <w:sz w:val="24"/>
                <w:szCs w:val="24"/>
              </w:rPr>
            </w:pPr>
            <w:r>
              <w:rPr>
                <w:rFonts w:hint="eastAsia" w:ascii="宋体" w:hAnsi="宋体"/>
                <w:sz w:val="24"/>
                <w:szCs w:val="24"/>
              </w:rPr>
              <w:t>每提供一份相关业绩（要求原合同复印件或扫描件）加2分，加满为止</w:t>
            </w:r>
          </w:p>
        </w:tc>
        <w:tc>
          <w:tcPr>
            <w:tcW w:w="1559" w:type="dxa"/>
            <w:vAlign w:val="center"/>
          </w:tcPr>
          <w:p>
            <w:pPr>
              <w:spacing w:line="0" w:lineRule="atLeast"/>
              <w:jc w:val="center"/>
              <w:rPr>
                <w:rFonts w:ascii="宋体" w:hAnsi="宋体"/>
                <w:sz w:val="24"/>
                <w:szCs w:val="24"/>
              </w:rPr>
            </w:pPr>
            <w:r>
              <w:rPr>
                <w:rFonts w:ascii="宋体" w:hAnsi="宋体"/>
                <w:sz w:val="24"/>
                <w:szCs w:val="24"/>
              </w:rPr>
              <w:t>10</w:t>
            </w:r>
          </w:p>
        </w:tc>
      </w:tr>
      <w:bookmarkEnd w:id="1"/>
    </w:tbl>
    <w:p>
      <w:pPr>
        <w:spacing w:line="360" w:lineRule="auto"/>
        <w:rPr>
          <w:rFonts w:ascii="宋体" w:hAnsi="宋体" w:cs="宋体"/>
          <w:sz w:val="28"/>
          <w:szCs w:val="28"/>
        </w:rPr>
      </w:pPr>
    </w:p>
    <w:p>
      <w:pPr>
        <w:widowControl/>
        <w:jc w:val="left"/>
        <w:rPr>
          <w:rFonts w:ascii="宋体" w:hAnsi="宋体" w:cs="宋体"/>
          <w:sz w:val="28"/>
          <w:szCs w:val="28"/>
        </w:rPr>
      </w:pPr>
      <w:r>
        <w:rPr>
          <w:rFonts w:ascii="宋体" w:hAnsi="宋体" w:cs="宋体"/>
          <w:sz w:val="28"/>
          <w:szCs w:val="28"/>
        </w:rPr>
        <w:br w:type="page"/>
      </w:r>
      <w:bookmarkStart w:id="2" w:name="_Hlk118271119"/>
      <w:r>
        <w:rPr>
          <w:rFonts w:hint="eastAsia" w:ascii="宋体" w:hAnsi="宋体" w:cs="宋体"/>
          <w:sz w:val="28"/>
          <w:szCs w:val="28"/>
        </w:rPr>
        <w:t>附件五：</w:t>
      </w:r>
      <w:bookmarkEnd w:id="2"/>
      <w:r>
        <w:rPr>
          <w:rFonts w:hint="eastAsia" w:ascii="宋体" w:hAnsi="宋体" w:cs="宋体"/>
          <w:sz w:val="28"/>
          <w:szCs w:val="28"/>
        </w:rPr>
        <w:t>合同模板</w:t>
      </w:r>
    </w:p>
    <w:p>
      <w:pPr>
        <w:spacing w:line="420" w:lineRule="exact"/>
        <w:jc w:val="center"/>
        <w:rPr>
          <w:rFonts w:ascii="宋体" w:hAnsi="宋体" w:cs="宋体"/>
          <w:b/>
          <w:bCs/>
          <w:sz w:val="36"/>
          <w:szCs w:val="36"/>
        </w:rPr>
      </w:pPr>
      <w:r>
        <w:rPr>
          <w:rFonts w:hint="eastAsia" w:ascii="宋体" w:hAnsi="宋体" w:cs="宋体"/>
          <w:b/>
          <w:bCs/>
          <w:sz w:val="36"/>
          <w:szCs w:val="36"/>
          <w:u w:val="single"/>
        </w:rPr>
        <w:t xml:space="preserve"> </w:t>
      </w:r>
      <w:r>
        <w:rPr>
          <w:rFonts w:hint="eastAsia" w:ascii="宋体" w:hAnsi="宋体" w:cs="宋体"/>
          <w:b/>
          <w:bCs/>
          <w:sz w:val="36"/>
          <w:szCs w:val="36"/>
          <w:u w:val="single"/>
          <w:lang w:eastAsia="zh-CN"/>
        </w:rPr>
        <w:t>自行监测服务</w:t>
      </w:r>
      <w:r>
        <w:rPr>
          <w:rFonts w:ascii="宋体" w:hAnsi="宋体" w:cs="宋体"/>
          <w:b/>
          <w:bCs/>
          <w:sz w:val="36"/>
          <w:szCs w:val="36"/>
          <w:u w:val="single"/>
        </w:rPr>
        <w:t xml:space="preserve"> </w:t>
      </w:r>
      <w:bookmarkStart w:id="3" w:name="_Hlk109547614"/>
      <w:r>
        <w:rPr>
          <w:rFonts w:hint="eastAsia" w:ascii="宋体" w:hAnsi="宋体" w:cs="宋体"/>
          <w:b/>
          <w:bCs/>
          <w:sz w:val="36"/>
          <w:szCs w:val="36"/>
        </w:rPr>
        <w:t>年度合同</w:t>
      </w:r>
    </w:p>
    <w:p>
      <w:pPr>
        <w:spacing w:line="420" w:lineRule="exact"/>
        <w:rPr>
          <w:rFonts w:ascii="宋体" w:hAnsi="宋体"/>
          <w:bCs/>
          <w:sz w:val="28"/>
          <w:szCs w:val="28"/>
        </w:rPr>
      </w:pPr>
      <w:r>
        <w:rPr>
          <w:rFonts w:hint="eastAsia" w:ascii="宋体" w:hAnsi="宋体"/>
          <w:bCs/>
          <w:sz w:val="28"/>
          <w:szCs w:val="28"/>
        </w:rPr>
        <w:t xml:space="preserve">甲方： </w:t>
      </w:r>
      <w:r>
        <w:rPr>
          <w:rFonts w:ascii="宋体" w:hAnsi="宋体"/>
          <w:bCs/>
          <w:sz w:val="28"/>
          <w:szCs w:val="28"/>
        </w:rPr>
        <w:t xml:space="preserve">                           </w:t>
      </w:r>
      <w:r>
        <w:rPr>
          <w:rFonts w:hint="eastAsia" w:ascii="宋体" w:hAnsi="宋体"/>
          <w:bCs/>
          <w:sz w:val="28"/>
          <w:szCs w:val="28"/>
        </w:rPr>
        <w:t xml:space="preserve"> </w:t>
      </w:r>
      <w:r>
        <w:rPr>
          <w:rFonts w:ascii="宋体" w:hAnsi="宋体"/>
          <w:bCs/>
          <w:sz w:val="28"/>
          <w:szCs w:val="28"/>
        </w:rPr>
        <w:t xml:space="preserve">      </w:t>
      </w:r>
      <w:r>
        <w:rPr>
          <w:rFonts w:hint="eastAsia" w:ascii="宋体" w:hAnsi="宋体"/>
          <w:bCs/>
          <w:sz w:val="28"/>
          <w:szCs w:val="28"/>
        </w:rPr>
        <w:t>地点：</w:t>
      </w:r>
      <w:r>
        <w:rPr>
          <w:rFonts w:ascii="宋体" w:hAnsi="宋体"/>
          <w:bCs/>
          <w:sz w:val="28"/>
          <w:szCs w:val="28"/>
        </w:rPr>
        <w:t xml:space="preserve"> </w:t>
      </w:r>
    </w:p>
    <w:p>
      <w:pPr>
        <w:spacing w:line="420" w:lineRule="exact"/>
        <w:rPr>
          <w:rFonts w:ascii="宋体" w:hAnsi="宋体"/>
          <w:sz w:val="28"/>
          <w:szCs w:val="28"/>
        </w:rPr>
      </w:pPr>
      <w:r>
        <w:rPr>
          <w:rFonts w:hint="eastAsia" w:ascii="宋体" w:hAnsi="宋体"/>
          <w:sz w:val="28"/>
          <w:szCs w:val="28"/>
        </w:rPr>
        <w:t>乙方</w:t>
      </w:r>
      <w:r>
        <w:rPr>
          <w:rFonts w:hint="eastAsia" w:ascii="宋体" w:hAnsi="宋体"/>
          <w:bCs/>
          <w:sz w:val="28"/>
          <w:szCs w:val="28"/>
        </w:rPr>
        <w:t xml:space="preserve">： </w:t>
      </w:r>
      <w:r>
        <w:rPr>
          <w:rFonts w:ascii="宋体" w:hAnsi="宋体"/>
          <w:bCs/>
          <w:sz w:val="28"/>
          <w:szCs w:val="28"/>
        </w:rPr>
        <w:t xml:space="preserve">                          </w:t>
      </w:r>
      <w:r>
        <w:rPr>
          <w:rFonts w:ascii="宋体" w:hAnsi="宋体"/>
          <w:sz w:val="28"/>
          <w:szCs w:val="28"/>
        </w:rPr>
        <w:t xml:space="preserve">        </w:t>
      </w:r>
      <w:r>
        <w:rPr>
          <w:rFonts w:hint="eastAsia" w:ascii="宋体" w:hAnsi="宋体"/>
          <w:sz w:val="28"/>
          <w:szCs w:val="28"/>
        </w:rPr>
        <w:t>时间：2</w:t>
      </w:r>
      <w:r>
        <w:rPr>
          <w:rFonts w:ascii="宋体" w:hAnsi="宋体"/>
          <w:sz w:val="28"/>
          <w:szCs w:val="28"/>
        </w:rPr>
        <w:t>02</w:t>
      </w:r>
      <w:r>
        <w:rPr>
          <w:rFonts w:hint="eastAsia" w:ascii="宋体" w:hAnsi="宋体"/>
          <w:sz w:val="28"/>
          <w:szCs w:val="28"/>
          <w:lang w:val="en-US" w:eastAsia="zh-CN"/>
        </w:rPr>
        <w:t>3</w:t>
      </w:r>
      <w:bookmarkStart w:id="4" w:name="_GoBack"/>
      <w:bookmarkEnd w:id="4"/>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pPr>
        <w:spacing w:line="440" w:lineRule="exact"/>
        <w:ind w:firstLine="560" w:firstLineChars="200"/>
        <w:rPr>
          <w:rFonts w:ascii="宋体" w:hAnsi="宋体"/>
          <w:sz w:val="28"/>
          <w:szCs w:val="28"/>
        </w:rPr>
      </w:pPr>
      <w:r>
        <w:rPr>
          <w:rFonts w:hint="eastAsia" w:ascii="宋体" w:hAnsi="宋体"/>
          <w:sz w:val="28"/>
          <w:szCs w:val="28"/>
        </w:rPr>
        <w:t>根据《中华人民共和国民法典》及其他有关法律、法规、规章，并结合具体情况，遵循平等、自愿、公平和诚实信用的原则，双方就施工事项协商一致，订立本合同。</w:t>
      </w:r>
    </w:p>
    <w:p>
      <w:pPr>
        <w:spacing w:line="420" w:lineRule="exact"/>
        <w:ind w:firstLine="480" w:firstLineChars="200"/>
        <w:rPr>
          <w:rFonts w:ascii="宋体" w:hAnsi="宋体"/>
          <w:bCs/>
          <w:sz w:val="24"/>
          <w:szCs w:val="24"/>
        </w:rPr>
      </w:pPr>
      <w:r>
        <w:rPr>
          <w:rFonts w:hint="eastAsia" w:ascii="宋体" w:hAnsi="宋体"/>
          <w:bCs/>
          <w:sz w:val="24"/>
          <w:szCs w:val="24"/>
        </w:rPr>
        <w:t>一</w:t>
      </w:r>
      <w:r>
        <w:rPr>
          <w:rFonts w:hint="eastAsia" w:ascii="宋体" w:hAnsi="宋体"/>
          <w:sz w:val="28"/>
          <w:szCs w:val="28"/>
        </w:rPr>
        <w:t>、合同内容及价格：</w:t>
      </w:r>
    </w:p>
    <w:p>
      <w:pPr>
        <w:pStyle w:val="6"/>
        <w:widowControl/>
        <w:spacing w:beforeAutospacing="0" w:afterAutospacing="0" w:line="560" w:lineRule="exact"/>
        <w:ind w:firstLine="560" w:firstLineChars="200"/>
        <w:rPr>
          <w:rFonts w:hint="eastAsia" w:ascii="宋体" w:hAnsi="宋体" w:cs="宋体"/>
          <w:sz w:val="28"/>
          <w:szCs w:val="28"/>
        </w:rPr>
      </w:pPr>
      <w:r>
        <w:rPr>
          <w:rFonts w:hint="eastAsia" w:ascii="宋体" w:hAnsi="宋体" w:cs="宋体"/>
          <w:sz w:val="28"/>
          <w:szCs w:val="28"/>
        </w:rPr>
        <w:t>据《排污单位自行监测技术指南-水泥工业》HJ848-2017文件要求，制定2023年度自行监测方案，并通过环保部门备案，按方案要求及规定的频次，监测有组织废气，无组织废气，厂界噪声，雨水排放口；周边环境空气、地下水及土壤监测；窑头、窑尾和水泥磨在线异常情况监测；职工食堂油烟监测等。</w:t>
      </w:r>
    </w:p>
    <w:p>
      <w:pPr>
        <w:pStyle w:val="6"/>
        <w:widowControl/>
        <w:spacing w:beforeAutospacing="0" w:afterAutospacing="0" w:line="560" w:lineRule="exact"/>
        <w:ind w:firstLine="560" w:firstLineChars="200"/>
        <w:rPr>
          <w:rFonts w:hint="eastAsia" w:ascii="宋体" w:hAnsi="宋体" w:cs="宋体"/>
          <w:sz w:val="28"/>
          <w:szCs w:val="28"/>
          <w:u w:val="single"/>
        </w:rPr>
      </w:pPr>
      <w:r>
        <w:rPr>
          <w:rFonts w:hint="eastAsia" w:ascii="宋体" w:hAnsi="宋体" w:cs="宋体"/>
          <w:sz w:val="28"/>
          <w:szCs w:val="28"/>
        </w:rPr>
        <w:t>合同总金额（人民币）：</w:t>
      </w:r>
      <w:r>
        <w:rPr>
          <w:rFonts w:hint="eastAsia" w:ascii="宋体" w:hAnsi="宋体" w:cs="宋体"/>
          <w:sz w:val="28"/>
          <w:szCs w:val="28"/>
          <w:u w:val="single"/>
        </w:rPr>
        <w:t xml:space="preserve">                              </w:t>
      </w:r>
    </w:p>
    <w:p>
      <w:pPr>
        <w:pStyle w:val="6"/>
        <w:widowControl/>
        <w:spacing w:beforeAutospacing="0" w:afterAutospacing="0" w:line="560" w:lineRule="exact"/>
        <w:ind w:firstLine="560" w:firstLineChars="200"/>
        <w:rPr>
          <w:rFonts w:hint="eastAsia" w:ascii="宋体" w:hAnsi="宋体" w:cs="宋体"/>
          <w:sz w:val="28"/>
          <w:szCs w:val="28"/>
        </w:rPr>
      </w:pPr>
      <w:r>
        <w:rPr>
          <w:rFonts w:hint="eastAsia" w:ascii="宋体" w:hAnsi="宋体" w:cs="宋体"/>
          <w:sz w:val="28"/>
          <w:szCs w:val="28"/>
        </w:rPr>
        <w:t>税率：6%增值税专用发票</w:t>
      </w:r>
    </w:p>
    <w:p>
      <w:pPr>
        <w:pStyle w:val="6"/>
        <w:widowControl/>
        <w:spacing w:beforeAutospacing="0" w:afterAutospacing="0" w:line="560" w:lineRule="exact"/>
        <w:ind w:firstLine="560" w:firstLineChars="200"/>
        <w:rPr>
          <w:rFonts w:ascii="宋体" w:hAnsi="宋体" w:cs="宋体"/>
          <w:sz w:val="28"/>
          <w:szCs w:val="28"/>
        </w:rPr>
      </w:pPr>
      <w:r>
        <w:rPr>
          <w:rFonts w:hint="eastAsia" w:ascii="宋体" w:hAnsi="宋体" w:cs="宋体"/>
          <w:sz w:val="28"/>
          <w:szCs w:val="28"/>
        </w:rPr>
        <w:t>二、技术要求：</w:t>
      </w:r>
    </w:p>
    <w:p>
      <w:pPr>
        <w:ind w:firstLine="560" w:firstLineChars="200"/>
        <w:rPr>
          <w:rFonts w:hint="eastAsia" w:ascii="宋体" w:hAnsi="宋体" w:cs="宋体"/>
          <w:color w:val="auto"/>
          <w:sz w:val="28"/>
          <w:szCs w:val="28"/>
        </w:rPr>
      </w:pPr>
      <w:r>
        <w:rPr>
          <w:rFonts w:hint="eastAsia" w:ascii="宋体" w:hAnsi="宋体" w:cs="宋体"/>
          <w:color w:val="000000"/>
          <w:sz w:val="28"/>
          <w:szCs w:val="28"/>
        </w:rPr>
        <w:t>据《排污单位自行监测技术指南</w:t>
      </w:r>
      <w:r>
        <w:rPr>
          <w:rFonts w:hint="eastAsia" w:ascii="宋体" w:hAnsi="宋体" w:cs="宋体"/>
          <w:color w:val="000000"/>
          <w:sz w:val="28"/>
          <w:szCs w:val="28"/>
          <w:lang w:val="en-US" w:eastAsia="zh-CN"/>
        </w:rPr>
        <w:t>-</w:t>
      </w:r>
      <w:r>
        <w:rPr>
          <w:rFonts w:hint="eastAsia" w:ascii="宋体" w:hAnsi="宋体" w:cs="宋体"/>
          <w:color w:val="000000"/>
          <w:sz w:val="28"/>
          <w:szCs w:val="28"/>
        </w:rPr>
        <w:t>水泥工业》HJ848-2017文件要求，</w:t>
      </w:r>
      <w:r>
        <w:rPr>
          <w:rFonts w:hint="eastAsia" w:ascii="宋体" w:hAnsi="宋体" w:cs="宋体"/>
          <w:color w:val="000000"/>
          <w:sz w:val="28"/>
          <w:szCs w:val="28"/>
          <w:lang w:eastAsia="zh-CN"/>
        </w:rPr>
        <w:t>制定</w:t>
      </w:r>
      <w:r>
        <w:rPr>
          <w:rFonts w:hint="eastAsia" w:ascii="宋体" w:hAnsi="宋体" w:cs="宋体"/>
          <w:color w:val="000000"/>
          <w:sz w:val="28"/>
          <w:szCs w:val="28"/>
          <w:lang w:val="en-US" w:eastAsia="zh-CN"/>
        </w:rPr>
        <w:t>2023年度</w:t>
      </w:r>
      <w:r>
        <w:rPr>
          <w:rFonts w:hint="eastAsia" w:ascii="宋体" w:hAnsi="宋体" w:cs="宋体"/>
          <w:color w:val="000000"/>
          <w:sz w:val="28"/>
          <w:szCs w:val="28"/>
        </w:rPr>
        <w:t>自行监测方案</w:t>
      </w:r>
      <w:r>
        <w:rPr>
          <w:rFonts w:hint="eastAsia" w:ascii="宋体" w:hAnsi="宋体" w:cs="宋体"/>
          <w:color w:val="000000"/>
          <w:sz w:val="28"/>
          <w:szCs w:val="28"/>
          <w:lang w:eastAsia="zh-CN"/>
        </w:rPr>
        <w:t>，并通过环保部门备案</w:t>
      </w:r>
      <w:r>
        <w:rPr>
          <w:rFonts w:hint="eastAsia" w:ascii="宋体" w:hAnsi="宋体" w:cs="宋体"/>
          <w:color w:val="000000"/>
          <w:sz w:val="28"/>
          <w:szCs w:val="28"/>
        </w:rPr>
        <w:t>，按</w:t>
      </w:r>
      <w:r>
        <w:rPr>
          <w:rFonts w:hint="eastAsia" w:ascii="宋体" w:hAnsi="宋体" w:cs="宋体"/>
          <w:color w:val="000000"/>
          <w:sz w:val="28"/>
          <w:szCs w:val="28"/>
          <w:lang w:eastAsia="zh-CN"/>
        </w:rPr>
        <w:t>方案</w:t>
      </w:r>
      <w:r>
        <w:rPr>
          <w:rFonts w:hint="eastAsia" w:ascii="宋体" w:hAnsi="宋体" w:cs="宋体"/>
          <w:color w:val="000000"/>
          <w:sz w:val="28"/>
          <w:szCs w:val="28"/>
        </w:rPr>
        <w:t>要求及规定的频次，监测有组织废气</w:t>
      </w:r>
      <w:r>
        <w:rPr>
          <w:rFonts w:hint="eastAsia" w:ascii="宋体" w:hAnsi="宋体" w:cs="宋体"/>
          <w:color w:val="000000"/>
          <w:sz w:val="28"/>
          <w:szCs w:val="28"/>
          <w:lang w:eastAsia="zh-CN"/>
        </w:rPr>
        <w:t>，</w:t>
      </w:r>
      <w:r>
        <w:rPr>
          <w:rFonts w:hint="eastAsia" w:ascii="宋体" w:hAnsi="宋体" w:cs="宋体"/>
          <w:color w:val="000000"/>
          <w:sz w:val="28"/>
          <w:szCs w:val="28"/>
        </w:rPr>
        <w:t>无组织废气</w:t>
      </w:r>
      <w:r>
        <w:rPr>
          <w:rFonts w:hint="eastAsia" w:ascii="宋体" w:hAnsi="宋体" w:cs="宋体"/>
          <w:color w:val="000000"/>
          <w:sz w:val="28"/>
          <w:szCs w:val="28"/>
          <w:lang w:eastAsia="zh-CN"/>
        </w:rPr>
        <w:t>，</w:t>
      </w:r>
      <w:r>
        <w:rPr>
          <w:rFonts w:hint="eastAsia" w:ascii="宋体" w:hAnsi="宋体" w:cs="宋体"/>
          <w:color w:val="000000"/>
          <w:sz w:val="28"/>
          <w:szCs w:val="28"/>
        </w:rPr>
        <w:t>厂界噪声</w:t>
      </w:r>
      <w:r>
        <w:rPr>
          <w:rFonts w:hint="eastAsia" w:ascii="宋体" w:hAnsi="宋体" w:cs="宋体"/>
          <w:color w:val="000000"/>
          <w:sz w:val="28"/>
          <w:szCs w:val="28"/>
          <w:lang w:eastAsia="zh-CN"/>
        </w:rPr>
        <w:t>，</w:t>
      </w:r>
      <w:r>
        <w:rPr>
          <w:rFonts w:hint="eastAsia" w:ascii="宋体" w:hAnsi="宋体" w:cs="宋体"/>
          <w:color w:val="000000"/>
          <w:sz w:val="28"/>
          <w:szCs w:val="28"/>
        </w:rPr>
        <w:t>雨水排放口</w:t>
      </w:r>
      <w:r>
        <w:rPr>
          <w:rFonts w:hint="eastAsia" w:ascii="宋体" w:hAnsi="宋体" w:cs="宋体"/>
          <w:color w:val="000000"/>
          <w:sz w:val="28"/>
          <w:szCs w:val="28"/>
          <w:lang w:eastAsia="zh-CN"/>
        </w:rPr>
        <w:t>，</w:t>
      </w:r>
      <w:r>
        <w:rPr>
          <w:rFonts w:hint="eastAsia" w:ascii="宋体" w:hAnsi="宋体" w:cs="宋体"/>
          <w:color w:val="000000"/>
          <w:sz w:val="28"/>
          <w:szCs w:val="28"/>
        </w:rPr>
        <w:t>周边环境空气</w:t>
      </w:r>
      <w:r>
        <w:rPr>
          <w:rFonts w:hint="eastAsia" w:ascii="宋体" w:hAnsi="宋体" w:cs="宋体"/>
          <w:color w:val="000000"/>
          <w:sz w:val="28"/>
          <w:szCs w:val="28"/>
          <w:lang w:eastAsia="zh-CN"/>
        </w:rPr>
        <w:t>，</w:t>
      </w:r>
      <w:r>
        <w:rPr>
          <w:rFonts w:hint="eastAsia" w:ascii="宋体" w:hAnsi="宋体" w:cs="宋体"/>
          <w:color w:val="000000"/>
          <w:sz w:val="28"/>
          <w:szCs w:val="28"/>
        </w:rPr>
        <w:t>地下水及土壤监测</w:t>
      </w:r>
      <w:r>
        <w:rPr>
          <w:rFonts w:hint="eastAsia" w:ascii="宋体" w:hAnsi="宋体" w:cs="宋体"/>
          <w:color w:val="000000"/>
          <w:sz w:val="28"/>
          <w:szCs w:val="28"/>
          <w:lang w:eastAsia="zh-CN"/>
        </w:rPr>
        <w:t>，</w:t>
      </w:r>
      <w:r>
        <w:rPr>
          <w:rFonts w:hint="eastAsia" w:ascii="宋体" w:hAnsi="宋体" w:cs="宋体"/>
          <w:color w:val="000000"/>
          <w:sz w:val="28"/>
          <w:szCs w:val="28"/>
        </w:rPr>
        <w:t>窑头、窑尾</w:t>
      </w:r>
      <w:r>
        <w:rPr>
          <w:rFonts w:hint="eastAsia" w:ascii="宋体" w:hAnsi="宋体" w:cs="宋体"/>
          <w:color w:val="000000"/>
          <w:sz w:val="28"/>
          <w:szCs w:val="28"/>
          <w:lang w:eastAsia="zh-CN"/>
        </w:rPr>
        <w:t>和水泥磨</w:t>
      </w:r>
      <w:r>
        <w:rPr>
          <w:rFonts w:hint="eastAsia" w:ascii="宋体" w:hAnsi="宋体" w:cs="宋体"/>
          <w:color w:val="000000"/>
          <w:sz w:val="28"/>
          <w:szCs w:val="28"/>
        </w:rPr>
        <w:t>在线异常情况监测</w:t>
      </w:r>
      <w:r>
        <w:rPr>
          <w:rFonts w:hint="eastAsia" w:ascii="宋体" w:hAnsi="宋体" w:cs="宋体"/>
          <w:color w:val="000000"/>
          <w:sz w:val="28"/>
          <w:szCs w:val="28"/>
          <w:lang w:eastAsia="zh-CN"/>
        </w:rPr>
        <w:t>和</w:t>
      </w:r>
      <w:r>
        <w:rPr>
          <w:rFonts w:hint="eastAsia" w:ascii="宋体" w:hAnsi="宋体" w:cs="宋体"/>
          <w:color w:val="000000"/>
          <w:sz w:val="28"/>
          <w:szCs w:val="28"/>
        </w:rPr>
        <w:t>职工食堂油烟监测</w:t>
      </w:r>
      <w:r>
        <w:rPr>
          <w:rFonts w:hint="eastAsia" w:ascii="宋体" w:hAnsi="宋体" w:cs="宋体"/>
          <w:color w:val="000000"/>
          <w:sz w:val="28"/>
          <w:szCs w:val="28"/>
          <w:lang w:eastAsia="zh-CN"/>
        </w:rPr>
        <w:t>，</w:t>
      </w:r>
      <w:r>
        <w:rPr>
          <w:rFonts w:hint="eastAsia" w:ascii="宋体" w:hAnsi="宋体" w:cs="宋体"/>
          <w:color w:val="auto"/>
          <w:sz w:val="28"/>
          <w:szCs w:val="28"/>
          <w:lang w:eastAsia="zh-CN"/>
        </w:rPr>
        <w:t>并在监测完成</w:t>
      </w:r>
      <w:r>
        <w:rPr>
          <w:rFonts w:hint="eastAsia" w:ascii="宋体" w:hAnsi="宋体" w:cs="宋体"/>
          <w:color w:val="auto"/>
          <w:sz w:val="28"/>
          <w:szCs w:val="28"/>
          <w:lang w:val="en-US" w:eastAsia="zh-CN"/>
        </w:rPr>
        <w:t>10日内</w:t>
      </w:r>
      <w:r>
        <w:rPr>
          <w:rFonts w:hint="eastAsia" w:ascii="宋体" w:hAnsi="宋体" w:cs="宋体"/>
          <w:color w:val="auto"/>
          <w:sz w:val="28"/>
          <w:szCs w:val="28"/>
        </w:rPr>
        <w:t>出具监测报告。</w:t>
      </w:r>
    </w:p>
    <w:p>
      <w:pPr>
        <w:pStyle w:val="2"/>
        <w:rPr>
          <w:color w:val="auto"/>
        </w:rPr>
      </w:pPr>
      <w:r>
        <w:rPr>
          <w:rFonts w:hint="eastAsia" w:ascii="宋体" w:hAnsi="宋体" w:cs="宋体"/>
          <w:color w:val="auto"/>
          <w:sz w:val="28"/>
          <w:szCs w:val="28"/>
          <w:lang w:eastAsia="zh-CN"/>
        </w:rPr>
        <w:t>其中窑头、窑尾和水泥磨在线异常情况监测要求在在线设备发生故障安排人员和设备两小时内到达现场，开展手工监测工作。</w:t>
      </w:r>
    </w:p>
    <w:p>
      <w:pPr>
        <w:ind w:firstLine="560" w:firstLineChars="200"/>
        <w:rPr>
          <w:rFonts w:ascii="宋体" w:hAnsi="宋体" w:cs="宋体"/>
          <w:color w:val="000000"/>
          <w:sz w:val="28"/>
          <w:szCs w:val="28"/>
        </w:rPr>
      </w:pPr>
      <w:r>
        <w:rPr>
          <w:rFonts w:hint="eastAsia" w:ascii="宋体" w:hAnsi="宋体" w:cs="宋体"/>
          <w:color w:val="000000"/>
          <w:sz w:val="28"/>
          <w:szCs w:val="28"/>
        </w:rPr>
        <w:t>三、合同期限：</w:t>
      </w:r>
    </w:p>
    <w:p>
      <w:pPr>
        <w:ind w:firstLine="560" w:firstLineChars="200"/>
        <w:rPr>
          <w:rFonts w:ascii="宋体" w:hAnsi="宋体" w:cs="宋体"/>
          <w:color w:val="000000"/>
          <w:sz w:val="28"/>
          <w:szCs w:val="28"/>
        </w:rPr>
      </w:pPr>
      <w:r>
        <w:rPr>
          <w:rFonts w:hint="eastAsia" w:ascii="宋体" w:hAnsi="宋体" w:cs="宋体"/>
          <w:color w:val="000000"/>
          <w:sz w:val="28"/>
          <w:szCs w:val="28"/>
        </w:rPr>
        <w:t>2</w:t>
      </w:r>
      <w:r>
        <w:rPr>
          <w:rFonts w:ascii="宋体" w:hAnsi="宋体" w:cs="宋体"/>
          <w:color w:val="000000"/>
          <w:sz w:val="28"/>
          <w:szCs w:val="28"/>
        </w:rPr>
        <w:t>023</w:t>
      </w:r>
      <w:r>
        <w:rPr>
          <w:rFonts w:hint="eastAsia" w:ascii="宋体" w:hAnsi="宋体" w:cs="宋体"/>
          <w:color w:val="000000"/>
          <w:sz w:val="28"/>
          <w:szCs w:val="28"/>
        </w:rPr>
        <w:t>年1月1日-</w:t>
      </w:r>
      <w:r>
        <w:rPr>
          <w:rFonts w:ascii="宋体" w:hAnsi="宋体" w:cs="宋体"/>
          <w:color w:val="000000"/>
          <w:sz w:val="28"/>
          <w:szCs w:val="28"/>
        </w:rPr>
        <w:t>2023</w:t>
      </w:r>
      <w:r>
        <w:rPr>
          <w:rFonts w:hint="eastAsia" w:ascii="宋体" w:hAnsi="宋体" w:cs="宋体"/>
          <w:color w:val="000000"/>
          <w:sz w:val="28"/>
          <w:szCs w:val="28"/>
        </w:rPr>
        <w:t>年1</w:t>
      </w:r>
      <w:r>
        <w:rPr>
          <w:rFonts w:ascii="宋体" w:hAnsi="宋体" w:cs="宋体"/>
          <w:color w:val="000000"/>
          <w:sz w:val="28"/>
          <w:szCs w:val="28"/>
        </w:rPr>
        <w:t>2</w:t>
      </w:r>
      <w:r>
        <w:rPr>
          <w:rFonts w:hint="eastAsia" w:ascii="宋体" w:hAnsi="宋体" w:cs="宋体"/>
          <w:color w:val="000000"/>
          <w:sz w:val="28"/>
          <w:szCs w:val="28"/>
        </w:rPr>
        <w:t>月3</w:t>
      </w:r>
      <w:r>
        <w:rPr>
          <w:rFonts w:ascii="宋体" w:hAnsi="宋体" w:cs="宋体"/>
          <w:color w:val="000000"/>
          <w:sz w:val="28"/>
          <w:szCs w:val="28"/>
        </w:rPr>
        <w:t>1</w:t>
      </w:r>
      <w:r>
        <w:rPr>
          <w:rFonts w:hint="eastAsia" w:ascii="宋体" w:hAnsi="宋体" w:cs="宋体"/>
          <w:color w:val="000000"/>
          <w:sz w:val="28"/>
          <w:szCs w:val="28"/>
        </w:rPr>
        <w:t>日</w:t>
      </w:r>
    </w:p>
    <w:p>
      <w:pPr>
        <w:ind w:firstLine="560" w:firstLineChars="200"/>
        <w:rPr>
          <w:rFonts w:ascii="宋体" w:hAnsi="宋体" w:cs="宋体"/>
          <w:color w:val="000000"/>
          <w:sz w:val="28"/>
          <w:szCs w:val="28"/>
        </w:rPr>
      </w:pPr>
      <w:r>
        <w:rPr>
          <w:rFonts w:hint="eastAsia" w:ascii="宋体" w:hAnsi="宋体" w:cs="宋体"/>
          <w:color w:val="000000"/>
          <w:sz w:val="28"/>
          <w:szCs w:val="28"/>
        </w:rPr>
        <w:t>四、结算方式：</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第一次：合同生效后，乙方完成半年度监测项目并出具监测报告后，甲方首次支付合同价的40%，乙方提供相同数额增值税专用发票；</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第二次：乙方完成202</w:t>
      </w:r>
      <w:r>
        <w:rPr>
          <w:rFonts w:hint="eastAsia" w:ascii="宋体" w:hAnsi="宋体" w:cs="宋体"/>
          <w:color w:val="000000"/>
          <w:sz w:val="28"/>
          <w:szCs w:val="28"/>
          <w:lang w:val="en-US" w:eastAsia="zh-CN"/>
        </w:rPr>
        <w:t>3</w:t>
      </w:r>
      <w:r>
        <w:rPr>
          <w:rFonts w:hint="eastAsia" w:ascii="宋体" w:hAnsi="宋体" w:cs="宋体"/>
          <w:color w:val="000000"/>
          <w:sz w:val="28"/>
          <w:szCs w:val="28"/>
        </w:rPr>
        <w:t>年全部监测项目后，甲方支付技术服务费用60%，乙方提供相同数额增值税专用发票。</w:t>
      </w:r>
    </w:p>
    <w:p>
      <w:pPr>
        <w:ind w:firstLine="560" w:firstLineChars="200"/>
        <w:rPr>
          <w:rFonts w:ascii="宋体" w:hAnsi="宋体" w:cs="宋体"/>
          <w:color w:val="000000"/>
          <w:sz w:val="28"/>
          <w:szCs w:val="28"/>
        </w:rPr>
      </w:pPr>
      <w:r>
        <w:rPr>
          <w:rFonts w:hint="eastAsia" w:ascii="宋体" w:hAnsi="宋体" w:cs="宋体"/>
          <w:color w:val="000000"/>
          <w:sz w:val="28"/>
          <w:szCs w:val="28"/>
        </w:rPr>
        <w:t>因国家税收政策性调整，税率发生变化，则以不含税单价为基准加相应的税率予以结算。</w:t>
      </w:r>
    </w:p>
    <w:p>
      <w:pPr>
        <w:ind w:firstLine="560" w:firstLineChars="200"/>
        <w:rPr>
          <w:rFonts w:ascii="宋体" w:hAnsi="宋体" w:cs="宋体"/>
          <w:color w:val="000000"/>
          <w:sz w:val="28"/>
          <w:szCs w:val="28"/>
        </w:rPr>
      </w:pPr>
      <w:r>
        <w:rPr>
          <w:rFonts w:hint="eastAsia" w:ascii="宋体" w:hAnsi="宋体" w:cs="宋体"/>
          <w:color w:val="000000"/>
          <w:sz w:val="28"/>
          <w:szCs w:val="28"/>
        </w:rPr>
        <w:t>付款方式：电汇或承兑。</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五、双方权利和义务：</w:t>
      </w:r>
    </w:p>
    <w:p>
      <w:pPr>
        <w:spacing w:line="560" w:lineRule="exact"/>
        <w:ind w:firstLine="560" w:firstLineChars="200"/>
        <w:rPr>
          <w:rFonts w:ascii="宋体" w:hAnsi="宋体" w:cs="宋体"/>
          <w:sz w:val="28"/>
          <w:szCs w:val="28"/>
        </w:rPr>
      </w:pPr>
      <w:r>
        <w:rPr>
          <w:rFonts w:hint="eastAsia" w:ascii="宋体" w:hAnsi="宋体" w:cs="宋体"/>
          <w:sz w:val="28"/>
          <w:szCs w:val="28"/>
        </w:rPr>
        <w:t>1、甲方权利和义务：</w:t>
      </w:r>
    </w:p>
    <w:p>
      <w:pPr>
        <w:spacing w:line="560" w:lineRule="exact"/>
        <w:ind w:firstLine="280" w:firstLineChars="100"/>
        <w:jc w:val="left"/>
        <w:rPr>
          <w:rFonts w:ascii="宋体" w:hAnsi="宋体" w:cs="宋体"/>
          <w:color w:val="000000"/>
          <w:sz w:val="28"/>
          <w:szCs w:val="28"/>
        </w:rPr>
      </w:pPr>
      <w:r>
        <w:rPr>
          <w:rFonts w:hint="eastAsia" w:ascii="宋体" w:hAnsi="宋体" w:cs="宋体"/>
          <w:sz w:val="28"/>
          <w:szCs w:val="28"/>
        </w:rPr>
        <w:t>（1）</w:t>
      </w:r>
      <w:r>
        <w:rPr>
          <w:rFonts w:hint="eastAsia" w:ascii="宋体" w:hAnsi="宋体" w:cs="宋体"/>
          <w:color w:val="000000"/>
          <w:sz w:val="28"/>
          <w:szCs w:val="28"/>
        </w:rPr>
        <w:t>协调好工作关系，使各方面通力合作，保障施工工作开展。</w:t>
      </w:r>
    </w:p>
    <w:p>
      <w:pPr>
        <w:spacing w:line="560" w:lineRule="exact"/>
        <w:ind w:firstLine="280" w:firstLineChars="100"/>
        <w:jc w:val="left"/>
        <w:rPr>
          <w:rFonts w:ascii="宋体" w:hAnsi="宋体" w:cs="宋体"/>
          <w:color w:val="000000"/>
          <w:sz w:val="28"/>
          <w:szCs w:val="28"/>
        </w:rPr>
      </w:pPr>
      <w:r>
        <w:rPr>
          <w:rFonts w:hint="eastAsia" w:ascii="宋体" w:hAnsi="宋体" w:cs="宋体"/>
          <w:color w:val="000000"/>
          <w:sz w:val="28"/>
          <w:szCs w:val="28"/>
        </w:rPr>
        <w:t>（2）施工前必须与乙方签订安全、环保协议及对乙方人员进行安全教育培训。</w:t>
      </w:r>
    </w:p>
    <w:p>
      <w:pPr>
        <w:spacing w:line="560" w:lineRule="exact"/>
        <w:ind w:firstLine="560" w:firstLineChars="200"/>
        <w:rPr>
          <w:rFonts w:ascii="宋体" w:hAnsi="宋体" w:cs="宋体"/>
          <w:sz w:val="28"/>
          <w:szCs w:val="28"/>
        </w:rPr>
      </w:pPr>
      <w:r>
        <w:rPr>
          <w:rFonts w:hint="eastAsia" w:ascii="宋体" w:hAnsi="宋体" w:cs="宋体"/>
          <w:sz w:val="28"/>
          <w:szCs w:val="28"/>
        </w:rPr>
        <w:t>2、乙方责任和义务：</w:t>
      </w:r>
    </w:p>
    <w:p>
      <w:pPr>
        <w:spacing w:line="560" w:lineRule="exact"/>
        <w:ind w:firstLine="280" w:firstLineChars="100"/>
        <w:rPr>
          <w:rFonts w:ascii="宋体" w:hAnsi="宋体" w:cs="宋体"/>
          <w:sz w:val="28"/>
          <w:szCs w:val="28"/>
        </w:rPr>
      </w:pPr>
      <w:r>
        <w:rPr>
          <w:rFonts w:hint="eastAsia" w:ascii="宋体" w:hAnsi="宋体" w:cs="宋体"/>
          <w:color w:val="000000"/>
          <w:sz w:val="28"/>
          <w:szCs w:val="28"/>
        </w:rPr>
        <w:t>（</w:t>
      </w:r>
      <w:r>
        <w:rPr>
          <w:rFonts w:hint="eastAsia" w:ascii="宋体" w:hAnsi="宋体" w:cs="宋体"/>
          <w:sz w:val="28"/>
          <w:szCs w:val="28"/>
        </w:rPr>
        <w:t>1）</w:t>
      </w:r>
      <w:r>
        <w:rPr>
          <w:rFonts w:hint="eastAsia" w:ascii="宋体" w:hAnsi="宋体" w:cs="宋体"/>
          <w:color w:val="000000"/>
          <w:sz w:val="28"/>
          <w:szCs w:val="28"/>
        </w:rPr>
        <w:t>施工前必须与甲方签订安全、环保协议。</w:t>
      </w:r>
    </w:p>
    <w:p>
      <w:pPr>
        <w:spacing w:line="560" w:lineRule="exact"/>
        <w:ind w:firstLine="280" w:firstLineChars="100"/>
        <w:rPr>
          <w:rFonts w:ascii="宋体" w:hAnsi="宋体" w:cs="宋体"/>
          <w:sz w:val="28"/>
          <w:szCs w:val="28"/>
        </w:rPr>
      </w:pPr>
      <w:r>
        <w:rPr>
          <w:rFonts w:hint="eastAsia" w:ascii="宋体" w:hAnsi="宋体" w:cs="宋体"/>
          <w:sz w:val="28"/>
          <w:szCs w:val="28"/>
        </w:rPr>
        <w:t>（2）乙方须派有经验的管理人员，负责乙方人员的管理、协调工作。</w:t>
      </w:r>
    </w:p>
    <w:p>
      <w:pPr>
        <w:spacing w:line="560" w:lineRule="exact"/>
        <w:ind w:firstLine="280" w:firstLineChars="100"/>
        <w:rPr>
          <w:rFonts w:ascii="宋体" w:hAnsi="宋体" w:cs="宋体"/>
          <w:sz w:val="28"/>
          <w:szCs w:val="28"/>
        </w:rPr>
      </w:pPr>
      <w:r>
        <w:rPr>
          <w:rFonts w:hint="eastAsia" w:ascii="宋体" w:hAnsi="宋体" w:cs="宋体"/>
          <w:sz w:val="28"/>
          <w:szCs w:val="28"/>
        </w:rPr>
        <w:t>（3）乙方需遵守甲方的规章制度，如有违反按甲方规章制度处理。</w:t>
      </w:r>
    </w:p>
    <w:p>
      <w:pPr>
        <w:spacing w:line="560" w:lineRule="exact"/>
        <w:ind w:firstLine="280" w:firstLineChars="100"/>
        <w:rPr>
          <w:rFonts w:ascii="宋体" w:hAnsi="宋体" w:cs="宋体"/>
          <w:sz w:val="28"/>
          <w:szCs w:val="28"/>
        </w:rPr>
      </w:pPr>
      <w:r>
        <w:rPr>
          <w:rFonts w:hint="eastAsia" w:ascii="宋体" w:hAnsi="宋体" w:cs="宋体"/>
          <w:sz w:val="28"/>
          <w:szCs w:val="28"/>
        </w:rPr>
        <w:t>（4）按甲方的外包方安全资质和安全条件审查内容清单提供相关资料，必须严格符合要求，包括每个人不少于1</w:t>
      </w:r>
      <w:r>
        <w:rPr>
          <w:rFonts w:ascii="宋体" w:hAnsi="宋体" w:cs="宋体"/>
          <w:sz w:val="28"/>
          <w:szCs w:val="28"/>
        </w:rPr>
        <w:t>00</w:t>
      </w:r>
      <w:r>
        <w:rPr>
          <w:rFonts w:hint="eastAsia" w:ascii="宋体" w:hAnsi="宋体" w:cs="宋体"/>
          <w:sz w:val="28"/>
          <w:szCs w:val="28"/>
        </w:rPr>
        <w:t>万保险，因资料不全耽误工期，乙方全权负责。</w:t>
      </w:r>
    </w:p>
    <w:p>
      <w:pPr>
        <w:spacing w:line="560" w:lineRule="exact"/>
        <w:ind w:firstLine="280" w:firstLineChars="100"/>
        <w:rPr>
          <w:rFonts w:ascii="宋体" w:hAnsi="宋体" w:cs="宋体"/>
          <w:sz w:val="28"/>
          <w:szCs w:val="28"/>
        </w:rPr>
      </w:pPr>
      <w:r>
        <w:rPr>
          <w:rFonts w:hint="eastAsia" w:ascii="宋体" w:hAnsi="宋体" w:cs="宋体"/>
          <w:sz w:val="28"/>
          <w:szCs w:val="28"/>
        </w:rPr>
        <w:t>（5）乙方负责现场卫生清理并将废物分类运至甲方厂内指定地点。</w:t>
      </w:r>
    </w:p>
    <w:p>
      <w:pPr>
        <w:spacing w:line="560" w:lineRule="exact"/>
        <w:ind w:firstLine="420" w:firstLineChars="150"/>
        <w:rPr>
          <w:rFonts w:ascii="宋体" w:hAnsi="宋体" w:cs="宋体"/>
          <w:sz w:val="28"/>
          <w:szCs w:val="28"/>
        </w:rPr>
      </w:pPr>
      <w:r>
        <w:rPr>
          <w:rFonts w:hint="eastAsia" w:ascii="宋体" w:hAnsi="宋体" w:cs="宋体"/>
          <w:sz w:val="28"/>
          <w:szCs w:val="28"/>
        </w:rPr>
        <w:t>(6)做好安全防范措施，避免人身设备事故。由于乙方人员作业中造成的一切安全事故，乙方应独立承担责任。</w:t>
      </w:r>
    </w:p>
    <w:p>
      <w:pPr>
        <w:spacing w:line="560" w:lineRule="exact"/>
        <w:rPr>
          <w:rFonts w:ascii="宋体" w:hAnsi="宋体" w:cs="宋体"/>
          <w:sz w:val="28"/>
          <w:szCs w:val="28"/>
        </w:rPr>
      </w:pPr>
      <w:r>
        <w:rPr>
          <w:rFonts w:hint="eastAsia" w:ascii="宋体" w:hAnsi="宋体" w:cs="宋体"/>
          <w:sz w:val="28"/>
          <w:szCs w:val="28"/>
        </w:rPr>
        <w:t xml:space="preserve">  （7）乙方工作人员必须持有相应的特种作业证，交由甲方安全部查看备查，并到安全部办理相关手续。</w:t>
      </w:r>
    </w:p>
    <w:p>
      <w:pPr>
        <w:spacing w:line="560" w:lineRule="exact"/>
        <w:ind w:firstLine="570"/>
        <w:rPr>
          <w:rFonts w:ascii="宋体" w:hAnsi="宋体" w:cs="宋体"/>
          <w:sz w:val="28"/>
          <w:szCs w:val="28"/>
        </w:rPr>
      </w:pPr>
      <w:r>
        <w:rPr>
          <w:rFonts w:hint="eastAsia" w:ascii="宋体" w:hAnsi="宋体" w:cs="宋体"/>
          <w:sz w:val="28"/>
          <w:szCs w:val="28"/>
        </w:rPr>
        <w:t>七、违约责任：按民法典有关条款执行，双方协商，协商不成，双方均可依法向合同签订地人民法院提起诉讼。</w:t>
      </w:r>
    </w:p>
    <w:p>
      <w:pPr>
        <w:spacing w:line="560" w:lineRule="exact"/>
        <w:ind w:firstLine="570"/>
        <w:rPr>
          <w:rFonts w:ascii="宋体" w:hAnsi="宋体" w:cs="宋体"/>
          <w:sz w:val="28"/>
          <w:szCs w:val="28"/>
        </w:rPr>
      </w:pPr>
      <w:r>
        <w:rPr>
          <w:rFonts w:hint="eastAsia" w:ascii="宋体" w:hAnsi="宋体" w:cs="宋体"/>
          <w:sz w:val="28"/>
          <w:szCs w:val="28"/>
        </w:rPr>
        <w:t>八、本合同有其他未尽事宜，可由双方共同协商，作出补充规定，补充规定与本合同具有同等效力。</w:t>
      </w:r>
    </w:p>
    <w:p>
      <w:pPr>
        <w:spacing w:line="560" w:lineRule="exact"/>
        <w:ind w:firstLine="570"/>
        <w:rPr>
          <w:rFonts w:ascii="宋体" w:hAnsi="宋体" w:cs="宋体"/>
          <w:sz w:val="28"/>
          <w:szCs w:val="28"/>
        </w:rPr>
      </w:pPr>
      <w:r>
        <w:rPr>
          <w:rFonts w:hint="eastAsia" w:ascii="宋体" w:hAnsi="宋体" w:cs="宋体"/>
          <w:sz w:val="28"/>
          <w:szCs w:val="28"/>
        </w:rPr>
        <w:t>九、本合同经双方盖章签字后生效，一式伍份，甲方执叁份，乙方执贰份。</w:t>
      </w:r>
    </w:p>
    <w:p>
      <w:pPr>
        <w:spacing w:line="560" w:lineRule="exact"/>
        <w:ind w:firstLine="560" w:firstLineChars="200"/>
        <w:rPr>
          <w:rFonts w:ascii="宋体" w:hAnsi="宋体" w:cs="宋体"/>
          <w:sz w:val="28"/>
          <w:szCs w:val="28"/>
        </w:rPr>
      </w:pPr>
      <w:r>
        <w:rPr>
          <w:rFonts w:hint="eastAsia" w:ascii="宋体" w:hAnsi="宋体" w:cs="宋体"/>
          <w:sz w:val="28"/>
          <w:szCs w:val="28"/>
        </w:rPr>
        <w:t>十、廉政条款</w:t>
      </w:r>
    </w:p>
    <w:p>
      <w:pPr>
        <w:spacing w:line="560" w:lineRule="exact"/>
        <w:ind w:firstLine="560" w:firstLineChars="200"/>
        <w:rPr>
          <w:rFonts w:ascii="宋体" w:hAnsi="宋体" w:cs="宋体"/>
          <w:sz w:val="28"/>
          <w:szCs w:val="28"/>
        </w:rPr>
      </w:pPr>
      <w:r>
        <w:rPr>
          <w:rFonts w:hint="eastAsia" w:ascii="宋体" w:hAnsi="宋体" w:cs="宋体"/>
          <w:sz w:val="28"/>
          <w:szCs w:val="28"/>
        </w:rPr>
        <w:t>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 30%的违约金。</w:t>
      </w:r>
    </w:p>
    <w:bookmarkEnd w:id="3"/>
    <w:tbl>
      <w:tblPr>
        <w:tblStyle w:val="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1"/>
        <w:gridCol w:w="4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4111" w:type="dxa"/>
            <w:tcBorders>
              <w:top w:val="single" w:color="auto" w:sz="4" w:space="0"/>
              <w:left w:val="single" w:color="auto" w:sz="4" w:space="0"/>
              <w:bottom w:val="single" w:color="auto" w:sz="4" w:space="0"/>
              <w:right w:val="single" w:color="auto" w:sz="4" w:space="0"/>
            </w:tcBorders>
          </w:tcPr>
          <w:p>
            <w:pPr>
              <w:spacing w:line="440" w:lineRule="exact"/>
              <w:rPr>
                <w:sz w:val="24"/>
              </w:rPr>
            </w:pPr>
            <w:r>
              <w:rPr>
                <w:sz w:val="24"/>
              </w:rPr>
              <w:t xml:space="preserve">           </w:t>
            </w:r>
            <w:r>
              <w:rPr>
                <w:rFonts w:hint="eastAsia"/>
                <w:sz w:val="24"/>
              </w:rPr>
              <w:t>甲</w:t>
            </w:r>
            <w:r>
              <w:rPr>
                <w:sz w:val="24"/>
              </w:rPr>
              <w:t xml:space="preserve">   </w:t>
            </w:r>
            <w:r>
              <w:rPr>
                <w:rFonts w:hint="eastAsia"/>
                <w:sz w:val="24"/>
              </w:rPr>
              <w:t>方</w:t>
            </w:r>
          </w:p>
          <w:p>
            <w:pPr>
              <w:spacing w:line="440" w:lineRule="exact"/>
              <w:ind w:left="1200" w:hanging="1200" w:hangingChars="500"/>
              <w:rPr>
                <w:sz w:val="24"/>
              </w:rPr>
            </w:pPr>
            <w:r>
              <w:rPr>
                <w:rFonts w:hint="eastAsia"/>
                <w:sz w:val="24"/>
              </w:rPr>
              <w:t>单位名称：</w:t>
            </w:r>
          </w:p>
          <w:p>
            <w:pPr>
              <w:spacing w:line="440" w:lineRule="exact"/>
              <w:rPr>
                <w:sz w:val="24"/>
              </w:rPr>
            </w:pPr>
            <w:r>
              <w:rPr>
                <w:rFonts w:hint="eastAsia"/>
                <w:sz w:val="24"/>
              </w:rPr>
              <w:t>单位地点：</w:t>
            </w:r>
            <w:r>
              <w:rPr>
                <w:sz w:val="24"/>
              </w:rPr>
              <w:t xml:space="preserve"> </w:t>
            </w:r>
          </w:p>
          <w:p>
            <w:pPr>
              <w:spacing w:line="440" w:lineRule="exact"/>
              <w:rPr>
                <w:sz w:val="24"/>
              </w:rPr>
            </w:pPr>
            <w:r>
              <w:rPr>
                <w:rFonts w:hint="eastAsia"/>
                <w:sz w:val="24"/>
              </w:rPr>
              <w:t>电</w:t>
            </w:r>
            <w:r>
              <w:rPr>
                <w:sz w:val="24"/>
              </w:rPr>
              <w:t xml:space="preserve">    </w:t>
            </w:r>
            <w:r>
              <w:rPr>
                <w:rFonts w:hint="eastAsia"/>
                <w:sz w:val="24"/>
              </w:rPr>
              <w:t>话：</w:t>
            </w:r>
          </w:p>
          <w:p>
            <w:pPr>
              <w:spacing w:line="440" w:lineRule="exact"/>
              <w:rPr>
                <w:sz w:val="24"/>
              </w:rPr>
            </w:pPr>
            <w:r>
              <w:rPr>
                <w:rFonts w:hint="eastAsia"/>
                <w:sz w:val="24"/>
              </w:rPr>
              <w:t>纳税人识别码：</w:t>
            </w:r>
          </w:p>
          <w:p>
            <w:pPr>
              <w:spacing w:line="440" w:lineRule="exact"/>
              <w:rPr>
                <w:sz w:val="24"/>
              </w:rPr>
            </w:pPr>
            <w:r>
              <w:rPr>
                <w:rFonts w:hint="eastAsia"/>
                <w:sz w:val="24"/>
              </w:rPr>
              <w:t>开户银行：</w:t>
            </w:r>
            <w:r>
              <w:rPr>
                <w:sz w:val="24"/>
              </w:rPr>
              <w:t xml:space="preserve"> </w:t>
            </w:r>
          </w:p>
          <w:p>
            <w:pPr>
              <w:spacing w:line="440" w:lineRule="exact"/>
              <w:rPr>
                <w:sz w:val="24"/>
              </w:rPr>
            </w:pPr>
            <w:r>
              <w:rPr>
                <w:rFonts w:hint="eastAsia"/>
                <w:sz w:val="24"/>
              </w:rPr>
              <w:t>账</w:t>
            </w:r>
            <w:r>
              <w:rPr>
                <w:sz w:val="24"/>
              </w:rPr>
              <w:t xml:space="preserve">    </w:t>
            </w:r>
            <w:r>
              <w:rPr>
                <w:rFonts w:hint="eastAsia"/>
                <w:sz w:val="24"/>
              </w:rPr>
              <w:t>号：</w:t>
            </w:r>
          </w:p>
          <w:p>
            <w:pPr>
              <w:spacing w:line="440" w:lineRule="exact"/>
              <w:rPr>
                <w:sz w:val="24"/>
              </w:rPr>
            </w:pPr>
            <w:r>
              <w:rPr>
                <w:rFonts w:hint="eastAsia"/>
                <w:sz w:val="24"/>
              </w:rPr>
              <w:t>法人代表人：</w:t>
            </w:r>
          </w:p>
          <w:p>
            <w:pPr>
              <w:spacing w:line="440" w:lineRule="exact"/>
              <w:rPr>
                <w:sz w:val="24"/>
              </w:rPr>
            </w:pPr>
            <w:r>
              <w:rPr>
                <w:rFonts w:hint="eastAsia"/>
                <w:sz w:val="24"/>
              </w:rPr>
              <w:t>委托代理人：</w:t>
            </w:r>
          </w:p>
        </w:tc>
        <w:tc>
          <w:tcPr>
            <w:tcW w:w="4529" w:type="dxa"/>
            <w:tcBorders>
              <w:top w:val="single" w:color="auto" w:sz="4" w:space="0"/>
              <w:left w:val="single" w:color="auto" w:sz="4" w:space="0"/>
              <w:bottom w:val="single" w:color="auto" w:sz="4" w:space="0"/>
              <w:right w:val="single" w:color="auto" w:sz="4" w:space="0"/>
            </w:tcBorders>
          </w:tcPr>
          <w:p>
            <w:pPr>
              <w:widowControl/>
              <w:spacing w:line="440" w:lineRule="exact"/>
              <w:jc w:val="left"/>
              <w:rPr>
                <w:sz w:val="24"/>
              </w:rPr>
            </w:pPr>
            <w:r>
              <w:rPr>
                <w:sz w:val="24"/>
              </w:rPr>
              <w:t xml:space="preserve">            </w:t>
            </w:r>
            <w:r>
              <w:rPr>
                <w:rFonts w:hint="eastAsia"/>
                <w:sz w:val="24"/>
              </w:rPr>
              <w:t>乙</w:t>
            </w:r>
            <w:r>
              <w:rPr>
                <w:sz w:val="24"/>
              </w:rPr>
              <w:t xml:space="preserve">   </w:t>
            </w:r>
            <w:r>
              <w:rPr>
                <w:rFonts w:hint="eastAsia"/>
                <w:sz w:val="24"/>
              </w:rPr>
              <w:t>方</w:t>
            </w:r>
          </w:p>
          <w:p>
            <w:pPr>
              <w:spacing w:line="440" w:lineRule="exact"/>
              <w:ind w:left="1200" w:hanging="1200" w:hangingChars="500"/>
              <w:rPr>
                <w:sz w:val="24"/>
              </w:rPr>
            </w:pPr>
            <w:r>
              <w:rPr>
                <w:rFonts w:hint="eastAsia"/>
                <w:sz w:val="24"/>
              </w:rPr>
              <w:t>单位名称：</w:t>
            </w:r>
          </w:p>
          <w:p>
            <w:pPr>
              <w:spacing w:line="440" w:lineRule="exact"/>
              <w:ind w:left="1200" w:hanging="1200" w:hangingChars="500"/>
              <w:rPr>
                <w:sz w:val="24"/>
              </w:rPr>
            </w:pPr>
            <w:r>
              <w:rPr>
                <w:rFonts w:hint="eastAsia"/>
                <w:sz w:val="24"/>
              </w:rPr>
              <w:t xml:space="preserve">单位地点： </w:t>
            </w:r>
          </w:p>
          <w:p>
            <w:pPr>
              <w:spacing w:line="440" w:lineRule="exact"/>
              <w:rPr>
                <w:sz w:val="24"/>
              </w:rPr>
            </w:pPr>
            <w:r>
              <w:rPr>
                <w:rFonts w:hint="eastAsia"/>
                <w:sz w:val="24"/>
              </w:rPr>
              <w:t>电</w:t>
            </w:r>
            <w:r>
              <w:rPr>
                <w:sz w:val="24"/>
              </w:rPr>
              <w:t xml:space="preserve">    </w:t>
            </w:r>
            <w:r>
              <w:rPr>
                <w:rFonts w:hint="eastAsia"/>
                <w:sz w:val="24"/>
              </w:rPr>
              <w:t>话：</w:t>
            </w:r>
          </w:p>
          <w:p>
            <w:pPr>
              <w:spacing w:line="440" w:lineRule="exact"/>
              <w:rPr>
                <w:sz w:val="24"/>
              </w:rPr>
            </w:pPr>
            <w:r>
              <w:rPr>
                <w:rFonts w:hint="eastAsia"/>
                <w:sz w:val="24"/>
              </w:rPr>
              <w:t>纳税人识别码：</w:t>
            </w:r>
          </w:p>
          <w:p>
            <w:pPr>
              <w:spacing w:line="440" w:lineRule="exact"/>
              <w:rPr>
                <w:sz w:val="24"/>
              </w:rPr>
            </w:pPr>
            <w:r>
              <w:rPr>
                <w:rFonts w:hint="eastAsia"/>
                <w:sz w:val="24"/>
              </w:rPr>
              <w:t>开户银行：</w:t>
            </w:r>
            <w:r>
              <w:rPr>
                <w:sz w:val="24"/>
              </w:rPr>
              <w:t xml:space="preserve"> </w:t>
            </w:r>
          </w:p>
          <w:p>
            <w:pPr>
              <w:spacing w:line="440" w:lineRule="exact"/>
              <w:rPr>
                <w:sz w:val="24"/>
              </w:rPr>
            </w:pPr>
            <w:r>
              <w:rPr>
                <w:rFonts w:hint="eastAsia"/>
                <w:sz w:val="24"/>
              </w:rPr>
              <w:t>账</w:t>
            </w:r>
            <w:r>
              <w:rPr>
                <w:sz w:val="24"/>
              </w:rPr>
              <w:t xml:space="preserve">    </w:t>
            </w:r>
            <w:r>
              <w:rPr>
                <w:rFonts w:hint="eastAsia"/>
                <w:sz w:val="24"/>
              </w:rPr>
              <w:t>号：</w:t>
            </w:r>
          </w:p>
          <w:p>
            <w:pPr>
              <w:spacing w:line="440" w:lineRule="exact"/>
              <w:rPr>
                <w:sz w:val="24"/>
              </w:rPr>
            </w:pPr>
            <w:r>
              <w:rPr>
                <w:rFonts w:hint="eastAsia"/>
                <w:sz w:val="24"/>
              </w:rPr>
              <w:t>法人代表人：</w:t>
            </w:r>
            <w:r>
              <w:rPr>
                <w:sz w:val="24"/>
              </w:rPr>
              <w:t xml:space="preserve"> </w:t>
            </w:r>
          </w:p>
          <w:p>
            <w:pPr>
              <w:spacing w:line="440" w:lineRule="exact"/>
              <w:rPr>
                <w:sz w:val="24"/>
              </w:rPr>
            </w:pPr>
            <w:r>
              <w:rPr>
                <w:rFonts w:hint="eastAsia"/>
                <w:sz w:val="24"/>
              </w:rPr>
              <w:t>委托代理人：</w:t>
            </w:r>
            <w:r>
              <w:rPr>
                <w:sz w:val="24"/>
              </w:rPr>
              <w:t xml:space="preserve"> </w:t>
            </w:r>
          </w:p>
        </w:tc>
      </w:tr>
    </w:tbl>
    <w:p>
      <w:pPr>
        <w:spacing w:line="480" w:lineRule="exact"/>
        <w:contextualSpacing/>
        <w:jc w:val="left"/>
        <w:rPr>
          <w:rFonts w:ascii="宋体" w:hAnsi="宋体"/>
          <w:sz w:val="28"/>
          <w:szCs w:val="28"/>
        </w:rPr>
      </w:pPr>
    </w:p>
    <w:p>
      <w:pPr>
        <w:rPr>
          <w:sz w:val="28"/>
          <w:szCs w:val="28"/>
        </w:rPr>
      </w:pPr>
    </w:p>
    <w:sectPr>
      <w:headerReference r:id="rId3" w:type="default"/>
      <w:footerReference r:id="rId4"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ms Rmn">
    <w:altName w:val="Times New Roman"/>
    <w:panose1 w:val="02020603040505020304"/>
    <w:charset w:val="00"/>
    <w:family w:val="roman"/>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10"/>
      </w:rPr>
      <w:instrText xml:space="preserve"> PAGE </w:instrText>
    </w:r>
    <w:r>
      <w:fldChar w:fldCharType="separate"/>
    </w:r>
    <w:r>
      <w:rPr>
        <w:rStyle w:val="10"/>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3615"/>
      </w:tabs>
      <w:jc w:val="left"/>
    </w:pPr>
    <w:r>
      <w:drawing>
        <wp:inline distT="0" distB="0" distL="0" distR="0">
          <wp:extent cx="523875" cy="285750"/>
          <wp:effectExtent l="0" t="0" r="9525" b="0"/>
          <wp:docPr id="3" name="图片 3"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3875" cy="285750"/>
                  </a:xfrm>
                  <a:prstGeom prst="rect">
                    <a:avLst/>
                  </a:prstGeom>
                  <a:noFill/>
                  <a:ln>
                    <a:noFill/>
                  </a:ln>
                </pic:spPr>
              </pic:pic>
            </a:graphicData>
          </a:graphic>
        </wp:inline>
      </w:drawing>
    </w:r>
    <w:r>
      <w:rPr>
        <w:rFonts w:hint="eastAsia"/>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4"/>
        <w:szCs w:val="24"/>
      </w:rPr>
      <w:t>金隅冀东焦作区域公司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D5D5C"/>
    <w:multiLevelType w:val="multilevel"/>
    <w:tmpl w:val="647D5D5C"/>
    <w:lvl w:ilvl="0" w:tentative="0">
      <w:start w:val="1"/>
      <w:numFmt w:val="none"/>
      <w:pStyle w:val="3"/>
      <w:suff w:val="nothing"/>
      <w:lvlText w:val="第一部分"/>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lZTZjNjkzMTY3ZTBkM2M0ZmNlYjEwZGFiNjI3YzAifQ=="/>
  </w:docVars>
  <w:rsids>
    <w:rsidRoot w:val="00A90B2C"/>
    <w:rsid w:val="00013CCF"/>
    <w:rsid w:val="000515DB"/>
    <w:rsid w:val="00083084"/>
    <w:rsid w:val="00101848"/>
    <w:rsid w:val="00277299"/>
    <w:rsid w:val="00295F54"/>
    <w:rsid w:val="002B174E"/>
    <w:rsid w:val="002C17FE"/>
    <w:rsid w:val="002C35C3"/>
    <w:rsid w:val="00385D55"/>
    <w:rsid w:val="003A0A9F"/>
    <w:rsid w:val="003C115B"/>
    <w:rsid w:val="003C2D87"/>
    <w:rsid w:val="0040258F"/>
    <w:rsid w:val="004B6534"/>
    <w:rsid w:val="004D1868"/>
    <w:rsid w:val="00511C08"/>
    <w:rsid w:val="00566144"/>
    <w:rsid w:val="00583234"/>
    <w:rsid w:val="0058566B"/>
    <w:rsid w:val="0059441D"/>
    <w:rsid w:val="005B4A4C"/>
    <w:rsid w:val="005C4C5E"/>
    <w:rsid w:val="005E7201"/>
    <w:rsid w:val="00614D2F"/>
    <w:rsid w:val="006A3964"/>
    <w:rsid w:val="006B1B6B"/>
    <w:rsid w:val="007051E7"/>
    <w:rsid w:val="0072180B"/>
    <w:rsid w:val="00721B19"/>
    <w:rsid w:val="00807F1E"/>
    <w:rsid w:val="00831F78"/>
    <w:rsid w:val="00866437"/>
    <w:rsid w:val="008D725E"/>
    <w:rsid w:val="00951940"/>
    <w:rsid w:val="009734A1"/>
    <w:rsid w:val="00993962"/>
    <w:rsid w:val="00A25A27"/>
    <w:rsid w:val="00A90B2C"/>
    <w:rsid w:val="00AD5990"/>
    <w:rsid w:val="00B277D1"/>
    <w:rsid w:val="00B80F43"/>
    <w:rsid w:val="00BE7352"/>
    <w:rsid w:val="00C765DC"/>
    <w:rsid w:val="00C97AD6"/>
    <w:rsid w:val="00CA0A12"/>
    <w:rsid w:val="00CA5960"/>
    <w:rsid w:val="00CB2C35"/>
    <w:rsid w:val="00CC561B"/>
    <w:rsid w:val="00D74CAE"/>
    <w:rsid w:val="00E3413B"/>
    <w:rsid w:val="00E60E54"/>
    <w:rsid w:val="00EB1F74"/>
    <w:rsid w:val="00F10D53"/>
    <w:rsid w:val="00F114D7"/>
    <w:rsid w:val="02660410"/>
    <w:rsid w:val="06205D1A"/>
    <w:rsid w:val="0AA14F51"/>
    <w:rsid w:val="0CFD1647"/>
    <w:rsid w:val="0DFA16E3"/>
    <w:rsid w:val="0F440CD4"/>
    <w:rsid w:val="0F8E6AD2"/>
    <w:rsid w:val="162163A6"/>
    <w:rsid w:val="17D80E04"/>
    <w:rsid w:val="206B45D1"/>
    <w:rsid w:val="224D0523"/>
    <w:rsid w:val="22586615"/>
    <w:rsid w:val="29CC4423"/>
    <w:rsid w:val="2FB21038"/>
    <w:rsid w:val="32B92339"/>
    <w:rsid w:val="33B714C0"/>
    <w:rsid w:val="396B7DA2"/>
    <w:rsid w:val="39AD2E6E"/>
    <w:rsid w:val="3EAB0F64"/>
    <w:rsid w:val="3F5B3E28"/>
    <w:rsid w:val="408D5A50"/>
    <w:rsid w:val="43042D0A"/>
    <w:rsid w:val="43590042"/>
    <w:rsid w:val="53801E0E"/>
    <w:rsid w:val="558F1CDD"/>
    <w:rsid w:val="5B3C2907"/>
    <w:rsid w:val="5D972BD7"/>
    <w:rsid w:val="60C5514D"/>
    <w:rsid w:val="63C15FF0"/>
    <w:rsid w:val="63D44EC1"/>
    <w:rsid w:val="698F140B"/>
    <w:rsid w:val="6CA16A6E"/>
    <w:rsid w:val="7213547B"/>
    <w:rsid w:val="79786DA9"/>
    <w:rsid w:val="79A3606A"/>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ms Rmn" w:hAnsi="Tms Rmn" w:eastAsia="宋体" w:cs="Times New Roman"/>
      <w:kern w:val="0"/>
      <w:sz w:val="20"/>
      <w:szCs w:val="20"/>
      <w:lang w:val="en-US" w:eastAsia="zh-CN" w:bidi="ar-SA"/>
    </w:rPr>
  </w:style>
  <w:style w:type="paragraph" w:styleId="3">
    <w:name w:val="heading 1"/>
    <w:basedOn w:val="1"/>
    <w:next w:val="1"/>
    <w:link w:val="13"/>
    <w:qFormat/>
    <w:uiPriority w:val="0"/>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sz w:val="24"/>
      <w:szCs w:val="2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页眉 字符"/>
    <w:basedOn w:val="9"/>
    <w:link w:val="5"/>
    <w:qFormat/>
    <w:uiPriority w:val="0"/>
    <w:rPr>
      <w:sz w:val="18"/>
      <w:szCs w:val="18"/>
    </w:rPr>
  </w:style>
  <w:style w:type="character" w:customStyle="1" w:styleId="12">
    <w:name w:val="页脚 字符"/>
    <w:basedOn w:val="9"/>
    <w:link w:val="4"/>
    <w:qFormat/>
    <w:uiPriority w:val="0"/>
    <w:rPr>
      <w:sz w:val="18"/>
      <w:szCs w:val="18"/>
    </w:rPr>
  </w:style>
  <w:style w:type="character" w:customStyle="1" w:styleId="13">
    <w:name w:val="标题 1 字符"/>
    <w:basedOn w:val="9"/>
    <w:link w:val="3"/>
    <w:qFormat/>
    <w:uiPriority w:val="0"/>
    <w:rPr>
      <w:rFonts w:ascii="Tms Rmn" w:hAnsi="Tms Rmn" w:eastAsia="宋体" w:cs="Times New Roman"/>
      <w:b/>
      <w:bCs/>
      <w:kern w:val="44"/>
      <w:sz w:val="44"/>
      <w:szCs w:val="4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2E9C7-AA13-49D1-865F-C4DFF9ECC535}">
  <ds:schemaRefs/>
</ds:datastoreItem>
</file>

<file path=docProps/app.xml><?xml version="1.0" encoding="utf-8"?>
<Properties xmlns="http://schemas.openxmlformats.org/officeDocument/2006/extended-properties" xmlns:vt="http://schemas.openxmlformats.org/officeDocument/2006/docPropsVTypes">
  <Template>Normal</Template>
  <Company>陵川金隅冀东环保科技有限公司</Company>
  <Pages>30</Pages>
  <Words>9877</Words>
  <Characters>11725</Characters>
  <Lines>85</Lines>
  <Paragraphs>24</Paragraphs>
  <TotalTime>5</TotalTime>
  <ScaleCrop>false</ScaleCrop>
  <LinksUpToDate>false</LinksUpToDate>
  <CharactersWithSpaces>12738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2022-11-02T00:53:00Z</dcterms:created>
  <dc:creator>王新刚</dc:creator>
  <cp:lastModifiedBy>杜敏琪</cp:lastModifiedBy>
  <dcterms:modified xsi:type="dcterms:W3CDTF">2022-11-26T04:38:13Z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5399EE1DEC0847B393DB4DE685B03484</vt:lpwstr>
  </property>
</Properties>
</file>