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/>
          <w:b/>
          <w:sz w:val="52"/>
          <w:szCs w:val="30"/>
        </w:rPr>
      </w:pPr>
      <w:bookmarkStart w:id="0" w:name="_Hlk36797841"/>
      <w:bookmarkEnd w:id="0"/>
      <w:bookmarkStart w:id="1" w:name="_Hlk56852674"/>
    </w:p>
    <w:p>
      <w:pPr>
        <w:ind w:firstLine="1541" w:firstLineChars="350"/>
        <w:jc w:val="left"/>
        <w:rPr>
          <w:rFonts w:ascii="宋体"/>
          <w:b/>
          <w:bCs/>
          <w:color w:val="FF0000"/>
          <w:w w:val="66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张家口金隅水泥有限公司</w:t>
      </w:r>
    </w:p>
    <w:p>
      <w:pPr>
        <w:ind w:firstLine="1541" w:firstLineChars="350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东西原灰设备安全整改项</w:t>
      </w:r>
    </w:p>
    <w:p/>
    <w:p>
      <w:pPr>
        <w:jc w:val="center"/>
        <w:rPr>
          <w:rFonts w:ascii="楷体_GB2312" w:eastAsia="楷体_GB2312"/>
          <w:b/>
          <w:sz w:val="84"/>
          <w:szCs w:val="84"/>
        </w:rPr>
      </w:pPr>
      <w:r>
        <w:rPr>
          <w:rFonts w:hint="eastAsia" w:ascii="楷体_GB2312" w:eastAsia="楷体_GB2312"/>
          <w:b/>
          <w:sz w:val="84"/>
          <w:szCs w:val="84"/>
        </w:rPr>
        <w:t>实施方案</w:t>
      </w:r>
    </w:p>
    <w:p>
      <w:pPr>
        <w:jc w:val="center"/>
        <w:rPr>
          <w:rFonts w:ascii="楷体_GB2312" w:eastAsia="楷体_GB2312"/>
          <w:b/>
          <w:sz w:val="84"/>
          <w:szCs w:val="84"/>
        </w:rPr>
      </w:pPr>
    </w:p>
    <w:p>
      <w:pPr>
        <w:jc w:val="center"/>
        <w:rPr>
          <w:rFonts w:ascii="楷体_GB2312" w:eastAsia="楷体_GB2312"/>
          <w:b/>
          <w:sz w:val="84"/>
          <w:szCs w:val="84"/>
        </w:rPr>
      </w:pPr>
    </w:p>
    <w:p>
      <w:pPr>
        <w:jc w:val="center"/>
        <w:rPr>
          <w:rFonts w:ascii="楷体_GB2312" w:eastAsia="楷体_GB2312"/>
          <w:b/>
          <w:sz w:val="84"/>
          <w:szCs w:val="84"/>
        </w:rPr>
      </w:pPr>
      <w:r>
        <w:rPr>
          <w:rFonts w:ascii="楷体_GB2312" w:eastAsia="楷体_GB2312"/>
          <w:b/>
          <w:sz w:val="84"/>
          <w:szCs w:val="8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174625</wp:posOffset>
            </wp:positionV>
            <wp:extent cx="1285875" cy="704850"/>
            <wp:effectExtent l="0" t="0" r="0" b="0"/>
            <wp:wrapNone/>
            <wp:docPr id="21" name="shap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ape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042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楷体_GB2312" w:eastAsia="楷体_GB2312"/>
          <w:b/>
          <w:sz w:val="84"/>
          <w:szCs w:val="84"/>
        </w:rPr>
      </w:pPr>
    </w:p>
    <w:p>
      <w:pPr>
        <w:rPr>
          <w:rFonts w:ascii="楷体_GB2312" w:eastAsia="楷体_GB2312"/>
          <w:b/>
          <w:sz w:val="84"/>
          <w:szCs w:val="84"/>
        </w:rPr>
      </w:pPr>
    </w:p>
    <w:p>
      <w:pPr>
        <w:spacing w:before="120" w:after="120" w:line="480" w:lineRule="exact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spacing w:before="156" w:beforeLines="50" w:after="156" w:afterLines="50" w:line="540" w:lineRule="exact"/>
        <w:ind w:firstLine="1980" w:firstLineChars="450"/>
        <w:rPr>
          <w:sz w:val="44"/>
          <w:szCs w:val="44"/>
        </w:rPr>
      </w:pPr>
      <w:r>
        <w:rPr>
          <w:rFonts w:hint="eastAsia"/>
          <w:sz w:val="44"/>
          <w:szCs w:val="44"/>
        </w:rPr>
        <w:t>张家口金隅水泥有限公司</w:t>
      </w:r>
    </w:p>
    <w:p>
      <w:pPr>
        <w:spacing w:before="120" w:after="120" w:line="48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二〇二一年四月</w:t>
      </w:r>
      <w:bookmarkEnd w:id="1"/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ind w:firstLine="1541" w:firstLineChars="350"/>
        <w:textAlignment w:val="baseline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东西原灰设备安全整改项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实施方案</w:t>
      </w:r>
    </w:p>
    <w:p>
      <w:pPr>
        <w:spacing w:after="50" w:line="460" w:lineRule="exact"/>
        <w:rPr>
          <w:rFonts w:ascii="黑体" w:hAnsi="宋体" w:eastAsia="黑体"/>
          <w:b/>
          <w:sz w:val="28"/>
        </w:rPr>
      </w:pPr>
      <w:r>
        <w:rPr>
          <w:rFonts w:hint="eastAsia" w:ascii="黑体" w:hAnsi="宋体" w:eastAsia="黑体"/>
          <w:b/>
          <w:sz w:val="28"/>
        </w:rPr>
        <w:t>一、安全整改概述</w:t>
      </w:r>
    </w:p>
    <w:p>
      <w:pPr>
        <w:ind w:firstLine="840" w:firstLineChars="300"/>
        <w:textAlignment w:val="baseline"/>
        <w:rPr>
          <w:sz w:val="28"/>
          <w:szCs w:val="28"/>
        </w:rPr>
      </w:pPr>
      <w:r>
        <w:rPr>
          <w:rFonts w:hint="eastAsia" w:ascii="宋体" w:hAnsi="宋体"/>
          <w:bCs/>
          <w:sz w:val="28"/>
        </w:rPr>
        <w:t>项目名称：</w:t>
      </w:r>
      <w:r>
        <w:rPr>
          <w:rFonts w:hint="eastAsia"/>
          <w:color w:val="FF0000"/>
          <w:sz w:val="28"/>
          <w:szCs w:val="28"/>
        </w:rPr>
        <w:t>东西原灰设备安全整改项</w:t>
      </w:r>
    </w:p>
    <w:p>
      <w:pPr>
        <w:ind w:firstLine="840" w:firstLineChars="300"/>
        <w:textAlignment w:val="baseline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承办单位：</w:t>
      </w:r>
      <w:r>
        <w:rPr>
          <w:rFonts w:hint="eastAsia"/>
          <w:sz w:val="28"/>
          <w:szCs w:val="28"/>
        </w:rPr>
        <w:t>张家口金隅水泥有限公司</w:t>
      </w:r>
    </w:p>
    <w:p>
      <w:pPr>
        <w:ind w:firstLine="840" w:firstLineChars="300"/>
        <w:textAlignment w:val="baseline"/>
        <w:rPr>
          <w:sz w:val="28"/>
          <w:szCs w:val="28"/>
        </w:rPr>
      </w:pPr>
      <w:r>
        <w:rPr>
          <w:rFonts w:hint="eastAsia" w:ascii="宋体" w:hAnsi="宋体"/>
          <w:bCs/>
          <w:sz w:val="28"/>
        </w:rPr>
        <w:t>建设地点：张家口金隅水泥有限公司院内</w:t>
      </w:r>
    </w:p>
    <w:p>
      <w:pPr>
        <w:spacing w:before="156" w:beforeLines="50" w:after="156" w:afterLines="50" w:line="540" w:lineRule="exact"/>
        <w:ind w:firstLine="700" w:firstLineChars="25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安全整改建设背景与必要性:</w:t>
      </w:r>
    </w:p>
    <w:p>
      <w:pPr>
        <w:spacing w:line="560" w:lineRule="exact"/>
        <w:ind w:left="630" w:leftChars="300" w:firstLine="560" w:firstLineChars="200"/>
        <w:rPr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为进一步提升水泥成品设备安全整改项，对水泥</w:t>
      </w:r>
      <w:r>
        <w:rPr>
          <w:rFonts w:hint="eastAsia"/>
          <w:color w:val="FF0000"/>
          <w:sz w:val="28"/>
          <w:szCs w:val="28"/>
        </w:rPr>
        <w:t>东西原灰设备</w:t>
      </w:r>
      <w:r>
        <w:rPr>
          <w:rFonts w:hint="eastAsia" w:ascii="宋体" w:hAnsi="宋体" w:eastAsia="宋体" w:cs="宋体"/>
          <w:sz w:val="28"/>
          <w:szCs w:val="28"/>
        </w:rPr>
        <w:t>安全防护基础设施，有效控制安全环境风险，杜绝各类安全生产事故的发生，按照《平安金隅审计》和安全标准化，区域安全专员检查的相关要求，制定由于水泥生产成品设备框架从底层到顶层腐蚀严重的栏杆.提升机，机头平台.栏杆.步梯部分不符合一级安全标准化要求的设备防护安全设施</w:t>
      </w:r>
      <w:r>
        <w:rPr>
          <w:rFonts w:hint="eastAsia"/>
          <w:bCs/>
          <w:sz w:val="28"/>
          <w:szCs w:val="28"/>
        </w:rPr>
        <w:t>整改实施方案。</w:t>
      </w:r>
    </w:p>
    <w:p>
      <w:pPr>
        <w:pStyle w:val="4"/>
        <w:spacing w:before="156" w:beforeLines="50" w:after="156" w:afterLines="50" w:line="540" w:lineRule="exact"/>
        <w:ind w:left="780" w:firstLineChars="150"/>
        <w:rPr>
          <w:bCs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东西原灰设备安全整改项</w:t>
      </w:r>
      <w:r>
        <w:rPr>
          <w:rFonts w:hint="eastAsia"/>
          <w:bCs/>
          <w:sz w:val="28"/>
          <w:szCs w:val="28"/>
        </w:rPr>
        <w:t>设备平台.栏杆.楼梯，按照一级安标制作更换安装</w:t>
      </w:r>
    </w:p>
    <w:p>
      <w:pPr>
        <w:spacing w:before="156" w:beforeLines="50" w:after="156" w:afterLines="50" w:line="540" w:lineRule="exact"/>
        <w:rPr>
          <w:rFonts w:ascii="黑体" w:hAnsi="宋体" w:eastAsia="黑体"/>
          <w:b/>
          <w:sz w:val="28"/>
        </w:rPr>
      </w:pPr>
      <w:r>
        <w:rPr>
          <w:rFonts w:hint="eastAsia" w:ascii="宋体" w:hAnsi="宋体" w:cs="宋体"/>
          <w:b/>
          <w:sz w:val="28"/>
          <w:szCs w:val="28"/>
        </w:rPr>
        <w:t>二、</w:t>
      </w:r>
      <w:r>
        <w:rPr>
          <w:rFonts w:hint="eastAsia" w:ascii="黑体" w:hAnsi="宋体" w:eastAsia="黑体"/>
          <w:b/>
          <w:sz w:val="28"/>
        </w:rPr>
        <w:t>安全整改建设方案</w:t>
      </w:r>
    </w:p>
    <w:p>
      <w:pPr>
        <w:ind w:firstLine="640" w:firstLineChars="200"/>
        <w:jc w:val="left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东西原灰从东至西</w:t>
      </w:r>
    </w:p>
    <w:p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  栏杆1.2米高×2米  </w:t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708"/>
        </w:tabs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盖板1.5×1米    </w:t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708"/>
          <w:tab w:val="left" w:pos="2892"/>
        </w:tabs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收尘器下部斜槽东面拆除管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4根</w:t>
      </w:r>
    </w:p>
    <w:p>
      <w:pPr>
        <w:tabs>
          <w:tab w:val="left" w:pos="708"/>
        </w:tabs>
        <w:jc w:val="left"/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斜槽长廊挡泥板 </w:t>
      </w:r>
      <w:r>
        <w:rPr>
          <w:rFonts w:hint="eastAsia"/>
          <w:color w:val="FF0000"/>
          <w:sz w:val="28"/>
          <w:szCs w:val="28"/>
        </w:rPr>
        <w:t xml:space="preserve"> 140米</w:t>
      </w:r>
    </w:p>
    <w:p>
      <w:pPr>
        <w:tabs>
          <w:tab w:val="left" w:pos="708"/>
          <w:tab w:val="left" w:pos="4536"/>
        </w:tabs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东原灰提升机处加一步走梯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708"/>
          <w:tab w:val="left" w:pos="4536"/>
        </w:tabs>
        <w:ind w:firstLine="700" w:firstLineChars="250"/>
        <w:jc w:val="left"/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堵孔 </w:t>
      </w:r>
      <w:r>
        <w:rPr>
          <w:rFonts w:hint="eastAsia"/>
          <w:color w:val="FF0000"/>
          <w:sz w:val="28"/>
          <w:szCs w:val="28"/>
        </w:rPr>
        <w:t xml:space="preserve"> 0.4㎡</w:t>
      </w:r>
    </w:p>
    <w:p>
      <w:pPr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排水管改到平台下3米  </w:t>
      </w:r>
      <w:r>
        <w:rPr>
          <w:rFonts w:hint="eastAsia"/>
          <w:color w:val="FF0000"/>
          <w:sz w:val="28"/>
          <w:szCs w:val="28"/>
        </w:rPr>
        <w:t xml:space="preserve"> 2根</w:t>
      </w:r>
    </w:p>
    <w:p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  东包收尘器2米直梯   </w:t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1624"/>
        </w:tabs>
        <w:ind w:firstLine="840" w:firstLineChars="300"/>
        <w:jc w:val="left"/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5米直梯   </w:t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1624"/>
        </w:tabs>
        <w:ind w:firstLine="980" w:firstLineChars="350"/>
        <w:jc w:val="left"/>
        <w:textAlignment w:val="baseline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0.8米宽三步走梯 </w:t>
      </w:r>
      <w:r>
        <w:rPr>
          <w:rFonts w:hint="eastAsia"/>
          <w:color w:val="FF0000"/>
          <w:sz w:val="28"/>
          <w:szCs w:val="28"/>
        </w:rPr>
        <w:t xml:space="preserve">   1个</w:t>
      </w:r>
    </w:p>
    <w:p>
      <w:pPr>
        <w:tabs>
          <w:tab w:val="left" w:pos="1032"/>
        </w:tabs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1.2高栏杆    </w:t>
      </w:r>
      <w:r>
        <w:rPr>
          <w:rFonts w:hint="eastAsia"/>
          <w:color w:val="FF0000"/>
          <w:sz w:val="28"/>
          <w:szCs w:val="28"/>
        </w:rPr>
        <w:t xml:space="preserve">   3米</w:t>
      </w:r>
    </w:p>
    <w:p>
      <w:pPr>
        <w:jc w:val="left"/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4.    收尘器封堵爬梯加3米走梯 </w:t>
      </w:r>
      <w:r>
        <w:rPr>
          <w:rFonts w:hint="eastAsia"/>
          <w:color w:val="FF0000"/>
          <w:sz w:val="28"/>
          <w:szCs w:val="28"/>
        </w:rPr>
        <w:t xml:space="preserve"> 1个</w:t>
      </w:r>
    </w:p>
    <w:p>
      <w:pPr>
        <w:tabs>
          <w:tab w:val="left" w:pos="880"/>
        </w:tabs>
        <w:jc w:val="left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收尘器栏杆加φ1寸1.2高立柱  </w:t>
      </w:r>
      <w:r>
        <w:rPr>
          <w:rFonts w:hint="eastAsia"/>
          <w:color w:val="FF0000"/>
          <w:sz w:val="28"/>
          <w:szCs w:val="28"/>
        </w:rPr>
        <w:t>10根</w:t>
      </w:r>
    </w:p>
    <w:p>
      <w:pPr>
        <w:tabs>
          <w:tab w:val="left" w:pos="880"/>
        </w:tabs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平台加2米走梯  </w:t>
      </w:r>
      <w:r>
        <w:rPr>
          <w:rFonts w:hint="eastAsia"/>
          <w:color w:val="FF0000"/>
          <w:sz w:val="28"/>
          <w:szCs w:val="28"/>
        </w:rPr>
        <w:t xml:space="preserve"> 2个</w:t>
      </w:r>
    </w:p>
    <w:p>
      <w:pPr>
        <w:tabs>
          <w:tab w:val="left" w:pos="880"/>
        </w:tabs>
        <w:ind w:firstLine="840" w:firstLineChars="300"/>
        <w:jc w:val="left"/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带加高350mm栏杆  </w:t>
      </w:r>
      <w:r>
        <w:rPr>
          <w:rFonts w:hint="eastAsia"/>
          <w:color w:val="FF0000"/>
          <w:sz w:val="28"/>
          <w:szCs w:val="28"/>
        </w:rPr>
        <w:t xml:space="preserve"> 16米</w:t>
      </w:r>
    </w:p>
    <w:p>
      <w:pPr>
        <w:tabs>
          <w:tab w:val="left" w:pos="880"/>
        </w:tabs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上原灰顶加0.8米宽2步走梯  </w:t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880"/>
          <w:tab w:val="left" w:pos="3276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1.2米高栏杆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2米</w:t>
      </w:r>
    </w:p>
    <w:p>
      <w:pPr>
        <w:tabs>
          <w:tab w:val="left" w:pos="880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走梯两边加1.2米高3米长扶手 </w:t>
      </w:r>
      <w:r>
        <w:rPr>
          <w:rFonts w:hint="eastAsia"/>
          <w:color w:val="FF0000"/>
          <w:sz w:val="28"/>
          <w:szCs w:val="28"/>
        </w:rPr>
        <w:t xml:space="preserve"> 2个</w:t>
      </w:r>
    </w:p>
    <w:p>
      <w:pPr>
        <w:tabs>
          <w:tab w:val="left" w:pos="880"/>
        </w:tabs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平台两头加2步走梯，1.2米高1米长栏杆 </w:t>
      </w:r>
      <w:r>
        <w:rPr>
          <w:rFonts w:hint="eastAsia"/>
          <w:color w:val="FF0000"/>
          <w:sz w:val="28"/>
          <w:szCs w:val="28"/>
        </w:rPr>
        <w:t xml:space="preserve"> 2套</w:t>
      </w:r>
    </w:p>
    <w:p>
      <w:pPr>
        <w:tabs>
          <w:tab w:val="left" w:pos="880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平台堵孔  </w:t>
      </w:r>
      <w:r>
        <w:rPr>
          <w:rFonts w:hint="eastAsia"/>
          <w:color w:val="FF0000"/>
          <w:sz w:val="28"/>
          <w:szCs w:val="28"/>
        </w:rPr>
        <w:t>3㎡</w:t>
      </w:r>
    </w:p>
    <w:p>
      <w:pPr>
        <w:tabs>
          <w:tab w:val="left" w:pos="880"/>
        </w:tabs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马路上方平台加2步0.8米宽走梯     </w:t>
      </w:r>
      <w:r>
        <w:rPr>
          <w:rFonts w:hint="eastAsia"/>
          <w:color w:val="FF0000"/>
          <w:sz w:val="28"/>
          <w:szCs w:val="28"/>
        </w:rPr>
        <w:t>2个</w:t>
      </w:r>
    </w:p>
    <w:p>
      <w:pPr>
        <w:tabs>
          <w:tab w:val="left" w:pos="88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平台堵孔  </w:t>
      </w:r>
      <w:r>
        <w:rPr>
          <w:rFonts w:hint="eastAsia"/>
          <w:color w:val="FF0000"/>
          <w:sz w:val="28"/>
          <w:szCs w:val="28"/>
        </w:rPr>
        <w:t>2㎡</w:t>
      </w:r>
    </w:p>
    <w:p>
      <w:pPr>
        <w:tabs>
          <w:tab w:val="left" w:pos="880"/>
          <w:tab w:val="left" w:pos="4308"/>
        </w:tabs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拆除同旋窑大布袋平台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2㎡</w:t>
      </w:r>
    </w:p>
    <w:p>
      <w:pPr>
        <w:tabs>
          <w:tab w:val="left" w:pos="880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拆除0.8×3米栏杆    </w:t>
      </w:r>
      <w:r>
        <w:rPr>
          <w:rFonts w:hint="eastAsia"/>
          <w:color w:val="FF0000"/>
          <w:sz w:val="28"/>
          <w:szCs w:val="28"/>
        </w:rPr>
        <w:t xml:space="preserve"> 1个</w:t>
      </w:r>
    </w:p>
    <w:p>
      <w:pPr>
        <w:tabs>
          <w:tab w:val="left" w:pos="880"/>
          <w:tab w:val="left" w:pos="3264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拆除管子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10米</w:t>
      </w:r>
    </w:p>
    <w:p>
      <w:pPr>
        <w:tabs>
          <w:tab w:val="left" w:pos="880"/>
        </w:tabs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西原灰仓西边2层平台1.2米高栏杆   </w:t>
      </w:r>
      <w:r>
        <w:rPr>
          <w:rFonts w:hint="eastAsia"/>
          <w:color w:val="FF0000"/>
          <w:sz w:val="28"/>
          <w:szCs w:val="28"/>
        </w:rPr>
        <w:t>30米</w:t>
      </w:r>
    </w:p>
    <w:p>
      <w:pPr>
        <w:tabs>
          <w:tab w:val="left" w:pos="880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平台堵孔  </w:t>
      </w:r>
      <w:r>
        <w:rPr>
          <w:rFonts w:hint="eastAsia"/>
          <w:color w:val="FF0000"/>
          <w:sz w:val="28"/>
          <w:szCs w:val="28"/>
        </w:rPr>
        <w:t>1㎡</w:t>
      </w:r>
    </w:p>
    <w:p>
      <w:pPr>
        <w:tabs>
          <w:tab w:val="left" w:pos="880"/>
          <w:tab w:val="left" w:pos="5496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收尘器封堵直梯加0.8米宽走梯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4米</w:t>
      </w:r>
    </w:p>
    <w:p>
      <w:pPr>
        <w:tabs>
          <w:tab w:val="left" w:pos="880"/>
          <w:tab w:val="left" w:pos="5496"/>
          <w:tab w:val="left" w:pos="7164"/>
        </w:tabs>
        <w:textAlignment w:val="baseline"/>
        <w:rPr>
          <w:color w:val="FF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10.    </w:t>
      </w:r>
      <w:r>
        <w:rPr>
          <w:rFonts w:hint="eastAsia"/>
          <w:sz w:val="28"/>
          <w:szCs w:val="28"/>
        </w:rPr>
        <w:t>高低位卸料器加4㎡平台</w:t>
      </w:r>
      <w:r>
        <w:rPr>
          <w:color w:val="FF0000"/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880"/>
          <w:tab w:val="left" w:pos="5028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0.8米宽走梯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880"/>
          <w:tab w:val="left" w:pos="5028"/>
        </w:tabs>
        <w:textAlignment w:val="baseline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西原灰仓楼梯更换扶手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64米</w:t>
      </w:r>
    </w:p>
    <w:p>
      <w:pPr>
        <w:tabs>
          <w:tab w:val="left" w:pos="880"/>
          <w:tab w:val="left" w:pos="5028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第一阶梯子改角度加一步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1项</w:t>
      </w:r>
    </w:p>
    <w:p>
      <w:pPr>
        <w:tabs>
          <w:tab w:val="left" w:pos="3032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堵孔           </w:t>
      </w:r>
      <w:r>
        <w:rPr>
          <w:rFonts w:hint="eastAsia"/>
          <w:color w:val="FF0000"/>
          <w:sz w:val="28"/>
          <w:szCs w:val="28"/>
        </w:rPr>
        <w:t>18㎡</w:t>
      </w:r>
    </w:p>
    <w:p>
      <w:pPr>
        <w:tabs>
          <w:tab w:val="left" w:pos="880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吊装孔1.2米高栏杆        </w:t>
      </w:r>
      <w:r>
        <w:rPr>
          <w:rFonts w:hint="eastAsia"/>
          <w:color w:val="FF0000"/>
          <w:sz w:val="28"/>
          <w:szCs w:val="28"/>
        </w:rPr>
        <w:t xml:space="preserve"> 36米</w:t>
      </w:r>
    </w:p>
    <w:p>
      <w:pPr>
        <w:tabs>
          <w:tab w:val="left" w:pos="880"/>
          <w:tab w:val="center" w:pos="4153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各层1.2米高栏杆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120米</w:t>
      </w:r>
    </w:p>
    <w:p>
      <w:pPr>
        <w:tabs>
          <w:tab w:val="left" w:pos="880"/>
          <w:tab w:val="left" w:pos="4153"/>
        </w:tabs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仓顶用透明材料封窗户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36㎡</w:t>
      </w:r>
    </w:p>
    <w:p>
      <w:pPr>
        <w:tabs>
          <w:tab w:val="left" w:pos="2476"/>
          <w:tab w:val="left" w:pos="4153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彩钢封门</w:t>
      </w:r>
      <w:r>
        <w:rPr>
          <w:color w:val="FF0000"/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6㎡</w:t>
      </w:r>
    </w:p>
    <w:p>
      <w:pPr>
        <w:tabs>
          <w:tab w:val="left" w:pos="1056"/>
          <w:tab w:val="center" w:pos="4153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斜槽加栏杆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20米</w:t>
      </w:r>
    </w:p>
    <w:p>
      <w:pPr>
        <w:tabs>
          <w:tab w:val="left" w:pos="1056"/>
          <w:tab w:val="center" w:pos="4153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加走梯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3米</w:t>
      </w:r>
    </w:p>
    <w:p>
      <w:pPr>
        <w:tabs>
          <w:tab w:val="left" w:pos="1056"/>
          <w:tab w:val="center" w:pos="4153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挡泥板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50米</w:t>
      </w:r>
    </w:p>
    <w:p>
      <w:pPr>
        <w:tabs>
          <w:tab w:val="left" w:pos="1016"/>
          <w:tab w:val="left" w:pos="5028"/>
        </w:tabs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加0.8米宽长3米走梯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</w:p>
    <w:p>
      <w:pPr>
        <w:tabs>
          <w:tab w:val="left" w:pos="1016"/>
          <w:tab w:val="left" w:pos="6024"/>
          <w:tab w:val="left" w:pos="6572"/>
        </w:tabs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加0.8米宽长12米上原灰仓顶走梯</w:t>
      </w:r>
      <w:r>
        <w:rPr>
          <w:sz w:val="28"/>
          <w:szCs w:val="28"/>
        </w:rPr>
        <w:tab/>
      </w:r>
      <w:r>
        <w:rPr>
          <w:rFonts w:hint="eastAsia"/>
          <w:color w:val="FF0000"/>
          <w:sz w:val="28"/>
          <w:szCs w:val="28"/>
        </w:rPr>
        <w:t>1个</w:t>
      </w:r>
      <w:r>
        <w:rPr>
          <w:color w:val="FF0000"/>
          <w:sz w:val="28"/>
          <w:szCs w:val="28"/>
        </w:rPr>
        <w:tab/>
      </w:r>
    </w:p>
    <w:p>
      <w:pPr>
        <w:jc w:val="center"/>
        <w:textAlignment w:val="baseline"/>
        <w:rPr>
          <w:rStyle w:val="5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13. 所</w:t>
      </w:r>
      <w:r>
        <w:rPr>
          <w:rFonts w:hint="eastAsia"/>
          <w:color w:val="FF0000"/>
          <w:sz w:val="28"/>
          <w:szCs w:val="28"/>
          <w:lang w:val="en-US" w:eastAsia="zh-CN"/>
        </w:rPr>
        <w:t>有</w:t>
      </w:r>
      <w:r>
        <w:rPr>
          <w:rFonts w:hint="eastAsia"/>
          <w:color w:val="FF0000"/>
          <w:sz w:val="28"/>
          <w:szCs w:val="28"/>
        </w:rPr>
        <w:t>栏杆，楼梯，平台，整改完，做防腐粉刷，环保防水粉刷材料三棵树防水磁漆，立邦防水磁漆，山东齐鲁防水磁漆。</w:t>
      </w:r>
    </w:p>
    <w:p>
      <w:pPr>
        <w:jc w:val="center"/>
        <w:textAlignment w:val="baseline"/>
        <w:rPr>
          <w:rStyle w:val="5"/>
          <w:b/>
          <w:sz w:val="44"/>
          <w:szCs w:val="44"/>
        </w:rPr>
      </w:pPr>
    </w:p>
    <w:p>
      <w:pPr>
        <w:spacing w:before="156" w:beforeLines="50" w:after="156" w:afterLines="50" w:line="540" w:lineRule="exact"/>
        <w:rPr>
          <w:rFonts w:ascii="宋体" w:hAnsi="宋体" w:eastAsia="宋体" w:cs="Times New Roman"/>
          <w:b/>
          <w:bCs/>
          <w:sz w:val="28"/>
          <w:szCs w:val="24"/>
        </w:rPr>
      </w:pPr>
      <w:r>
        <w:rPr>
          <w:rFonts w:hint="eastAsia" w:ascii="宋体" w:hAnsi="宋体"/>
          <w:b/>
          <w:bCs/>
          <w:sz w:val="28"/>
        </w:rPr>
        <w:t>三</w:t>
      </w:r>
      <w:r>
        <w:rPr>
          <w:rFonts w:hint="eastAsia" w:asciiTheme="minorEastAsia" w:hAnsiTheme="minorEastAsia"/>
          <w:b/>
          <w:bCs/>
          <w:sz w:val="28"/>
        </w:rPr>
        <w:t>、</w:t>
      </w:r>
      <w:r>
        <w:rPr>
          <w:rFonts w:hint="eastAsia" w:ascii="宋体" w:hAnsi="宋体" w:eastAsia="宋体" w:cs="Times New Roman"/>
          <w:b/>
          <w:bCs/>
          <w:sz w:val="28"/>
          <w:szCs w:val="24"/>
        </w:rPr>
        <w:t>安全整改实施进度计划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1、进度计划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本安全整改实施周期为2021年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月-2021年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月3</w:t>
      </w:r>
      <w:r>
        <w:rPr>
          <w:rFonts w:ascii="宋体" w:hAnsi="宋体" w:eastAsia="宋体" w:cs="宋体"/>
          <w:sz w:val="28"/>
          <w:szCs w:val="28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日前完成。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2、安全整改建设保障措施与组织管理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（1）质量保障措施：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①认真执行公司工程项目管理制度，成立项目指挥部，制定项目质量管理制度，明确质量目标，施工质量控制重点、难点和方法，做到有章可循。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②及时改进管理方法，不断提高质量水平。严格办理项目所需的备案及各项手续。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③全过程管理，督促、检查、验收施工的每一道工序。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（2）技术保障措施：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①加强技术管理工作，开工前检查施工单位的组织设计、质保计划、技术交底计划、作业指导书等。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②认真学习施工图纸并加以消化，及时发现图纸上的问题并组织图纸会审，对暴露出来的问题尽早解决。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（3）经济保障措施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①申请工程专项资金，列明工程投资计划与实施。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②简化工程款付款程序提高施工单位的员工工作积极性。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③进行工程计量，审核工程付款单，协商工程变更价款，审核竣工决算。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 合同保障措施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①做好工程施工记录，保存各种文件图纸，特别是注有实际施工变更情况的图纸，注意积累素材，为正确处理可能发生的索赔提供依据。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②参与合同修改、补充工作。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（5）安全保障措施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①建立以项目指挥部指挥长为首的，生产部、安环部、设备管理部各负其职，项目全体人员参与安全保障系统。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②每天由安全员现场巡检，每月由公司组织进行的安全联合大检查。</w:t>
      </w:r>
    </w:p>
    <w:p>
      <w:pPr>
        <w:spacing w:line="560" w:lineRule="exact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③项目施工过程属于生产与项目同时进行，对施工人员，要做好岗前培训，施工现场完善防护措施，施工人员要穿戴好防护设施。主要危险源是运输车辆和电焊机。</w:t>
      </w:r>
    </w:p>
    <w:p>
      <w:pPr>
        <w:spacing w:line="56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安全环保组负责项目的安全、环保相关手续的办理，以及施工过程的人员、设备安全及环保。设备工程组负责土建的施工质量进度监督，供应组保障材料的及时供应，综合管理组负责安装现场的防火、防盗工作。</w:t>
      </w:r>
    </w:p>
    <w:p>
      <w:pPr>
        <w:spacing w:before="156" w:beforeLines="50" w:after="156" w:afterLines="50" w:line="540" w:lineRule="exact"/>
        <w:rPr>
          <w:rFonts w:ascii="宋体" w:hAnsi="宋体"/>
          <w:b/>
          <w:bCs/>
          <w:sz w:val="28"/>
        </w:rPr>
      </w:pPr>
    </w:p>
    <w:p>
      <w:pPr>
        <w:ind w:firstLine="560"/>
        <w:rPr>
          <w:rFonts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</w:t>
      </w:r>
    </w:p>
    <w:p>
      <w:pPr>
        <w:ind w:firstLine="560"/>
        <w:jc w:val="center"/>
        <w:rPr>
          <w:rFonts w:ascii="宋体" w:hAnsi="宋体"/>
          <w:b/>
          <w:sz w:val="28"/>
          <w:szCs w:val="28"/>
        </w:rPr>
      </w:pPr>
    </w:p>
    <w:p>
      <w:pPr>
        <w:ind w:firstLine="560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工程量清单及投资预算表</w:t>
      </w:r>
    </w:p>
    <w:tbl>
      <w:tblPr>
        <w:tblStyle w:val="2"/>
        <w:tblW w:w="90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1460"/>
        <w:gridCol w:w="1460"/>
        <w:gridCol w:w="1461"/>
        <w:gridCol w:w="1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施工内容（材料）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数量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单价（元）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含税价格（元）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ascii="宋体" w:hAnsi="宋体" w:eastAsia="宋体"/>
                <w:sz w:val="24"/>
                <w:szCs w:val="24"/>
              </w:rPr>
              <w:t>Ф</w:t>
            </w:r>
            <w:r>
              <w:rPr>
                <w:rStyle w:val="5"/>
                <w:rFonts w:eastAsia="宋体"/>
                <w:sz w:val="24"/>
                <w:szCs w:val="24"/>
              </w:rPr>
              <w:t>50*3.5mm焊管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260m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ascii="宋体" w:hAnsi="宋体" w:eastAsia="宋体"/>
                <w:sz w:val="24"/>
                <w:szCs w:val="24"/>
              </w:rPr>
              <w:t>Ф</w:t>
            </w:r>
            <w:r>
              <w:rPr>
                <w:rStyle w:val="5"/>
                <w:rFonts w:eastAsia="宋体"/>
                <w:sz w:val="24"/>
                <w:szCs w:val="24"/>
              </w:rPr>
              <w:t>30*3mm焊管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260m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扁钢3</w:t>
            </w:r>
            <w:r>
              <w:rPr>
                <w:rStyle w:val="5"/>
                <w:rFonts w:ascii="宋体" w:hAnsi="宋体" w:eastAsia="宋体"/>
                <w:sz w:val="24"/>
                <w:szCs w:val="24"/>
              </w:rPr>
              <w:t>0×3㎜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520m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扁钢10</w:t>
            </w:r>
            <w:r>
              <w:rPr>
                <w:rStyle w:val="5"/>
                <w:rFonts w:ascii="宋体" w:hAnsi="宋体" w:eastAsia="宋体"/>
                <w:sz w:val="24"/>
                <w:szCs w:val="24"/>
              </w:rPr>
              <w:t>0×6㎜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380m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角钢5</w:t>
            </w:r>
            <w:r>
              <w:rPr>
                <w:rStyle w:val="5"/>
                <w:rFonts w:ascii="宋体" w:hAnsi="宋体" w:eastAsia="宋体"/>
                <w:sz w:val="24"/>
                <w:szCs w:val="24"/>
              </w:rPr>
              <w:t>0mm×50mm×4mm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60m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花纹板</w:t>
            </w:r>
            <w:r>
              <w:rPr>
                <w:rStyle w:val="5"/>
                <w:rFonts w:ascii="宋体" w:hAnsi="宋体" w:eastAsia="宋体"/>
                <w:sz w:val="24"/>
                <w:szCs w:val="24"/>
              </w:rPr>
              <w:t>δ</w:t>
            </w:r>
            <w:r>
              <w:rPr>
                <w:rStyle w:val="5"/>
                <w:rFonts w:eastAsia="宋体"/>
                <w:sz w:val="24"/>
                <w:szCs w:val="24"/>
              </w:rPr>
              <w:t>=4mm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73㎡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16#槽钢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1.6t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钢板</w:t>
            </w:r>
            <w:r>
              <w:rPr>
                <w:rStyle w:val="5"/>
                <w:rFonts w:ascii="宋体" w:hAnsi="宋体" w:eastAsia="宋体"/>
                <w:sz w:val="24"/>
                <w:szCs w:val="24"/>
              </w:rPr>
              <w:t>δ</w:t>
            </w:r>
            <w:r>
              <w:rPr>
                <w:rStyle w:val="5"/>
                <w:rFonts w:eastAsia="宋体"/>
                <w:sz w:val="24"/>
                <w:szCs w:val="24"/>
              </w:rPr>
              <w:t>=</w:t>
            </w:r>
            <w:r>
              <w:rPr>
                <w:rStyle w:val="5"/>
                <w:rFonts w:ascii="宋体" w:hAnsi="宋体" w:eastAsia="宋体"/>
                <w:sz w:val="24"/>
                <w:szCs w:val="24"/>
              </w:rPr>
              <w:t>6㎜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sz w:val="20"/>
              </w:rPr>
              <w:t>0.5t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彩钢板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6㎡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阳光板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36㎡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hint="eastAsia" w:eastAsia="宋体"/>
                <w:sz w:val="24"/>
                <w:szCs w:val="24"/>
              </w:rPr>
              <w:t>环保防水</w:t>
            </w:r>
            <w:r>
              <w:rPr>
                <w:rStyle w:val="5"/>
                <w:rFonts w:eastAsia="宋体"/>
                <w:sz w:val="24"/>
                <w:szCs w:val="24"/>
              </w:rPr>
              <w:t>磁漆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9桶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Style w:val="5"/>
                <w:rFonts w:eastAsia="宋体"/>
                <w:sz w:val="24"/>
                <w:szCs w:val="24"/>
              </w:rPr>
              <w:t>修补，拆除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bookmarkStart w:id="2" w:name="_GoBack"/>
            <w:bookmarkEnd w:id="2"/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0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  <w:r>
              <w:rPr>
                <w:rFonts w:eastAsia="宋体"/>
                <w:sz w:val="24"/>
              </w:rPr>
              <w:t>合计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B4"/>
    <w:rsid w:val="007157BF"/>
    <w:rsid w:val="00AF23B4"/>
    <w:rsid w:val="09EC20F4"/>
    <w:rsid w:val="20F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363</Words>
  <Characters>2073</Characters>
  <Lines>17</Lines>
  <Paragraphs>4</Paragraphs>
  <TotalTime>27</TotalTime>
  <ScaleCrop>false</ScaleCrop>
  <LinksUpToDate>false</LinksUpToDate>
  <CharactersWithSpaces>2432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2021-05-08T06:11:00Z</dcterms:created>
  <dc:creator>DELL</dc:creator>
  <cp:lastModifiedBy>非为</cp:lastModifiedBy>
  <cp:lastPrinted>2021-05-12T01:28:00Z</cp:lastPrinted>
  <dcterms:modified xsi:type="dcterms:W3CDTF">2021-05-13T07:52:15Z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42CF1E18C3F24E52BFA316B9B82103FA</vt:lpwstr>
  </property>
</Properties>
</file>